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emf" ContentType="image/x-emf"/>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4"/>
        <w:jc w:val="center"/>
        <w:outlineLvl w:val="0"/>
        <w:rPr>
          <w:rFonts w:ascii="Times New Roman" w:hAnsi="Times New Roman"/>
          <w:snapToGrid w:val="0"/>
          <w:sz w:val="30"/>
          <w:szCs w:val="30"/>
        </w:rPr>
      </w:pPr>
      <w:r>
        <w:rPr>
          <w:rFonts w:hint="eastAsia" w:ascii="Times New Roman" w:hAnsi="Times New Roman"/>
          <w:snapToGrid w:val="0"/>
          <w:sz w:val="30"/>
          <w:szCs w:val="30"/>
        </w:rPr>
        <w:t>一、建设项目基本情况</w:t>
      </w:r>
    </w:p>
    <w:tbl>
      <w:tblPr>
        <w:tblStyle w:val="26"/>
        <w:tblW w:w="887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1200"/>
        <w:gridCol w:w="2609"/>
        <w:gridCol w:w="2059"/>
        <w:gridCol w:w="300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200" w:type="dxa"/>
            <w:tcMar>
              <w:top w:w="16" w:type="dxa"/>
              <w:left w:w="16" w:type="dxa"/>
              <w:right w:w="16" w:type="dxa"/>
            </w:tcMar>
            <w:vAlign w:val="center"/>
          </w:tcPr>
          <w:p>
            <w:pPr>
              <w:adjustRightInd w:val="0"/>
              <w:snapToGrid w:val="0"/>
              <w:jc w:val="center"/>
              <w:rPr>
                <w:rFonts w:cs="宋体"/>
                <w:sz w:val="24"/>
              </w:rPr>
            </w:pPr>
            <w:r>
              <w:rPr>
                <w:rFonts w:hint="eastAsia" w:cs="宋体"/>
                <w:sz w:val="24"/>
              </w:rPr>
              <w:t>建设项目名称</w:t>
            </w:r>
          </w:p>
        </w:tc>
        <w:tc>
          <w:tcPr>
            <w:tcW w:w="7670" w:type="dxa"/>
            <w:gridSpan w:val="3"/>
            <w:vAlign w:val="center"/>
          </w:tcPr>
          <w:p>
            <w:pPr>
              <w:adjustRightInd w:val="0"/>
              <w:snapToGrid w:val="0"/>
              <w:jc w:val="center"/>
              <w:rPr>
                <w:rFonts w:cs="宋体"/>
                <w:sz w:val="24"/>
              </w:rPr>
            </w:pPr>
            <w:r>
              <w:rPr>
                <w:rFonts w:hint="eastAsia" w:cs="宋体"/>
                <w:sz w:val="24"/>
              </w:rPr>
              <w:t>造型材料制品车间改扩建项目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200" w:type="dxa"/>
            <w:tcMar>
              <w:top w:w="16" w:type="dxa"/>
              <w:left w:w="16" w:type="dxa"/>
              <w:right w:w="16" w:type="dxa"/>
            </w:tcMar>
            <w:vAlign w:val="center"/>
          </w:tcPr>
          <w:p>
            <w:pPr>
              <w:adjustRightInd w:val="0"/>
              <w:snapToGrid w:val="0"/>
              <w:jc w:val="center"/>
              <w:rPr>
                <w:rFonts w:hint="default" w:eastAsia="宋体" w:cs="宋体"/>
                <w:sz w:val="24"/>
                <w:lang w:val="en-US" w:eastAsia="zh-CN"/>
              </w:rPr>
            </w:pPr>
            <w:r>
              <w:rPr>
                <w:rFonts w:hint="eastAsia" w:cs="宋体"/>
                <w:sz w:val="24"/>
              </w:rPr>
              <w:t>项目代码</w:t>
            </w:r>
          </w:p>
        </w:tc>
        <w:tc>
          <w:tcPr>
            <w:tcW w:w="7670" w:type="dxa"/>
            <w:gridSpan w:val="3"/>
            <w:vAlign w:val="center"/>
          </w:tcPr>
          <w:p>
            <w:pPr>
              <w:adjustRightInd w:val="0"/>
              <w:snapToGrid w:val="0"/>
              <w:jc w:val="center"/>
              <w:rPr>
                <w:rFonts w:hint="default" w:eastAsia="宋体" w:cs="宋体"/>
                <w:sz w:val="24"/>
                <w:lang w:val="en-US" w:eastAsia="zh-CN"/>
              </w:rPr>
            </w:pPr>
            <w:r>
              <w:rPr>
                <w:rFonts w:hint="eastAsia" w:cs="宋体"/>
                <w:sz w:val="24"/>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200" w:type="dxa"/>
            <w:tcMar>
              <w:top w:w="16" w:type="dxa"/>
              <w:left w:w="16" w:type="dxa"/>
              <w:right w:w="16" w:type="dxa"/>
            </w:tcMar>
            <w:vAlign w:val="center"/>
          </w:tcPr>
          <w:p>
            <w:pPr>
              <w:adjustRightInd w:val="0"/>
              <w:snapToGrid w:val="0"/>
              <w:jc w:val="center"/>
              <w:rPr>
                <w:rFonts w:cs="宋体"/>
                <w:sz w:val="24"/>
              </w:rPr>
            </w:pPr>
            <w:r>
              <w:rPr>
                <w:rFonts w:hint="eastAsia" w:cs="宋体"/>
                <w:sz w:val="24"/>
              </w:rPr>
              <w:t>建设单位联系人</w:t>
            </w:r>
          </w:p>
        </w:tc>
        <w:tc>
          <w:tcPr>
            <w:tcW w:w="2609" w:type="dxa"/>
            <w:vAlign w:val="center"/>
          </w:tcPr>
          <w:p>
            <w:pPr>
              <w:adjustRightInd w:val="0"/>
              <w:snapToGrid w:val="0"/>
              <w:jc w:val="center"/>
              <w:rPr>
                <w:rFonts w:hint="eastAsia" w:eastAsia="宋体" w:cs="宋体"/>
                <w:sz w:val="24"/>
                <w:lang w:val="en-US" w:eastAsia="zh-CN"/>
              </w:rPr>
            </w:pPr>
            <w:r>
              <w:rPr>
                <w:rFonts w:hint="eastAsia" w:cs="宋体"/>
                <w:color w:val="auto"/>
                <w:sz w:val="24"/>
                <w:lang w:val="en-US" w:eastAsia="zh-CN"/>
              </w:rPr>
              <w:t>徐修荣</w:t>
            </w:r>
          </w:p>
        </w:tc>
        <w:tc>
          <w:tcPr>
            <w:tcW w:w="2059" w:type="dxa"/>
            <w:vAlign w:val="center"/>
          </w:tcPr>
          <w:p>
            <w:pPr>
              <w:adjustRightInd w:val="0"/>
              <w:snapToGrid w:val="0"/>
              <w:jc w:val="center"/>
              <w:rPr>
                <w:rFonts w:cs="宋体"/>
                <w:sz w:val="24"/>
              </w:rPr>
            </w:pPr>
            <w:r>
              <w:rPr>
                <w:rFonts w:hint="eastAsia" w:cs="宋体"/>
                <w:sz w:val="24"/>
              </w:rPr>
              <w:t>联系方式</w:t>
            </w:r>
          </w:p>
        </w:tc>
        <w:tc>
          <w:tcPr>
            <w:tcW w:w="3002" w:type="dxa"/>
            <w:vAlign w:val="center"/>
          </w:tcPr>
          <w:p>
            <w:pPr>
              <w:adjustRightInd w:val="0"/>
              <w:snapToGrid w:val="0"/>
              <w:jc w:val="center"/>
              <w:rPr>
                <w:rFonts w:hint="default" w:eastAsia="宋体" w:cs="宋体"/>
                <w:sz w:val="24"/>
                <w:lang w:val="en-US" w:eastAsia="zh-CN"/>
              </w:rPr>
            </w:pPr>
            <w:r>
              <w:rPr>
                <w:rFonts w:hint="eastAsia" w:cs="宋体"/>
                <w:sz w:val="24"/>
                <w:lang w:val="en-US" w:eastAsia="zh-CN"/>
              </w:rPr>
              <w:t>18255343888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200" w:type="dxa"/>
            <w:tcMar>
              <w:top w:w="16" w:type="dxa"/>
              <w:left w:w="16" w:type="dxa"/>
              <w:right w:w="16" w:type="dxa"/>
            </w:tcMar>
            <w:vAlign w:val="center"/>
          </w:tcPr>
          <w:p>
            <w:pPr>
              <w:adjustRightInd w:val="0"/>
              <w:snapToGrid w:val="0"/>
              <w:jc w:val="center"/>
              <w:rPr>
                <w:rFonts w:cs="宋体"/>
                <w:sz w:val="24"/>
              </w:rPr>
            </w:pPr>
            <w:r>
              <w:rPr>
                <w:rFonts w:hint="eastAsia" w:cs="宋体"/>
                <w:sz w:val="24"/>
              </w:rPr>
              <w:t>建设地点</w:t>
            </w:r>
          </w:p>
        </w:tc>
        <w:tc>
          <w:tcPr>
            <w:tcW w:w="7670" w:type="dxa"/>
            <w:gridSpan w:val="3"/>
            <w:vAlign w:val="center"/>
          </w:tcPr>
          <w:p>
            <w:pPr>
              <w:adjustRightInd w:val="0"/>
              <w:snapToGrid w:val="0"/>
              <w:jc w:val="center"/>
              <w:rPr>
                <w:rFonts w:cs="宋体"/>
                <w:sz w:val="24"/>
              </w:rPr>
            </w:pPr>
            <w:r>
              <w:rPr>
                <w:rFonts w:hint="eastAsia" w:cs="宋体"/>
                <w:sz w:val="24"/>
              </w:rPr>
              <w:t>安徽省芜湖市三山区经济开发区春洲路2号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200" w:type="dxa"/>
            <w:tcMar>
              <w:top w:w="16" w:type="dxa"/>
              <w:left w:w="16" w:type="dxa"/>
              <w:right w:w="16" w:type="dxa"/>
            </w:tcMar>
            <w:vAlign w:val="center"/>
          </w:tcPr>
          <w:p>
            <w:pPr>
              <w:adjustRightInd w:val="0"/>
              <w:snapToGrid w:val="0"/>
              <w:jc w:val="center"/>
              <w:rPr>
                <w:rFonts w:cs="宋体"/>
                <w:sz w:val="24"/>
              </w:rPr>
            </w:pPr>
            <w:r>
              <w:rPr>
                <w:rFonts w:hint="eastAsia" w:cs="宋体"/>
                <w:sz w:val="24"/>
              </w:rPr>
              <w:t>地理坐标</w:t>
            </w:r>
          </w:p>
        </w:tc>
        <w:tc>
          <w:tcPr>
            <w:tcW w:w="7670" w:type="dxa"/>
            <w:gridSpan w:val="3"/>
            <w:vAlign w:val="center"/>
          </w:tcPr>
          <w:p>
            <w:pPr>
              <w:jc w:val="center"/>
              <w:rPr>
                <w:rFonts w:cs="宋体"/>
                <w:sz w:val="24"/>
              </w:rPr>
            </w:pPr>
            <w:r>
              <w:rPr>
                <w:rFonts w:hint="eastAsia" w:cs="宋体"/>
                <w:color w:val="auto"/>
                <w:sz w:val="24"/>
              </w:rPr>
              <w:t>东经118°</w:t>
            </w:r>
            <w:r>
              <w:rPr>
                <w:rFonts w:hint="eastAsia" w:cs="宋体"/>
                <w:color w:val="auto"/>
                <w:sz w:val="24"/>
                <w:lang w:val="en-US" w:eastAsia="zh-CN"/>
              </w:rPr>
              <w:t>10</w:t>
            </w:r>
            <w:r>
              <w:rPr>
                <w:rFonts w:hint="eastAsia" w:cs="宋体"/>
                <w:color w:val="auto"/>
                <w:sz w:val="24"/>
              </w:rPr>
              <w:t>′</w:t>
            </w:r>
            <w:r>
              <w:rPr>
                <w:rFonts w:hint="eastAsia" w:cs="宋体"/>
                <w:color w:val="auto"/>
                <w:sz w:val="24"/>
                <w:lang w:val="en-US" w:eastAsia="zh-CN"/>
              </w:rPr>
              <w:t>4.09</w:t>
            </w:r>
            <w:r>
              <w:rPr>
                <w:rFonts w:hint="eastAsia" w:cs="宋体"/>
                <w:color w:val="auto"/>
                <w:sz w:val="24"/>
              </w:rPr>
              <w:t>″，北纬31°</w:t>
            </w:r>
            <w:r>
              <w:rPr>
                <w:rFonts w:hint="eastAsia" w:cs="宋体"/>
                <w:color w:val="auto"/>
                <w:sz w:val="24"/>
                <w:lang w:val="en-US" w:eastAsia="zh-CN"/>
              </w:rPr>
              <w:t>13</w:t>
            </w:r>
            <w:r>
              <w:rPr>
                <w:rFonts w:hint="eastAsia" w:cs="宋体"/>
                <w:color w:val="auto"/>
                <w:sz w:val="24"/>
              </w:rPr>
              <w:t>′</w:t>
            </w:r>
            <w:r>
              <w:rPr>
                <w:rFonts w:hint="eastAsia" w:cs="宋体"/>
                <w:color w:val="auto"/>
                <w:sz w:val="24"/>
                <w:lang w:val="en-US" w:eastAsia="zh-CN"/>
              </w:rPr>
              <w:t>8.32</w:t>
            </w:r>
            <w:r>
              <w:rPr>
                <w:rFonts w:hint="eastAsia" w:cs="宋体"/>
                <w:color w:val="auto"/>
                <w:sz w:val="24"/>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1" w:hRule="atLeast"/>
          <w:jc w:val="center"/>
        </w:trPr>
        <w:tc>
          <w:tcPr>
            <w:tcW w:w="1200" w:type="dxa"/>
            <w:tcMar>
              <w:top w:w="16" w:type="dxa"/>
              <w:left w:w="16" w:type="dxa"/>
              <w:right w:w="16" w:type="dxa"/>
            </w:tcMar>
            <w:vAlign w:val="center"/>
          </w:tcPr>
          <w:p>
            <w:pPr>
              <w:adjustRightInd w:val="0"/>
              <w:snapToGrid w:val="0"/>
              <w:jc w:val="center"/>
              <w:rPr>
                <w:rFonts w:cs="宋体"/>
                <w:sz w:val="24"/>
              </w:rPr>
            </w:pPr>
            <w:r>
              <w:rPr>
                <w:rFonts w:hint="eastAsia" w:cs="宋体"/>
                <w:sz w:val="24"/>
              </w:rPr>
              <w:t>国民经济</w:t>
            </w:r>
          </w:p>
          <w:p>
            <w:pPr>
              <w:adjustRightInd w:val="0"/>
              <w:snapToGrid w:val="0"/>
              <w:jc w:val="center"/>
              <w:rPr>
                <w:rFonts w:cs="宋体"/>
                <w:sz w:val="24"/>
              </w:rPr>
            </w:pPr>
            <w:r>
              <w:rPr>
                <w:rFonts w:hint="eastAsia" w:cs="宋体"/>
                <w:sz w:val="24"/>
              </w:rPr>
              <w:t>行业类别</w:t>
            </w:r>
          </w:p>
        </w:tc>
        <w:tc>
          <w:tcPr>
            <w:tcW w:w="2609" w:type="dxa"/>
            <w:vAlign w:val="center"/>
          </w:tcPr>
          <w:p>
            <w:pPr>
              <w:adjustRightInd w:val="0"/>
              <w:snapToGrid w:val="0"/>
              <w:jc w:val="center"/>
              <w:rPr>
                <w:rFonts w:cs="宋体"/>
                <w:sz w:val="24"/>
              </w:rPr>
            </w:pPr>
            <w:r>
              <w:rPr>
                <w:rFonts w:hint="eastAsia" w:cs="宋体"/>
                <w:sz w:val="24"/>
              </w:rPr>
              <w:t>其它非金属矿物制品制造（C3099）</w:t>
            </w:r>
          </w:p>
        </w:tc>
        <w:tc>
          <w:tcPr>
            <w:tcW w:w="2059" w:type="dxa"/>
            <w:vAlign w:val="center"/>
          </w:tcPr>
          <w:p>
            <w:pPr>
              <w:adjustRightInd w:val="0"/>
              <w:snapToGrid w:val="0"/>
              <w:jc w:val="center"/>
              <w:rPr>
                <w:rFonts w:cs="宋体"/>
                <w:sz w:val="24"/>
              </w:rPr>
            </w:pPr>
            <w:bookmarkStart w:id="0" w:name="_Hlk49843745"/>
            <w:r>
              <w:rPr>
                <w:rFonts w:hint="eastAsia" w:cs="宋体"/>
                <w:sz w:val="24"/>
              </w:rPr>
              <w:t>建设项目</w:t>
            </w:r>
          </w:p>
          <w:p>
            <w:pPr>
              <w:adjustRightInd w:val="0"/>
              <w:snapToGrid w:val="0"/>
              <w:jc w:val="center"/>
              <w:rPr>
                <w:rFonts w:cs="宋体"/>
                <w:sz w:val="24"/>
              </w:rPr>
            </w:pPr>
            <w:r>
              <w:rPr>
                <w:rFonts w:hint="eastAsia" w:cs="宋体"/>
                <w:sz w:val="24"/>
              </w:rPr>
              <w:t>行业类别</w:t>
            </w:r>
            <w:bookmarkEnd w:id="0"/>
          </w:p>
        </w:tc>
        <w:tc>
          <w:tcPr>
            <w:tcW w:w="3002" w:type="dxa"/>
            <w:vAlign w:val="center"/>
          </w:tcPr>
          <w:p>
            <w:pPr>
              <w:adjustRightInd w:val="0"/>
              <w:snapToGrid w:val="0"/>
              <w:rPr>
                <w:rFonts w:hint="eastAsia" w:eastAsia="宋体" w:cs="宋体"/>
                <w:sz w:val="24"/>
                <w:lang w:eastAsia="zh-CN"/>
              </w:rPr>
            </w:pPr>
            <w:r>
              <w:rPr>
                <w:rFonts w:hint="eastAsia"/>
                <w:sz w:val="24"/>
              </w:rPr>
              <w:t>二十七、非金属矿物制品业3</w:t>
            </w:r>
            <w:r>
              <w:rPr>
                <w:sz w:val="24"/>
              </w:rPr>
              <w:t>0</w:t>
            </w:r>
            <w:r>
              <w:rPr>
                <w:rFonts w:hint="eastAsia"/>
                <w:sz w:val="24"/>
              </w:rPr>
              <w:t>—</w:t>
            </w:r>
            <w:r>
              <w:rPr>
                <w:rFonts w:hint="eastAsia"/>
                <w:sz w:val="24"/>
                <w:lang w:val="en-US" w:eastAsia="zh-CN"/>
              </w:rPr>
              <w:t>60</w:t>
            </w:r>
            <w:r>
              <w:rPr>
                <w:rFonts w:hint="eastAsia"/>
                <w:sz w:val="24"/>
              </w:rPr>
              <w:t>、石墨及其他非金属矿物制品制造—</w:t>
            </w:r>
            <w:r>
              <w:rPr>
                <w:rFonts w:hint="eastAsia"/>
                <w:sz w:val="24"/>
                <w:lang w:val="en-US" w:eastAsia="zh-CN"/>
              </w:rPr>
              <w:t>其他</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1200" w:type="dxa"/>
            <w:tcMar>
              <w:top w:w="16" w:type="dxa"/>
              <w:left w:w="16" w:type="dxa"/>
              <w:right w:w="16" w:type="dxa"/>
            </w:tcMar>
            <w:vAlign w:val="center"/>
          </w:tcPr>
          <w:p>
            <w:pPr>
              <w:adjustRightInd w:val="0"/>
              <w:snapToGrid w:val="0"/>
              <w:jc w:val="center"/>
              <w:rPr>
                <w:rFonts w:cs="宋体"/>
                <w:sz w:val="24"/>
              </w:rPr>
            </w:pPr>
            <w:r>
              <w:rPr>
                <w:rFonts w:hint="eastAsia" w:cs="宋体"/>
                <w:sz w:val="24"/>
              </w:rPr>
              <w:t>建设性质</w:t>
            </w:r>
          </w:p>
        </w:tc>
        <w:tc>
          <w:tcPr>
            <w:tcW w:w="2609" w:type="dxa"/>
            <w:vAlign w:val="center"/>
          </w:tcPr>
          <w:p>
            <w:pPr>
              <w:jc w:val="left"/>
              <w:rPr>
                <w:rFonts w:cs="宋体"/>
                <w:sz w:val="24"/>
              </w:rPr>
            </w:pPr>
            <w:r>
              <w:rPr>
                <w:rFonts w:hint="eastAsia" w:cs="宋体"/>
                <w:sz w:val="24"/>
              </w:rPr>
              <w:t>□新建（迁建）</w:t>
            </w:r>
          </w:p>
          <w:p>
            <w:pPr>
              <w:jc w:val="left"/>
              <w:rPr>
                <w:rFonts w:cs="宋体"/>
                <w:sz w:val="24"/>
              </w:rPr>
            </w:pPr>
            <w:r>
              <w:rPr>
                <w:rFonts w:hint="eastAsia" w:cs="宋体"/>
                <w:sz w:val="24"/>
                <w:lang w:eastAsia="zh-CN"/>
              </w:rPr>
              <w:t>☑</w:t>
            </w:r>
            <w:r>
              <w:rPr>
                <w:rFonts w:hint="eastAsia" w:cs="宋体"/>
                <w:sz w:val="24"/>
              </w:rPr>
              <w:t>改建</w:t>
            </w:r>
          </w:p>
          <w:p>
            <w:pPr>
              <w:jc w:val="left"/>
              <w:rPr>
                <w:rFonts w:cs="宋体"/>
                <w:sz w:val="24"/>
              </w:rPr>
            </w:pPr>
            <w:r>
              <w:rPr>
                <w:rFonts w:hint="eastAsia" w:cs="宋体"/>
                <w:sz w:val="24"/>
                <w:lang w:eastAsia="zh-CN"/>
              </w:rPr>
              <w:t>☑</w:t>
            </w:r>
            <w:r>
              <w:rPr>
                <w:rFonts w:hint="eastAsia" w:cs="宋体"/>
                <w:sz w:val="24"/>
              </w:rPr>
              <w:t>扩建</w:t>
            </w:r>
          </w:p>
          <w:p>
            <w:pPr>
              <w:jc w:val="left"/>
              <w:rPr>
                <w:rFonts w:cs="宋体"/>
                <w:sz w:val="24"/>
              </w:rPr>
            </w:pPr>
            <w:r>
              <w:rPr>
                <w:rFonts w:hint="eastAsia" w:cs="宋体"/>
                <w:sz w:val="24"/>
              </w:rPr>
              <w:t>□技术改造</w:t>
            </w:r>
          </w:p>
        </w:tc>
        <w:tc>
          <w:tcPr>
            <w:tcW w:w="2059" w:type="dxa"/>
            <w:vAlign w:val="center"/>
          </w:tcPr>
          <w:p>
            <w:pPr>
              <w:adjustRightInd w:val="0"/>
              <w:snapToGrid w:val="0"/>
              <w:jc w:val="center"/>
              <w:rPr>
                <w:rFonts w:cs="宋体"/>
                <w:color w:val="auto"/>
                <w:sz w:val="24"/>
              </w:rPr>
            </w:pPr>
            <w:r>
              <w:rPr>
                <w:rFonts w:hint="eastAsia" w:cs="宋体"/>
                <w:color w:val="auto"/>
                <w:sz w:val="24"/>
              </w:rPr>
              <w:t>建设项目</w:t>
            </w:r>
          </w:p>
          <w:p>
            <w:pPr>
              <w:adjustRightInd w:val="0"/>
              <w:snapToGrid w:val="0"/>
              <w:jc w:val="center"/>
              <w:rPr>
                <w:rFonts w:cs="宋体"/>
                <w:sz w:val="24"/>
              </w:rPr>
            </w:pPr>
            <w:r>
              <w:rPr>
                <w:rFonts w:hint="eastAsia" w:cs="宋体"/>
                <w:color w:val="auto"/>
                <w:sz w:val="24"/>
              </w:rPr>
              <w:t>申报情形</w:t>
            </w:r>
          </w:p>
        </w:tc>
        <w:tc>
          <w:tcPr>
            <w:tcW w:w="3002" w:type="dxa"/>
            <w:vAlign w:val="center"/>
          </w:tcPr>
          <w:p>
            <w:pPr>
              <w:jc w:val="left"/>
              <w:rPr>
                <w:rFonts w:cs="宋体"/>
                <w:sz w:val="24"/>
              </w:rPr>
            </w:pPr>
            <w:r>
              <w:rPr>
                <w:rFonts w:hint="eastAsia" w:cs="宋体"/>
                <w:sz w:val="24"/>
                <w:lang w:eastAsia="zh-CN"/>
              </w:rPr>
              <w:t>☑</w:t>
            </w:r>
            <w:r>
              <w:rPr>
                <w:rFonts w:hint="eastAsia" w:cs="宋体"/>
                <w:sz w:val="24"/>
              </w:rPr>
              <w:t>首次申报项目</w:t>
            </w:r>
            <w:r>
              <w:rPr>
                <w:rFonts w:cs="宋体"/>
                <w:sz w:val="24"/>
              </w:rPr>
              <w:t xml:space="preserve">             </w:t>
            </w:r>
          </w:p>
          <w:p>
            <w:pPr>
              <w:jc w:val="left"/>
              <w:rPr>
                <w:rFonts w:cs="宋体"/>
                <w:sz w:val="24"/>
              </w:rPr>
            </w:pPr>
            <w:r>
              <w:rPr>
                <w:rFonts w:hint="eastAsia" w:cs="宋体"/>
                <w:sz w:val="24"/>
              </w:rPr>
              <w:t>□不予批准后再次申报项目</w:t>
            </w:r>
          </w:p>
          <w:p>
            <w:pPr>
              <w:jc w:val="left"/>
              <w:rPr>
                <w:rFonts w:cs="宋体"/>
                <w:sz w:val="24"/>
              </w:rPr>
            </w:pPr>
            <w:r>
              <w:rPr>
                <w:rFonts w:hint="eastAsia" w:cs="宋体"/>
                <w:sz w:val="24"/>
              </w:rPr>
              <w:t>□超五年重新审核项目</w:t>
            </w:r>
            <w:r>
              <w:rPr>
                <w:rFonts w:cs="宋体"/>
                <w:sz w:val="24"/>
              </w:rPr>
              <w:t xml:space="preserve">     </w:t>
            </w:r>
          </w:p>
          <w:p>
            <w:pPr>
              <w:jc w:val="left"/>
              <w:rPr>
                <w:rFonts w:cs="宋体"/>
                <w:sz w:val="24"/>
              </w:rPr>
            </w:pPr>
            <w:r>
              <w:rPr>
                <w:rFonts w:hint="eastAsia" w:cs="宋体"/>
                <w:sz w:val="24"/>
              </w:rPr>
              <w:t>□重大变动重新报批项目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200" w:type="dxa"/>
            <w:tcMar>
              <w:top w:w="16" w:type="dxa"/>
              <w:left w:w="16" w:type="dxa"/>
              <w:right w:w="16" w:type="dxa"/>
            </w:tcMar>
            <w:vAlign w:val="center"/>
          </w:tcPr>
          <w:p>
            <w:pPr>
              <w:adjustRightInd w:val="0"/>
              <w:snapToGrid w:val="0"/>
              <w:jc w:val="center"/>
              <w:rPr>
                <w:rFonts w:cs="宋体"/>
                <w:sz w:val="24"/>
              </w:rPr>
            </w:pPr>
            <w:r>
              <w:rPr>
                <w:rFonts w:hint="eastAsia" w:cs="宋体"/>
                <w:sz w:val="24"/>
              </w:rPr>
              <w:t>项目审批（核准</w:t>
            </w:r>
            <w:r>
              <w:rPr>
                <w:rFonts w:cs="宋体"/>
                <w:sz w:val="24"/>
              </w:rPr>
              <w:t>/</w:t>
            </w:r>
            <w:r>
              <w:rPr>
                <w:rFonts w:hint="eastAsia" w:cs="宋体"/>
                <w:sz w:val="24"/>
              </w:rPr>
              <w:t>备案）部门（选填）</w:t>
            </w:r>
          </w:p>
        </w:tc>
        <w:tc>
          <w:tcPr>
            <w:tcW w:w="2609" w:type="dxa"/>
            <w:vAlign w:val="center"/>
          </w:tcPr>
          <w:p>
            <w:pPr>
              <w:adjustRightInd w:val="0"/>
              <w:snapToGrid w:val="0"/>
              <w:jc w:val="center"/>
              <w:rPr>
                <w:rFonts w:hint="default" w:eastAsia="宋体" w:cs="宋体"/>
                <w:sz w:val="24"/>
                <w:lang w:val="en-US" w:eastAsia="zh-CN"/>
              </w:rPr>
            </w:pPr>
            <w:r>
              <w:rPr>
                <w:rFonts w:hint="eastAsia" w:cs="宋体"/>
                <w:sz w:val="24"/>
                <w:lang w:val="en-US" w:eastAsia="zh-CN"/>
              </w:rPr>
              <w:t>安徽芜湖三山经济开发区春州路2号</w:t>
            </w:r>
          </w:p>
        </w:tc>
        <w:tc>
          <w:tcPr>
            <w:tcW w:w="2059" w:type="dxa"/>
            <w:vAlign w:val="center"/>
          </w:tcPr>
          <w:p>
            <w:pPr>
              <w:adjustRightInd w:val="0"/>
              <w:snapToGrid w:val="0"/>
              <w:jc w:val="center"/>
              <w:rPr>
                <w:rFonts w:cs="宋体"/>
                <w:sz w:val="24"/>
              </w:rPr>
            </w:pPr>
            <w:r>
              <w:rPr>
                <w:rFonts w:hint="eastAsia" w:cs="宋体"/>
                <w:sz w:val="24"/>
              </w:rPr>
              <w:t>项目审批（核准</w:t>
            </w:r>
            <w:r>
              <w:rPr>
                <w:rFonts w:cs="宋体"/>
                <w:sz w:val="24"/>
              </w:rPr>
              <w:t>/</w:t>
            </w:r>
          </w:p>
          <w:p>
            <w:pPr>
              <w:adjustRightInd w:val="0"/>
              <w:snapToGrid w:val="0"/>
              <w:jc w:val="center"/>
              <w:rPr>
                <w:rFonts w:cs="宋体"/>
                <w:sz w:val="24"/>
              </w:rPr>
            </w:pPr>
            <w:r>
              <w:rPr>
                <w:rFonts w:hint="eastAsia" w:cs="宋体"/>
                <w:sz w:val="24"/>
              </w:rPr>
              <w:t>备案）文号（选填）</w:t>
            </w:r>
          </w:p>
        </w:tc>
        <w:tc>
          <w:tcPr>
            <w:tcW w:w="3002" w:type="dxa"/>
            <w:vAlign w:val="center"/>
          </w:tcPr>
          <w:p>
            <w:pPr>
              <w:adjustRightInd w:val="0"/>
              <w:snapToGrid w:val="0"/>
              <w:jc w:val="center"/>
              <w:rPr>
                <w:rFonts w:cs="宋体"/>
                <w:sz w:val="24"/>
              </w:rPr>
            </w:pPr>
            <w:r>
              <w:rPr>
                <w:rFonts w:hint="eastAsia" w:cs="宋体"/>
                <w:color w:val="auto"/>
                <w:sz w:val="24"/>
                <w:lang w:val="en-US" w:eastAsia="zh-CN"/>
              </w:rPr>
              <w:t>三经发</w:t>
            </w:r>
            <w:r>
              <w:rPr>
                <w:color w:val="000000"/>
                <w:sz w:val="24"/>
              </w:rPr>
              <w:t>【20</w:t>
            </w:r>
            <w:r>
              <w:rPr>
                <w:rFonts w:hint="eastAsia"/>
                <w:color w:val="000000"/>
                <w:sz w:val="24"/>
              </w:rPr>
              <w:t>2</w:t>
            </w:r>
            <w:r>
              <w:rPr>
                <w:rFonts w:hint="eastAsia"/>
                <w:color w:val="000000"/>
                <w:sz w:val="24"/>
                <w:lang w:val="en-US" w:eastAsia="zh-CN"/>
              </w:rPr>
              <w:t>1</w:t>
            </w:r>
            <w:r>
              <w:rPr>
                <w:color w:val="000000"/>
                <w:sz w:val="24"/>
              </w:rPr>
              <w:t>】</w:t>
            </w:r>
            <w:r>
              <w:rPr>
                <w:rFonts w:hint="eastAsia"/>
                <w:color w:val="000000"/>
                <w:sz w:val="24"/>
                <w:lang w:val="en-US" w:eastAsia="zh-CN"/>
              </w:rPr>
              <w:t>262</w:t>
            </w:r>
            <w:r>
              <w:rPr>
                <w:rFonts w:hint="eastAsia" w:cs="宋体"/>
                <w:color w:val="auto"/>
                <w:sz w:val="24"/>
              </w:rPr>
              <w:t>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200" w:type="dxa"/>
            <w:tcMar>
              <w:top w:w="16" w:type="dxa"/>
              <w:left w:w="16" w:type="dxa"/>
              <w:right w:w="16" w:type="dxa"/>
            </w:tcMar>
            <w:vAlign w:val="center"/>
          </w:tcPr>
          <w:p>
            <w:pPr>
              <w:adjustRightInd w:val="0"/>
              <w:snapToGrid w:val="0"/>
              <w:jc w:val="center"/>
              <w:rPr>
                <w:rFonts w:cs="宋体"/>
                <w:sz w:val="24"/>
              </w:rPr>
            </w:pPr>
            <w:r>
              <w:rPr>
                <w:rFonts w:hint="eastAsia" w:cs="宋体"/>
                <w:sz w:val="24"/>
              </w:rPr>
              <w:t>总投资（万元）</w:t>
            </w:r>
          </w:p>
        </w:tc>
        <w:tc>
          <w:tcPr>
            <w:tcW w:w="2609" w:type="dxa"/>
            <w:vAlign w:val="center"/>
          </w:tcPr>
          <w:p>
            <w:pPr>
              <w:adjustRightInd w:val="0"/>
              <w:snapToGrid w:val="0"/>
              <w:jc w:val="center"/>
              <w:rPr>
                <w:rFonts w:hint="default" w:eastAsia="宋体" w:cs="宋体"/>
                <w:sz w:val="24"/>
                <w:lang w:val="en-US" w:eastAsia="zh-CN"/>
              </w:rPr>
            </w:pPr>
            <w:r>
              <w:rPr>
                <w:rFonts w:hint="eastAsia" w:cs="宋体"/>
                <w:color w:val="auto"/>
                <w:sz w:val="24"/>
                <w:lang w:val="en-US" w:eastAsia="zh-CN"/>
              </w:rPr>
              <w:t>3500</w:t>
            </w:r>
          </w:p>
        </w:tc>
        <w:tc>
          <w:tcPr>
            <w:tcW w:w="2059" w:type="dxa"/>
            <w:tcMar>
              <w:top w:w="16" w:type="dxa"/>
              <w:left w:w="16" w:type="dxa"/>
              <w:right w:w="16" w:type="dxa"/>
            </w:tcMar>
            <w:vAlign w:val="center"/>
          </w:tcPr>
          <w:p>
            <w:pPr>
              <w:adjustRightInd w:val="0"/>
              <w:snapToGrid w:val="0"/>
              <w:jc w:val="center"/>
              <w:rPr>
                <w:rFonts w:cs="宋体"/>
                <w:sz w:val="24"/>
              </w:rPr>
            </w:pPr>
            <w:r>
              <w:rPr>
                <w:rFonts w:hint="eastAsia" w:cs="宋体"/>
                <w:sz w:val="24"/>
              </w:rPr>
              <w:t>环保投资（万元）</w:t>
            </w:r>
          </w:p>
        </w:tc>
        <w:tc>
          <w:tcPr>
            <w:tcW w:w="3002" w:type="dxa"/>
            <w:vAlign w:val="center"/>
          </w:tcPr>
          <w:p>
            <w:pPr>
              <w:adjustRightInd w:val="0"/>
              <w:snapToGrid w:val="0"/>
              <w:jc w:val="center"/>
              <w:rPr>
                <w:rFonts w:hint="default" w:eastAsia="宋体" w:cs="宋体"/>
                <w:sz w:val="24"/>
                <w:lang w:val="en-US" w:eastAsia="zh-CN"/>
              </w:rPr>
            </w:pPr>
            <w:r>
              <w:rPr>
                <w:rFonts w:hint="eastAsia" w:cs="宋体"/>
                <w:color w:val="auto"/>
                <w:sz w:val="24"/>
                <w:lang w:val="en-US" w:eastAsia="zh-CN"/>
              </w:rPr>
              <w:t>9.5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200" w:type="dxa"/>
            <w:tcMar>
              <w:top w:w="16" w:type="dxa"/>
              <w:left w:w="16" w:type="dxa"/>
              <w:right w:w="16" w:type="dxa"/>
            </w:tcMar>
            <w:vAlign w:val="center"/>
          </w:tcPr>
          <w:p>
            <w:pPr>
              <w:adjustRightInd w:val="0"/>
              <w:snapToGrid w:val="0"/>
              <w:jc w:val="center"/>
              <w:rPr>
                <w:rFonts w:cs="宋体"/>
                <w:sz w:val="24"/>
              </w:rPr>
            </w:pPr>
            <w:r>
              <w:rPr>
                <w:rFonts w:hint="eastAsia" w:cs="宋体"/>
                <w:sz w:val="24"/>
              </w:rPr>
              <w:t>环保投资占比（</w:t>
            </w:r>
            <w:r>
              <w:rPr>
                <w:rFonts w:cs="宋体"/>
                <w:sz w:val="24"/>
              </w:rPr>
              <w:t>%</w:t>
            </w:r>
            <w:r>
              <w:rPr>
                <w:rFonts w:hint="eastAsia" w:cs="宋体"/>
                <w:sz w:val="24"/>
              </w:rPr>
              <w:t>）</w:t>
            </w:r>
          </w:p>
        </w:tc>
        <w:tc>
          <w:tcPr>
            <w:tcW w:w="2609" w:type="dxa"/>
            <w:vAlign w:val="center"/>
          </w:tcPr>
          <w:p>
            <w:pPr>
              <w:adjustRightInd w:val="0"/>
              <w:snapToGrid w:val="0"/>
              <w:jc w:val="center"/>
              <w:rPr>
                <w:rFonts w:cs="宋体"/>
                <w:sz w:val="24"/>
              </w:rPr>
            </w:pPr>
            <w:r>
              <w:rPr>
                <w:rFonts w:cs="宋体"/>
                <w:color w:val="auto"/>
                <w:sz w:val="24"/>
              </w:rPr>
              <w:t>0.</w:t>
            </w:r>
            <w:r>
              <w:rPr>
                <w:rFonts w:hint="eastAsia" w:cs="宋体"/>
                <w:color w:val="auto"/>
                <w:sz w:val="24"/>
                <w:lang w:val="en-US" w:eastAsia="zh-CN"/>
              </w:rPr>
              <w:t>27</w:t>
            </w:r>
            <w:r>
              <w:rPr>
                <w:rFonts w:cs="宋体"/>
                <w:color w:val="auto"/>
                <w:sz w:val="24"/>
              </w:rPr>
              <w:t>%</w:t>
            </w:r>
          </w:p>
        </w:tc>
        <w:tc>
          <w:tcPr>
            <w:tcW w:w="2059" w:type="dxa"/>
            <w:tcMar>
              <w:top w:w="16" w:type="dxa"/>
              <w:left w:w="16" w:type="dxa"/>
              <w:right w:w="16" w:type="dxa"/>
            </w:tcMar>
            <w:vAlign w:val="center"/>
          </w:tcPr>
          <w:p>
            <w:pPr>
              <w:adjustRightInd w:val="0"/>
              <w:snapToGrid w:val="0"/>
              <w:jc w:val="center"/>
              <w:rPr>
                <w:rFonts w:cs="宋体"/>
                <w:sz w:val="24"/>
              </w:rPr>
            </w:pPr>
            <w:r>
              <w:rPr>
                <w:rFonts w:hint="eastAsia" w:cs="宋体"/>
                <w:sz w:val="24"/>
              </w:rPr>
              <w:t>施工工期</w:t>
            </w:r>
          </w:p>
        </w:tc>
        <w:tc>
          <w:tcPr>
            <w:tcW w:w="3002" w:type="dxa"/>
            <w:vAlign w:val="center"/>
          </w:tcPr>
          <w:p>
            <w:pPr>
              <w:adjustRightInd w:val="0"/>
              <w:snapToGrid w:val="0"/>
              <w:jc w:val="center"/>
              <w:rPr>
                <w:rFonts w:hint="default" w:eastAsia="宋体" w:cs="宋体"/>
                <w:sz w:val="24"/>
                <w:lang w:val="en-US" w:eastAsia="zh-CN"/>
              </w:rPr>
            </w:pPr>
            <w:r>
              <w:rPr>
                <w:rFonts w:hint="eastAsia" w:cs="宋体"/>
                <w:sz w:val="24"/>
                <w:lang w:val="en-US" w:eastAsia="zh-CN"/>
              </w:rPr>
              <w:t>2个月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200" w:type="dxa"/>
            <w:tcMar>
              <w:top w:w="16" w:type="dxa"/>
              <w:left w:w="16" w:type="dxa"/>
              <w:right w:w="16" w:type="dxa"/>
            </w:tcMar>
            <w:vAlign w:val="center"/>
          </w:tcPr>
          <w:p>
            <w:pPr>
              <w:adjustRightInd w:val="0"/>
              <w:snapToGrid w:val="0"/>
              <w:jc w:val="center"/>
              <w:rPr>
                <w:rFonts w:cs="宋体"/>
                <w:sz w:val="24"/>
              </w:rPr>
            </w:pPr>
            <w:r>
              <w:rPr>
                <w:rFonts w:hint="eastAsia" w:cs="宋体"/>
                <w:sz w:val="24"/>
              </w:rPr>
              <w:t>是否开工建设</w:t>
            </w:r>
          </w:p>
        </w:tc>
        <w:tc>
          <w:tcPr>
            <w:tcW w:w="2609" w:type="dxa"/>
            <w:vAlign w:val="center"/>
          </w:tcPr>
          <w:p>
            <w:pPr>
              <w:adjustRightInd w:val="0"/>
              <w:snapToGrid w:val="0"/>
              <w:rPr>
                <w:rFonts w:cs="宋体"/>
                <w:sz w:val="24"/>
              </w:rPr>
            </w:pPr>
            <w:r>
              <w:rPr>
                <w:rFonts w:hint="eastAsia" w:cs="宋体"/>
                <w:sz w:val="24"/>
                <w:lang w:eastAsia="zh-CN"/>
              </w:rPr>
              <w:t>☑</w:t>
            </w:r>
            <w:r>
              <w:rPr>
                <w:rFonts w:hint="eastAsia" w:cs="宋体"/>
                <w:sz w:val="24"/>
              </w:rPr>
              <w:t>否</w:t>
            </w:r>
          </w:p>
          <w:p>
            <w:pPr>
              <w:adjustRightInd w:val="0"/>
              <w:snapToGrid w:val="0"/>
              <w:rPr>
                <w:rFonts w:cs="宋体"/>
                <w:sz w:val="24"/>
              </w:rPr>
            </w:pPr>
            <w:r>
              <w:rPr>
                <w:rFonts w:hint="eastAsia" w:cs="宋体"/>
                <w:sz w:val="24"/>
              </w:rPr>
              <w:t>□是</w:t>
            </w:r>
          </w:p>
        </w:tc>
        <w:tc>
          <w:tcPr>
            <w:tcW w:w="2059" w:type="dxa"/>
            <w:tcMar>
              <w:top w:w="16" w:type="dxa"/>
              <w:left w:w="16" w:type="dxa"/>
              <w:right w:w="16" w:type="dxa"/>
            </w:tcMar>
            <w:vAlign w:val="center"/>
          </w:tcPr>
          <w:p>
            <w:pPr>
              <w:adjustRightInd w:val="0"/>
              <w:snapToGrid w:val="0"/>
              <w:jc w:val="center"/>
              <w:rPr>
                <w:rFonts w:cs="宋体"/>
                <w:spacing w:val="-6"/>
                <w:sz w:val="24"/>
              </w:rPr>
            </w:pPr>
            <w:r>
              <w:rPr>
                <w:rFonts w:hint="eastAsia" w:cs="宋体"/>
                <w:spacing w:val="-6"/>
                <w:sz w:val="24"/>
              </w:rPr>
              <w:t>用地（用海）</w:t>
            </w:r>
          </w:p>
          <w:p>
            <w:pPr>
              <w:adjustRightInd w:val="0"/>
              <w:snapToGrid w:val="0"/>
              <w:jc w:val="center"/>
              <w:rPr>
                <w:rFonts w:cs="宋体"/>
                <w:sz w:val="24"/>
              </w:rPr>
            </w:pPr>
            <w:r>
              <w:rPr>
                <w:rFonts w:hint="eastAsia" w:cs="宋体"/>
                <w:spacing w:val="-6"/>
                <w:sz w:val="24"/>
              </w:rPr>
              <w:t>面积（</w:t>
            </w:r>
            <w:r>
              <w:rPr>
                <w:rFonts w:cs="宋体"/>
                <w:spacing w:val="-6"/>
                <w:sz w:val="24"/>
              </w:rPr>
              <w:t>m</w:t>
            </w:r>
            <w:r>
              <w:rPr>
                <w:rFonts w:cs="宋体"/>
                <w:spacing w:val="-6"/>
                <w:sz w:val="24"/>
                <w:vertAlign w:val="superscript"/>
              </w:rPr>
              <w:t>2</w:t>
            </w:r>
            <w:r>
              <w:rPr>
                <w:rFonts w:hint="eastAsia" w:cs="宋体"/>
                <w:spacing w:val="-6"/>
                <w:sz w:val="24"/>
              </w:rPr>
              <w:t>）</w:t>
            </w:r>
          </w:p>
        </w:tc>
        <w:tc>
          <w:tcPr>
            <w:tcW w:w="3002" w:type="dxa"/>
            <w:vAlign w:val="center"/>
          </w:tcPr>
          <w:p>
            <w:pPr>
              <w:adjustRightInd w:val="0"/>
              <w:snapToGrid w:val="0"/>
              <w:jc w:val="center"/>
              <w:rPr>
                <w:rFonts w:hint="default" w:eastAsia="宋体" w:cs="宋体"/>
                <w:sz w:val="24"/>
                <w:lang w:val="en-US" w:eastAsia="zh-CN"/>
              </w:rPr>
            </w:pPr>
            <w:r>
              <w:rPr>
                <w:rFonts w:hint="eastAsia" w:cs="宋体"/>
                <w:color w:val="auto"/>
                <w:sz w:val="24"/>
                <w:lang w:val="en-US" w:eastAsia="zh-CN"/>
              </w:rPr>
              <w:t>3969</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200" w:type="dxa"/>
            <w:vAlign w:val="center"/>
          </w:tcPr>
          <w:p>
            <w:pPr>
              <w:autoSpaceDE w:val="0"/>
              <w:autoSpaceDN w:val="0"/>
              <w:adjustRightInd w:val="0"/>
              <w:snapToGrid w:val="0"/>
              <w:jc w:val="center"/>
              <w:rPr>
                <w:rFonts w:cs="宋体"/>
                <w:kern w:val="0"/>
                <w:sz w:val="24"/>
              </w:rPr>
            </w:pPr>
            <w:r>
              <w:rPr>
                <w:rFonts w:hint="eastAsia" w:cs="宋体"/>
                <w:kern w:val="0"/>
                <w:sz w:val="24"/>
              </w:rPr>
              <w:t>专项评价设置情况</w:t>
            </w:r>
          </w:p>
        </w:tc>
        <w:tc>
          <w:tcPr>
            <w:tcW w:w="7670" w:type="dxa"/>
            <w:gridSpan w:val="3"/>
            <w:vAlign w:val="center"/>
          </w:tcPr>
          <w:p>
            <w:pPr>
              <w:autoSpaceDE w:val="0"/>
              <w:autoSpaceDN w:val="0"/>
              <w:adjustRightInd w:val="0"/>
              <w:snapToGrid w:val="0"/>
              <w:jc w:val="center"/>
              <w:rPr>
                <w:rFonts w:cs="宋体"/>
                <w:kern w:val="0"/>
                <w:sz w:val="24"/>
              </w:rPr>
            </w:pPr>
            <w:r>
              <w:rPr>
                <w:rFonts w:hint="eastAsia" w:cs="宋体"/>
                <w:kern w:val="0"/>
                <w:sz w:val="24"/>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200" w:type="dxa"/>
            <w:vAlign w:val="center"/>
          </w:tcPr>
          <w:p>
            <w:pPr>
              <w:autoSpaceDE w:val="0"/>
              <w:autoSpaceDN w:val="0"/>
              <w:adjustRightInd w:val="0"/>
              <w:snapToGrid w:val="0"/>
              <w:jc w:val="center"/>
              <w:rPr>
                <w:rFonts w:cs="宋体"/>
                <w:kern w:val="0"/>
                <w:sz w:val="24"/>
              </w:rPr>
            </w:pPr>
            <w:r>
              <w:rPr>
                <w:rFonts w:hint="eastAsia" w:cs="宋体"/>
                <w:sz w:val="24"/>
              </w:rPr>
              <w:t>规划情况</w:t>
            </w:r>
          </w:p>
        </w:tc>
        <w:tc>
          <w:tcPr>
            <w:tcW w:w="7670" w:type="dxa"/>
            <w:gridSpan w:val="3"/>
            <w:vAlign w:val="center"/>
          </w:tcPr>
          <w:p>
            <w:pPr>
              <w:autoSpaceDE w:val="0"/>
              <w:autoSpaceDN w:val="0"/>
              <w:adjustRightInd w:val="0"/>
              <w:snapToGrid w:val="0"/>
              <w:jc w:val="both"/>
              <w:rPr>
                <w:rFonts w:hint="eastAsia" w:cs="宋体"/>
                <w:color w:val="auto"/>
                <w:kern w:val="0"/>
                <w:sz w:val="24"/>
              </w:rPr>
            </w:pPr>
            <w:r>
              <w:rPr>
                <w:rFonts w:hint="eastAsia" w:cs="宋体"/>
                <w:color w:val="auto"/>
                <w:kern w:val="0"/>
                <w:sz w:val="24"/>
              </w:rPr>
              <w:t>规划名称：《安徽芜湖三山经济开发区总体发展规划（2013~2030）》</w:t>
            </w:r>
          </w:p>
          <w:p>
            <w:pPr>
              <w:autoSpaceDE w:val="0"/>
              <w:autoSpaceDN w:val="0"/>
              <w:adjustRightInd w:val="0"/>
              <w:snapToGrid w:val="0"/>
              <w:jc w:val="both"/>
              <w:rPr>
                <w:rFonts w:hint="eastAsia" w:cs="宋体"/>
                <w:color w:val="auto"/>
                <w:kern w:val="0"/>
                <w:sz w:val="24"/>
              </w:rPr>
            </w:pPr>
            <w:r>
              <w:rPr>
                <w:rFonts w:hint="eastAsia" w:cs="宋体"/>
                <w:color w:val="auto"/>
                <w:kern w:val="0"/>
                <w:sz w:val="24"/>
              </w:rPr>
              <w:t>审批机关：安徽省人民政府</w:t>
            </w:r>
          </w:p>
          <w:p>
            <w:pPr>
              <w:autoSpaceDE w:val="0"/>
              <w:autoSpaceDN w:val="0"/>
              <w:adjustRightInd w:val="0"/>
              <w:snapToGrid w:val="0"/>
              <w:jc w:val="both"/>
              <w:rPr>
                <w:rFonts w:cs="宋体"/>
                <w:kern w:val="0"/>
                <w:sz w:val="24"/>
              </w:rPr>
            </w:pPr>
            <w:r>
              <w:rPr>
                <w:rFonts w:hint="eastAsia" w:cs="宋体"/>
                <w:color w:val="auto"/>
                <w:kern w:val="0"/>
                <w:sz w:val="24"/>
              </w:rPr>
              <w:t>审批文件名称及文号：/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200" w:type="dxa"/>
            <w:vAlign w:val="center"/>
          </w:tcPr>
          <w:p>
            <w:pPr>
              <w:adjustRightInd w:val="0"/>
              <w:snapToGrid w:val="0"/>
              <w:jc w:val="center"/>
              <w:rPr>
                <w:rFonts w:cs="宋体"/>
                <w:sz w:val="24"/>
              </w:rPr>
            </w:pPr>
            <w:r>
              <w:rPr>
                <w:rFonts w:hint="eastAsia" w:cs="宋体"/>
                <w:sz w:val="24"/>
              </w:rPr>
              <w:t>规划环境影响</w:t>
            </w:r>
          </w:p>
          <w:p>
            <w:pPr>
              <w:adjustRightInd w:val="0"/>
              <w:snapToGrid w:val="0"/>
              <w:jc w:val="center"/>
              <w:rPr>
                <w:rFonts w:cs="宋体"/>
                <w:kern w:val="0"/>
                <w:sz w:val="24"/>
              </w:rPr>
            </w:pPr>
            <w:r>
              <w:rPr>
                <w:rFonts w:hint="eastAsia" w:cs="宋体"/>
                <w:sz w:val="24"/>
              </w:rPr>
              <w:t>评价情况</w:t>
            </w:r>
          </w:p>
        </w:tc>
        <w:tc>
          <w:tcPr>
            <w:tcW w:w="7670" w:type="dxa"/>
            <w:gridSpan w:val="3"/>
            <w:vAlign w:val="center"/>
          </w:tcPr>
          <w:p>
            <w:pPr>
              <w:autoSpaceDE w:val="0"/>
              <w:autoSpaceDN w:val="0"/>
              <w:adjustRightInd w:val="0"/>
              <w:snapToGrid w:val="0"/>
              <w:jc w:val="both"/>
              <w:rPr>
                <w:rFonts w:hint="eastAsia" w:cs="宋体"/>
                <w:kern w:val="0"/>
                <w:sz w:val="24"/>
              </w:rPr>
            </w:pPr>
            <w:r>
              <w:rPr>
                <w:rFonts w:hint="eastAsia" w:cs="宋体"/>
                <w:kern w:val="0"/>
                <w:sz w:val="24"/>
              </w:rPr>
              <w:t>规划名称：《安徽芜湖三山经济开发区总体发展规划环境影响报告书》</w:t>
            </w:r>
          </w:p>
          <w:p>
            <w:pPr>
              <w:autoSpaceDE w:val="0"/>
              <w:autoSpaceDN w:val="0"/>
              <w:adjustRightInd w:val="0"/>
              <w:snapToGrid w:val="0"/>
              <w:jc w:val="both"/>
              <w:rPr>
                <w:rFonts w:hint="eastAsia" w:cs="宋体"/>
                <w:kern w:val="0"/>
                <w:sz w:val="24"/>
              </w:rPr>
            </w:pPr>
            <w:r>
              <w:rPr>
                <w:rFonts w:hint="eastAsia" w:cs="宋体"/>
                <w:kern w:val="0"/>
                <w:sz w:val="24"/>
              </w:rPr>
              <w:t>召集审查机关：原安徽省环境保护厅</w:t>
            </w:r>
          </w:p>
          <w:p>
            <w:pPr>
              <w:autoSpaceDE w:val="0"/>
              <w:autoSpaceDN w:val="0"/>
              <w:adjustRightInd w:val="0"/>
              <w:snapToGrid w:val="0"/>
              <w:jc w:val="both"/>
              <w:rPr>
                <w:rFonts w:cs="宋体"/>
                <w:kern w:val="0"/>
                <w:sz w:val="24"/>
              </w:rPr>
            </w:pPr>
            <w:r>
              <w:rPr>
                <w:rFonts w:hint="eastAsia" w:cs="宋体"/>
                <w:kern w:val="0"/>
                <w:sz w:val="24"/>
              </w:rPr>
              <w:t>审批文件名称及文号：皖环函[2014]654号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592" w:hRule="atLeast"/>
          <w:jc w:val="center"/>
        </w:trPr>
        <w:tc>
          <w:tcPr>
            <w:tcW w:w="1200" w:type="dxa"/>
            <w:vAlign w:val="center"/>
          </w:tcPr>
          <w:p>
            <w:pPr>
              <w:autoSpaceDE w:val="0"/>
              <w:autoSpaceDN w:val="0"/>
              <w:adjustRightInd w:val="0"/>
              <w:snapToGrid w:val="0"/>
              <w:jc w:val="center"/>
              <w:rPr>
                <w:rFonts w:cs="宋体"/>
                <w:kern w:val="0"/>
                <w:sz w:val="24"/>
              </w:rPr>
            </w:pPr>
            <w:r>
              <w:rPr>
                <w:rFonts w:hint="eastAsia" w:cs="宋体"/>
                <w:kern w:val="0"/>
                <w:sz w:val="24"/>
              </w:rPr>
              <w:t>规划及规划环境影响评价符合性分析</w:t>
            </w:r>
          </w:p>
        </w:tc>
        <w:tc>
          <w:tcPr>
            <w:tcW w:w="7670" w:type="dxa"/>
            <w:gridSpan w:val="3"/>
            <w:vAlign w:val="center"/>
          </w:tcPr>
          <w:p>
            <w:pPr>
              <w:spacing w:line="360" w:lineRule="auto"/>
              <w:rPr>
                <w:b/>
                <w:color w:val="000000"/>
                <w:sz w:val="24"/>
              </w:rPr>
            </w:pPr>
            <w:r>
              <w:rPr>
                <w:rFonts w:hint="eastAsia"/>
                <w:b/>
                <w:color w:val="000000"/>
                <w:sz w:val="24"/>
              </w:rPr>
              <w:t>1、</w:t>
            </w:r>
            <w:r>
              <w:rPr>
                <w:b/>
                <w:color w:val="000000"/>
                <w:sz w:val="24"/>
              </w:rPr>
              <w:t>规划用地相符性分析</w:t>
            </w:r>
          </w:p>
          <w:p>
            <w:pPr>
              <w:spacing w:line="360" w:lineRule="auto"/>
              <w:ind w:firstLine="480" w:firstLineChars="200"/>
              <w:rPr>
                <w:rFonts w:hint="eastAsia"/>
                <w:color w:val="000000"/>
                <w:sz w:val="24"/>
              </w:rPr>
            </w:pPr>
            <w:r>
              <w:rPr>
                <w:rFonts w:hint="eastAsia"/>
                <w:color w:val="000000"/>
                <w:sz w:val="24"/>
              </w:rPr>
              <w:t>本项目建设地点位于安徽省芜湖市三山区经济开发区春洲路2号，建设项目所在地东侧为新兴际华搅拌站，南侧为空地，西侧为芜湖新兴铸管有限责任公司主厂区，北侧为春洲路。</w:t>
            </w:r>
          </w:p>
          <w:p>
            <w:pPr>
              <w:spacing w:line="360" w:lineRule="auto"/>
              <w:ind w:firstLine="480" w:firstLineChars="200"/>
              <w:rPr>
                <w:color w:val="000000"/>
                <w:sz w:val="24"/>
              </w:rPr>
            </w:pPr>
            <w:r>
              <w:rPr>
                <w:rFonts w:hint="eastAsia"/>
                <w:color w:val="000000"/>
                <w:sz w:val="24"/>
              </w:rPr>
              <w:t>根据《安徽芜湖三山经济开发区总体发展规划环境影响报告书》，项目区土地性质为工业用地，且项目区周边无环境敏感区，且本项目未被列入国土资源部国家发展和改革委员会关于发布实施《限制用地项目目录（2012年本）》和《禁止用地项目目录（2012年本）》。因此，建设项目与区域规划相符，与用地性质相符。</w:t>
            </w:r>
          </w:p>
          <w:p>
            <w:pPr>
              <w:widowControl/>
              <w:spacing w:line="360" w:lineRule="auto"/>
              <w:jc w:val="left"/>
              <w:rPr>
                <w:b/>
                <w:bCs/>
                <w:color w:val="000000"/>
                <w:kern w:val="0"/>
                <w:sz w:val="24"/>
              </w:rPr>
            </w:pPr>
            <w:r>
              <w:rPr>
                <w:rFonts w:hint="eastAsia"/>
                <w:b/>
                <w:bCs/>
                <w:color w:val="000000"/>
                <w:kern w:val="0"/>
                <w:sz w:val="24"/>
              </w:rPr>
              <w:t>2、</w:t>
            </w:r>
            <w:r>
              <w:rPr>
                <w:b/>
                <w:bCs/>
                <w:color w:val="000000"/>
                <w:kern w:val="0"/>
                <w:sz w:val="24"/>
              </w:rPr>
              <w:t>与</w:t>
            </w:r>
            <w:r>
              <w:rPr>
                <w:rFonts w:hint="eastAsia"/>
                <w:b/>
                <w:bCs/>
                <w:color w:val="000000"/>
                <w:kern w:val="0"/>
                <w:sz w:val="24"/>
              </w:rPr>
              <w:t>规划环评</w:t>
            </w:r>
            <w:r>
              <w:rPr>
                <w:b/>
                <w:bCs/>
                <w:color w:val="000000"/>
                <w:kern w:val="0"/>
                <w:sz w:val="24"/>
              </w:rPr>
              <w:t>及其审查意</w:t>
            </w:r>
            <w:r>
              <w:rPr>
                <w:rFonts w:hint="eastAsia"/>
                <w:b/>
                <w:bCs/>
                <w:color w:val="000000"/>
                <w:kern w:val="0"/>
                <w:sz w:val="24"/>
              </w:rPr>
              <w:t>见</w:t>
            </w:r>
            <w:r>
              <w:rPr>
                <w:b/>
                <w:bCs/>
                <w:color w:val="000000"/>
                <w:kern w:val="0"/>
                <w:sz w:val="24"/>
              </w:rPr>
              <w:t>相符性分析</w:t>
            </w:r>
          </w:p>
          <w:p>
            <w:pPr>
              <w:pStyle w:val="8"/>
              <w:spacing w:line="460" w:lineRule="exact"/>
              <w:ind w:firstLine="480" w:firstLineChars="200"/>
              <w:rPr>
                <w:rFonts w:hint="eastAsia"/>
                <w:bCs/>
                <w:color w:val="000000"/>
                <w:szCs w:val="24"/>
              </w:rPr>
            </w:pPr>
            <w:r>
              <w:rPr>
                <w:rFonts w:hint="eastAsia"/>
                <w:bCs/>
                <w:color w:val="000000"/>
                <w:szCs w:val="24"/>
              </w:rPr>
              <w:t>根据《安徽芜湖三山经济开发区总体发展规划环境影响报告书》，</w:t>
            </w:r>
          </w:p>
          <w:p>
            <w:pPr>
              <w:pStyle w:val="8"/>
              <w:spacing w:line="460" w:lineRule="exact"/>
              <w:rPr>
                <w:bCs/>
                <w:color w:val="000000"/>
                <w:szCs w:val="24"/>
              </w:rPr>
            </w:pPr>
            <w:r>
              <w:rPr>
                <w:rFonts w:hint="eastAsia"/>
                <w:bCs/>
                <w:color w:val="000000"/>
                <w:szCs w:val="24"/>
              </w:rPr>
              <w:t>安徽芜湖三山经济开发区主要由两片区构成：北片区和南片区。北片区范围是北到长江，南到小江和联合大道，西到铁路专用线路和峨溪路，东到五华山路；南片区范围是北到小江，南到长江南路，西到铁路专用线路，东到莲花湖路，面积为17.68 km</w:t>
            </w:r>
            <w:r>
              <w:rPr>
                <w:rFonts w:hint="eastAsia"/>
                <w:bCs/>
                <w:color w:val="000000"/>
                <w:szCs w:val="24"/>
                <w:vertAlign w:val="superscript"/>
              </w:rPr>
              <w:t>2</w:t>
            </w:r>
            <w:r>
              <w:rPr>
                <w:rFonts w:hint="eastAsia"/>
                <w:bCs/>
                <w:color w:val="000000"/>
                <w:szCs w:val="24"/>
              </w:rPr>
              <w:t>。开发区产业定位为：装备制造、现代物流和电子信息三大主导产业，同时发展现代服务业。</w:t>
            </w:r>
          </w:p>
          <w:p>
            <w:pPr>
              <w:jc w:val="center"/>
              <w:rPr>
                <w:b/>
                <w:color w:val="000000"/>
                <w:sz w:val="22"/>
                <w:szCs w:val="22"/>
              </w:rPr>
            </w:pPr>
            <w:r>
              <w:rPr>
                <w:rFonts w:hint="eastAsia"/>
                <w:b/>
                <w:color w:val="000000"/>
                <w:sz w:val="22"/>
                <w:szCs w:val="22"/>
              </w:rPr>
              <w:t>表 1-1 安徽芜湖三山经济开发区入区主导项目行业参考建议一览表</w:t>
            </w:r>
          </w:p>
          <w:tbl>
            <w:tblPr>
              <w:tblStyle w:val="26"/>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80"/>
              <w:gridCol w:w="4947"/>
              <w:gridCol w:w="132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176" w:type="dxa"/>
                  <w:vAlign w:val="center"/>
                </w:tcPr>
                <w:p>
                  <w:pPr>
                    <w:snapToGrid w:val="0"/>
                    <w:jc w:val="center"/>
                    <w:rPr>
                      <w:b/>
                      <w:szCs w:val="21"/>
                    </w:rPr>
                  </w:pPr>
                  <w:r>
                    <w:rPr>
                      <w:b/>
                      <w:szCs w:val="21"/>
                    </w:rPr>
                    <w:t>行业代码</w:t>
                  </w:r>
                </w:p>
              </w:tc>
              <w:tc>
                <w:tcPr>
                  <w:tcW w:w="4932" w:type="dxa"/>
                  <w:vAlign w:val="center"/>
                </w:tcPr>
                <w:p>
                  <w:pPr>
                    <w:snapToGrid w:val="0"/>
                    <w:jc w:val="center"/>
                    <w:rPr>
                      <w:b/>
                      <w:szCs w:val="21"/>
                    </w:rPr>
                  </w:pPr>
                  <w:r>
                    <w:rPr>
                      <w:b/>
                      <w:szCs w:val="21"/>
                    </w:rPr>
                    <w:t>行业名称</w:t>
                  </w:r>
                </w:p>
              </w:tc>
              <w:tc>
                <w:tcPr>
                  <w:tcW w:w="1323" w:type="dxa"/>
                  <w:vAlign w:val="center"/>
                </w:tcPr>
                <w:p>
                  <w:pPr>
                    <w:snapToGrid w:val="0"/>
                    <w:jc w:val="center"/>
                    <w:rPr>
                      <w:b/>
                      <w:szCs w:val="21"/>
                    </w:rPr>
                  </w:pPr>
                  <w:r>
                    <w:rPr>
                      <w:rFonts w:hint="eastAsia"/>
                      <w:b/>
                      <w:szCs w:val="21"/>
                    </w:rPr>
                    <w:t>控制</w:t>
                  </w:r>
                  <w:r>
                    <w:rPr>
                      <w:b/>
                      <w:szCs w:val="21"/>
                    </w:rPr>
                    <w:t>建议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176" w:type="dxa"/>
                  <w:vAlign w:val="center"/>
                </w:tcPr>
                <w:p>
                  <w:pPr>
                    <w:autoSpaceDE w:val="0"/>
                    <w:autoSpaceDN w:val="0"/>
                    <w:adjustRightInd w:val="0"/>
                    <w:snapToGrid w:val="0"/>
                    <w:spacing w:line="340" w:lineRule="exact"/>
                    <w:jc w:val="center"/>
                    <w:rPr>
                      <w:b/>
                      <w:color w:val="000000"/>
                      <w:szCs w:val="21"/>
                    </w:rPr>
                  </w:pPr>
                  <w:r>
                    <w:rPr>
                      <w:rFonts w:hint="eastAsia"/>
                      <w:b/>
                      <w:color w:val="000000"/>
                      <w:szCs w:val="21"/>
                    </w:rPr>
                    <w:t>18</w:t>
                  </w:r>
                </w:p>
              </w:tc>
              <w:tc>
                <w:tcPr>
                  <w:tcW w:w="4932" w:type="dxa"/>
                  <w:vAlign w:val="center"/>
                </w:tcPr>
                <w:p>
                  <w:pPr>
                    <w:autoSpaceDE w:val="0"/>
                    <w:autoSpaceDN w:val="0"/>
                    <w:adjustRightInd w:val="0"/>
                    <w:snapToGrid w:val="0"/>
                    <w:spacing w:line="340" w:lineRule="exact"/>
                    <w:jc w:val="center"/>
                    <w:rPr>
                      <w:b/>
                      <w:color w:val="000000"/>
                      <w:szCs w:val="21"/>
                    </w:rPr>
                  </w:pPr>
                  <w:r>
                    <w:rPr>
                      <w:rFonts w:hint="eastAsia"/>
                      <w:b/>
                      <w:color w:val="000000"/>
                      <w:szCs w:val="21"/>
                    </w:rPr>
                    <w:t>纺织服装、服饰业</w:t>
                  </w:r>
                </w:p>
              </w:tc>
              <w:tc>
                <w:tcPr>
                  <w:tcW w:w="1323" w:type="dxa"/>
                  <w:vAlign w:val="center"/>
                </w:tcPr>
                <w:p>
                  <w:pPr>
                    <w:autoSpaceDE w:val="0"/>
                    <w:autoSpaceDN w:val="0"/>
                    <w:adjustRightInd w:val="0"/>
                    <w:snapToGrid w:val="0"/>
                    <w:spacing w:line="340" w:lineRule="exact"/>
                    <w:jc w:val="center"/>
                    <w:rPr>
                      <w:b/>
                      <w:color w:val="000000"/>
                      <w:szCs w:val="21"/>
                    </w:rPr>
                  </w:pPr>
                  <w:r>
                    <w:rPr>
                      <w:rFonts w:hint="eastAsia"/>
                      <w:b/>
                      <w:color w:val="000000"/>
                      <w:szCs w:val="21"/>
                    </w:rPr>
                    <w:t>优先进入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176" w:type="dxa"/>
                  <w:vAlign w:val="center"/>
                </w:tcPr>
                <w:p>
                  <w:pPr>
                    <w:autoSpaceDE w:val="0"/>
                    <w:autoSpaceDN w:val="0"/>
                    <w:adjustRightInd w:val="0"/>
                    <w:snapToGrid w:val="0"/>
                    <w:spacing w:line="340" w:lineRule="exact"/>
                    <w:jc w:val="center"/>
                    <w:rPr>
                      <w:b/>
                      <w:color w:val="000000"/>
                      <w:szCs w:val="21"/>
                    </w:rPr>
                  </w:pPr>
                  <w:r>
                    <w:rPr>
                      <w:rFonts w:hint="eastAsia"/>
                      <w:b/>
                      <w:color w:val="000000"/>
                      <w:szCs w:val="21"/>
                    </w:rPr>
                    <w:t>19</w:t>
                  </w:r>
                </w:p>
              </w:tc>
              <w:tc>
                <w:tcPr>
                  <w:tcW w:w="4932" w:type="dxa"/>
                  <w:vAlign w:val="center"/>
                </w:tcPr>
                <w:p>
                  <w:pPr>
                    <w:autoSpaceDE w:val="0"/>
                    <w:autoSpaceDN w:val="0"/>
                    <w:adjustRightInd w:val="0"/>
                    <w:snapToGrid w:val="0"/>
                    <w:spacing w:line="340" w:lineRule="exact"/>
                    <w:jc w:val="center"/>
                    <w:rPr>
                      <w:b/>
                      <w:color w:val="000000"/>
                      <w:szCs w:val="21"/>
                    </w:rPr>
                  </w:pPr>
                  <w:r>
                    <w:rPr>
                      <w:rFonts w:hint="eastAsia"/>
                      <w:b/>
                      <w:color w:val="000000"/>
                      <w:szCs w:val="21"/>
                    </w:rPr>
                    <w:t>皮革、毛皮、羽毛及其制品和制鞋业</w:t>
                  </w:r>
                </w:p>
              </w:tc>
              <w:tc>
                <w:tcPr>
                  <w:tcW w:w="1323" w:type="dxa"/>
                  <w:vAlign w:val="center"/>
                </w:tcPr>
                <w:p>
                  <w:pPr>
                    <w:autoSpaceDE w:val="0"/>
                    <w:autoSpaceDN w:val="0"/>
                    <w:adjustRightInd w:val="0"/>
                    <w:snapToGrid w:val="0"/>
                    <w:spacing w:line="340" w:lineRule="exact"/>
                    <w:jc w:val="center"/>
                    <w:rPr>
                      <w:color w:val="000000"/>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176" w:type="dxa"/>
                  <w:vAlign w:val="center"/>
                </w:tcPr>
                <w:p>
                  <w:pPr>
                    <w:autoSpaceDE w:val="0"/>
                    <w:autoSpaceDN w:val="0"/>
                    <w:adjustRightInd w:val="0"/>
                    <w:snapToGrid w:val="0"/>
                    <w:spacing w:line="340" w:lineRule="exact"/>
                    <w:jc w:val="center"/>
                    <w:rPr>
                      <w:color w:val="000000"/>
                      <w:szCs w:val="21"/>
                    </w:rPr>
                  </w:pPr>
                  <w:r>
                    <w:rPr>
                      <w:rFonts w:hint="eastAsia"/>
                      <w:color w:val="000000"/>
                      <w:szCs w:val="21"/>
                    </w:rPr>
                    <w:t>191</w:t>
                  </w:r>
                </w:p>
              </w:tc>
              <w:tc>
                <w:tcPr>
                  <w:tcW w:w="4932" w:type="dxa"/>
                  <w:vAlign w:val="center"/>
                </w:tcPr>
                <w:p>
                  <w:pPr>
                    <w:autoSpaceDE w:val="0"/>
                    <w:autoSpaceDN w:val="0"/>
                    <w:adjustRightInd w:val="0"/>
                    <w:snapToGrid w:val="0"/>
                    <w:spacing w:line="340" w:lineRule="exact"/>
                    <w:jc w:val="center"/>
                    <w:rPr>
                      <w:color w:val="000000"/>
                      <w:szCs w:val="21"/>
                    </w:rPr>
                  </w:pPr>
                  <w:r>
                    <w:rPr>
                      <w:rFonts w:hint="eastAsia"/>
                      <w:color w:val="000000"/>
                      <w:szCs w:val="21"/>
                    </w:rPr>
                    <w:t>皮革鞣制加工</w:t>
                  </w:r>
                </w:p>
              </w:tc>
              <w:tc>
                <w:tcPr>
                  <w:tcW w:w="1323" w:type="dxa"/>
                  <w:vAlign w:val="center"/>
                </w:tcPr>
                <w:p>
                  <w:pPr>
                    <w:autoSpaceDE w:val="0"/>
                    <w:autoSpaceDN w:val="0"/>
                    <w:adjustRightInd w:val="0"/>
                    <w:snapToGrid w:val="0"/>
                    <w:spacing w:line="340" w:lineRule="exact"/>
                    <w:jc w:val="center"/>
                    <w:rPr>
                      <w:color w:val="000000"/>
                      <w:szCs w:val="21"/>
                    </w:rPr>
                  </w:pPr>
                  <w:r>
                    <w:rPr>
                      <w:rFonts w:hint="eastAsia"/>
                      <w:color w:val="000000"/>
                      <w:szCs w:val="21"/>
                    </w:rPr>
                    <w:t>禁止进入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176" w:type="dxa"/>
                  <w:vAlign w:val="center"/>
                </w:tcPr>
                <w:p>
                  <w:pPr>
                    <w:autoSpaceDE w:val="0"/>
                    <w:autoSpaceDN w:val="0"/>
                    <w:adjustRightInd w:val="0"/>
                    <w:snapToGrid w:val="0"/>
                    <w:spacing w:line="340" w:lineRule="exact"/>
                    <w:jc w:val="center"/>
                    <w:rPr>
                      <w:color w:val="000000"/>
                      <w:szCs w:val="21"/>
                    </w:rPr>
                  </w:pPr>
                  <w:r>
                    <w:rPr>
                      <w:rFonts w:hint="eastAsia"/>
                      <w:color w:val="000000"/>
                      <w:szCs w:val="21"/>
                    </w:rPr>
                    <w:t>193</w:t>
                  </w:r>
                </w:p>
              </w:tc>
              <w:tc>
                <w:tcPr>
                  <w:tcW w:w="4932" w:type="dxa"/>
                  <w:vAlign w:val="center"/>
                </w:tcPr>
                <w:p>
                  <w:pPr>
                    <w:autoSpaceDE w:val="0"/>
                    <w:autoSpaceDN w:val="0"/>
                    <w:adjustRightInd w:val="0"/>
                    <w:snapToGrid w:val="0"/>
                    <w:spacing w:line="340" w:lineRule="exact"/>
                    <w:jc w:val="center"/>
                    <w:rPr>
                      <w:color w:val="000000"/>
                      <w:szCs w:val="21"/>
                    </w:rPr>
                  </w:pPr>
                  <w:r>
                    <w:rPr>
                      <w:rFonts w:hint="eastAsia"/>
                      <w:color w:val="000000"/>
                      <w:szCs w:val="21"/>
                    </w:rPr>
                    <w:t>毛皮鞣制及制品加工</w:t>
                  </w:r>
                </w:p>
              </w:tc>
              <w:tc>
                <w:tcPr>
                  <w:tcW w:w="1323" w:type="dxa"/>
                  <w:vAlign w:val="center"/>
                </w:tcPr>
                <w:p>
                  <w:pPr>
                    <w:autoSpaceDE w:val="0"/>
                    <w:autoSpaceDN w:val="0"/>
                    <w:adjustRightInd w:val="0"/>
                    <w:snapToGrid w:val="0"/>
                    <w:spacing w:line="340" w:lineRule="exact"/>
                    <w:jc w:val="center"/>
                    <w:rPr>
                      <w:color w:val="000000"/>
                      <w:szCs w:val="21"/>
                    </w:rPr>
                  </w:pPr>
                  <w:r>
                    <w:rPr>
                      <w:rFonts w:hint="eastAsia"/>
                      <w:color w:val="000000"/>
                      <w:szCs w:val="21"/>
                    </w:rPr>
                    <w:t>禁止进入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176" w:type="dxa"/>
                  <w:vAlign w:val="center"/>
                </w:tcPr>
                <w:p>
                  <w:pPr>
                    <w:autoSpaceDE w:val="0"/>
                    <w:autoSpaceDN w:val="0"/>
                    <w:adjustRightInd w:val="0"/>
                    <w:snapToGrid w:val="0"/>
                    <w:spacing w:line="340" w:lineRule="exact"/>
                    <w:jc w:val="center"/>
                    <w:rPr>
                      <w:color w:val="000000"/>
                      <w:szCs w:val="21"/>
                    </w:rPr>
                  </w:pPr>
                  <w:r>
                    <w:rPr>
                      <w:rFonts w:hint="eastAsia"/>
                      <w:color w:val="000000"/>
                      <w:szCs w:val="21"/>
                    </w:rPr>
                    <w:t>194</w:t>
                  </w:r>
                </w:p>
              </w:tc>
              <w:tc>
                <w:tcPr>
                  <w:tcW w:w="4932" w:type="dxa"/>
                  <w:vAlign w:val="center"/>
                </w:tcPr>
                <w:p>
                  <w:pPr>
                    <w:autoSpaceDE w:val="0"/>
                    <w:autoSpaceDN w:val="0"/>
                    <w:adjustRightInd w:val="0"/>
                    <w:snapToGrid w:val="0"/>
                    <w:spacing w:line="340" w:lineRule="exact"/>
                    <w:jc w:val="center"/>
                    <w:rPr>
                      <w:color w:val="000000"/>
                      <w:szCs w:val="21"/>
                    </w:rPr>
                  </w:pPr>
                  <w:r>
                    <w:rPr>
                      <w:rFonts w:hint="eastAsia"/>
                      <w:color w:val="000000"/>
                      <w:szCs w:val="21"/>
                    </w:rPr>
                    <w:t>羽毛（绒）加工及制品制造</w:t>
                  </w:r>
                </w:p>
              </w:tc>
              <w:tc>
                <w:tcPr>
                  <w:tcW w:w="1323" w:type="dxa"/>
                  <w:vAlign w:val="center"/>
                </w:tcPr>
                <w:p>
                  <w:pPr>
                    <w:autoSpaceDE w:val="0"/>
                    <w:autoSpaceDN w:val="0"/>
                    <w:adjustRightInd w:val="0"/>
                    <w:snapToGrid w:val="0"/>
                    <w:spacing w:line="340" w:lineRule="exact"/>
                    <w:jc w:val="center"/>
                    <w:rPr>
                      <w:color w:val="000000"/>
                      <w:szCs w:val="21"/>
                    </w:rPr>
                  </w:pPr>
                  <w:r>
                    <w:rPr>
                      <w:rFonts w:hint="eastAsia"/>
                      <w:color w:val="000000"/>
                      <w:szCs w:val="21"/>
                    </w:rPr>
                    <w:t>禁止进入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176" w:type="dxa"/>
                  <w:vAlign w:val="center"/>
                </w:tcPr>
                <w:p>
                  <w:pPr>
                    <w:autoSpaceDE w:val="0"/>
                    <w:autoSpaceDN w:val="0"/>
                    <w:adjustRightInd w:val="0"/>
                    <w:snapToGrid w:val="0"/>
                    <w:spacing w:line="340" w:lineRule="exact"/>
                    <w:jc w:val="center"/>
                    <w:rPr>
                      <w:b/>
                      <w:color w:val="000000"/>
                      <w:szCs w:val="21"/>
                    </w:rPr>
                  </w:pPr>
                  <w:r>
                    <w:rPr>
                      <w:rFonts w:hint="eastAsia"/>
                      <w:b/>
                      <w:color w:val="000000"/>
                      <w:szCs w:val="21"/>
                    </w:rPr>
                    <w:t>26</w:t>
                  </w:r>
                </w:p>
              </w:tc>
              <w:tc>
                <w:tcPr>
                  <w:tcW w:w="4932" w:type="dxa"/>
                  <w:vAlign w:val="center"/>
                </w:tcPr>
                <w:p>
                  <w:pPr>
                    <w:autoSpaceDE w:val="0"/>
                    <w:autoSpaceDN w:val="0"/>
                    <w:adjustRightInd w:val="0"/>
                    <w:snapToGrid w:val="0"/>
                    <w:spacing w:line="340" w:lineRule="exact"/>
                    <w:jc w:val="center"/>
                    <w:rPr>
                      <w:b/>
                      <w:color w:val="000000"/>
                      <w:szCs w:val="21"/>
                    </w:rPr>
                  </w:pPr>
                  <w:r>
                    <w:rPr>
                      <w:rFonts w:hint="eastAsia"/>
                      <w:b/>
                      <w:color w:val="000000"/>
                      <w:szCs w:val="21"/>
                    </w:rPr>
                    <w:t>化学原料和化学制品制造业</w:t>
                  </w:r>
                </w:p>
              </w:tc>
              <w:tc>
                <w:tcPr>
                  <w:tcW w:w="1323" w:type="dxa"/>
                  <w:vAlign w:val="center"/>
                </w:tcPr>
                <w:p>
                  <w:pPr>
                    <w:autoSpaceDE w:val="0"/>
                    <w:autoSpaceDN w:val="0"/>
                    <w:adjustRightInd w:val="0"/>
                    <w:snapToGrid w:val="0"/>
                    <w:spacing w:line="340" w:lineRule="exact"/>
                    <w:jc w:val="center"/>
                    <w:rPr>
                      <w:b/>
                      <w:color w:val="000000"/>
                      <w:szCs w:val="21"/>
                    </w:rPr>
                  </w:pPr>
                  <w:r>
                    <w:rPr>
                      <w:rFonts w:hint="eastAsia"/>
                      <w:b/>
                      <w:color w:val="000000"/>
                      <w:szCs w:val="21"/>
                    </w:rPr>
                    <w:t>禁止进入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176" w:type="dxa"/>
                  <w:vAlign w:val="center"/>
                </w:tcPr>
                <w:p>
                  <w:pPr>
                    <w:autoSpaceDE w:val="0"/>
                    <w:autoSpaceDN w:val="0"/>
                    <w:adjustRightInd w:val="0"/>
                    <w:snapToGrid w:val="0"/>
                    <w:spacing w:line="340" w:lineRule="atLeast"/>
                    <w:jc w:val="center"/>
                    <w:rPr>
                      <w:b/>
                      <w:color w:val="000000"/>
                      <w:szCs w:val="21"/>
                    </w:rPr>
                  </w:pPr>
                  <w:r>
                    <w:rPr>
                      <w:rFonts w:hint="eastAsia"/>
                      <w:b/>
                      <w:color w:val="000000"/>
                      <w:szCs w:val="21"/>
                    </w:rPr>
                    <w:t>33</w:t>
                  </w:r>
                </w:p>
              </w:tc>
              <w:tc>
                <w:tcPr>
                  <w:tcW w:w="4932" w:type="dxa"/>
                  <w:vAlign w:val="center"/>
                </w:tcPr>
                <w:p>
                  <w:pPr>
                    <w:autoSpaceDE w:val="0"/>
                    <w:autoSpaceDN w:val="0"/>
                    <w:adjustRightInd w:val="0"/>
                    <w:snapToGrid w:val="0"/>
                    <w:spacing w:line="340" w:lineRule="atLeast"/>
                    <w:jc w:val="center"/>
                    <w:rPr>
                      <w:b/>
                      <w:color w:val="000000"/>
                      <w:szCs w:val="21"/>
                    </w:rPr>
                  </w:pPr>
                  <w:r>
                    <w:rPr>
                      <w:rFonts w:hint="eastAsia"/>
                      <w:b/>
                      <w:color w:val="000000"/>
                      <w:szCs w:val="21"/>
                    </w:rPr>
                    <w:t>金属制品业</w:t>
                  </w:r>
                </w:p>
              </w:tc>
              <w:tc>
                <w:tcPr>
                  <w:tcW w:w="1323" w:type="dxa"/>
                  <w:vAlign w:val="center"/>
                </w:tcPr>
                <w:p>
                  <w:pPr>
                    <w:autoSpaceDE w:val="0"/>
                    <w:autoSpaceDN w:val="0"/>
                    <w:adjustRightInd w:val="0"/>
                    <w:snapToGrid w:val="0"/>
                    <w:spacing w:line="340" w:lineRule="atLeast"/>
                    <w:jc w:val="center"/>
                    <w:rPr>
                      <w:color w:val="000000"/>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176" w:type="dxa"/>
                  <w:vAlign w:val="center"/>
                </w:tcPr>
                <w:p>
                  <w:pPr>
                    <w:autoSpaceDE w:val="0"/>
                    <w:autoSpaceDN w:val="0"/>
                    <w:adjustRightInd w:val="0"/>
                    <w:snapToGrid w:val="0"/>
                    <w:spacing w:line="340" w:lineRule="atLeast"/>
                    <w:jc w:val="center"/>
                    <w:rPr>
                      <w:color w:val="000000"/>
                      <w:szCs w:val="21"/>
                    </w:rPr>
                  </w:pPr>
                  <w:r>
                    <w:rPr>
                      <w:color w:val="000000"/>
                      <w:szCs w:val="21"/>
                    </w:rPr>
                    <w:t>336</w:t>
                  </w:r>
                </w:p>
              </w:tc>
              <w:tc>
                <w:tcPr>
                  <w:tcW w:w="4932" w:type="dxa"/>
                  <w:vAlign w:val="center"/>
                </w:tcPr>
                <w:p>
                  <w:pPr>
                    <w:autoSpaceDE w:val="0"/>
                    <w:autoSpaceDN w:val="0"/>
                    <w:adjustRightInd w:val="0"/>
                    <w:snapToGrid w:val="0"/>
                    <w:spacing w:line="340" w:lineRule="atLeast"/>
                    <w:jc w:val="center"/>
                    <w:rPr>
                      <w:color w:val="000000"/>
                      <w:szCs w:val="21"/>
                    </w:rPr>
                  </w:pPr>
                  <w:r>
                    <w:rPr>
                      <w:rFonts w:hint="eastAsia"/>
                      <w:color w:val="000000"/>
                      <w:szCs w:val="21"/>
                    </w:rPr>
                    <w:t>金属表面处理及热处理加工</w:t>
                  </w:r>
                </w:p>
              </w:tc>
              <w:tc>
                <w:tcPr>
                  <w:tcW w:w="1323" w:type="dxa"/>
                  <w:vAlign w:val="center"/>
                </w:tcPr>
                <w:p>
                  <w:pPr>
                    <w:autoSpaceDE w:val="0"/>
                    <w:autoSpaceDN w:val="0"/>
                    <w:adjustRightInd w:val="0"/>
                    <w:snapToGrid w:val="0"/>
                    <w:spacing w:line="340" w:lineRule="atLeast"/>
                    <w:jc w:val="center"/>
                    <w:rPr>
                      <w:color w:val="000000"/>
                      <w:szCs w:val="21"/>
                    </w:rPr>
                  </w:pPr>
                  <w:r>
                    <w:rPr>
                      <w:rFonts w:hint="eastAsia"/>
                      <w:color w:val="000000"/>
                      <w:szCs w:val="21"/>
                    </w:rPr>
                    <w:t>控制进入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176" w:type="dxa"/>
                  <w:vAlign w:val="center"/>
                </w:tcPr>
                <w:p>
                  <w:pPr>
                    <w:autoSpaceDE w:val="0"/>
                    <w:autoSpaceDN w:val="0"/>
                    <w:adjustRightInd w:val="0"/>
                    <w:snapToGrid w:val="0"/>
                    <w:spacing w:line="340" w:lineRule="atLeast"/>
                    <w:jc w:val="center"/>
                    <w:rPr>
                      <w:b/>
                      <w:color w:val="000000"/>
                      <w:szCs w:val="21"/>
                    </w:rPr>
                  </w:pPr>
                  <w:r>
                    <w:rPr>
                      <w:rFonts w:hint="eastAsia"/>
                      <w:b/>
                      <w:color w:val="000000"/>
                      <w:szCs w:val="21"/>
                    </w:rPr>
                    <w:t>36</w:t>
                  </w:r>
                </w:p>
              </w:tc>
              <w:tc>
                <w:tcPr>
                  <w:tcW w:w="4932" w:type="dxa"/>
                  <w:vAlign w:val="center"/>
                </w:tcPr>
                <w:p>
                  <w:pPr>
                    <w:autoSpaceDE w:val="0"/>
                    <w:autoSpaceDN w:val="0"/>
                    <w:adjustRightInd w:val="0"/>
                    <w:snapToGrid w:val="0"/>
                    <w:spacing w:line="340" w:lineRule="atLeast"/>
                    <w:jc w:val="center"/>
                    <w:rPr>
                      <w:b/>
                      <w:color w:val="000000"/>
                      <w:szCs w:val="21"/>
                    </w:rPr>
                  </w:pPr>
                  <w:r>
                    <w:rPr>
                      <w:rFonts w:hint="eastAsia"/>
                      <w:b/>
                      <w:color w:val="000000"/>
                      <w:szCs w:val="21"/>
                    </w:rPr>
                    <w:t>汽车制造业</w:t>
                  </w:r>
                </w:p>
              </w:tc>
              <w:tc>
                <w:tcPr>
                  <w:tcW w:w="1323" w:type="dxa"/>
                  <w:vAlign w:val="center"/>
                </w:tcPr>
                <w:p>
                  <w:pPr>
                    <w:autoSpaceDE w:val="0"/>
                    <w:autoSpaceDN w:val="0"/>
                    <w:adjustRightInd w:val="0"/>
                    <w:snapToGrid w:val="0"/>
                    <w:spacing w:line="340" w:lineRule="atLeast"/>
                    <w:jc w:val="center"/>
                    <w:rPr>
                      <w:color w:val="000000"/>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176" w:type="dxa"/>
                  <w:vAlign w:val="center"/>
                </w:tcPr>
                <w:p>
                  <w:pPr>
                    <w:autoSpaceDE w:val="0"/>
                    <w:autoSpaceDN w:val="0"/>
                    <w:adjustRightInd w:val="0"/>
                    <w:snapToGrid w:val="0"/>
                    <w:spacing w:line="340" w:lineRule="atLeast"/>
                    <w:jc w:val="center"/>
                    <w:rPr>
                      <w:color w:val="000000"/>
                      <w:szCs w:val="21"/>
                    </w:rPr>
                  </w:pPr>
                  <w:r>
                    <w:rPr>
                      <w:rFonts w:hint="eastAsia"/>
                      <w:color w:val="000000"/>
                      <w:szCs w:val="21"/>
                    </w:rPr>
                    <w:t>361</w:t>
                  </w:r>
                </w:p>
              </w:tc>
              <w:tc>
                <w:tcPr>
                  <w:tcW w:w="4932" w:type="dxa"/>
                  <w:vAlign w:val="center"/>
                </w:tcPr>
                <w:p>
                  <w:pPr>
                    <w:autoSpaceDE w:val="0"/>
                    <w:autoSpaceDN w:val="0"/>
                    <w:adjustRightInd w:val="0"/>
                    <w:snapToGrid w:val="0"/>
                    <w:spacing w:line="340" w:lineRule="atLeast"/>
                    <w:jc w:val="center"/>
                    <w:rPr>
                      <w:color w:val="000000"/>
                      <w:szCs w:val="21"/>
                    </w:rPr>
                  </w:pPr>
                  <w:r>
                    <w:rPr>
                      <w:rFonts w:hint="eastAsia"/>
                      <w:color w:val="000000"/>
                      <w:szCs w:val="21"/>
                    </w:rPr>
                    <w:t>汽车整车制造</w:t>
                  </w:r>
                </w:p>
              </w:tc>
              <w:tc>
                <w:tcPr>
                  <w:tcW w:w="1323" w:type="dxa"/>
                  <w:vAlign w:val="center"/>
                </w:tcPr>
                <w:p>
                  <w:pPr>
                    <w:autoSpaceDE w:val="0"/>
                    <w:autoSpaceDN w:val="0"/>
                    <w:adjustRightInd w:val="0"/>
                    <w:snapToGrid w:val="0"/>
                    <w:spacing w:line="340" w:lineRule="atLeast"/>
                    <w:jc w:val="center"/>
                    <w:rPr>
                      <w:color w:val="000000"/>
                      <w:szCs w:val="21"/>
                    </w:rPr>
                  </w:pPr>
                  <w:r>
                    <w:rPr>
                      <w:rFonts w:hint="eastAsia"/>
                      <w:color w:val="000000"/>
                      <w:szCs w:val="21"/>
                    </w:rPr>
                    <w:t>优先进入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176" w:type="dxa"/>
                  <w:vAlign w:val="center"/>
                </w:tcPr>
                <w:p>
                  <w:pPr>
                    <w:autoSpaceDE w:val="0"/>
                    <w:autoSpaceDN w:val="0"/>
                    <w:adjustRightInd w:val="0"/>
                    <w:snapToGrid w:val="0"/>
                    <w:spacing w:line="340" w:lineRule="atLeast"/>
                    <w:jc w:val="center"/>
                    <w:rPr>
                      <w:color w:val="000000"/>
                      <w:szCs w:val="21"/>
                    </w:rPr>
                  </w:pPr>
                  <w:r>
                    <w:rPr>
                      <w:rFonts w:hint="eastAsia"/>
                      <w:color w:val="000000"/>
                      <w:szCs w:val="21"/>
                    </w:rPr>
                    <w:t>362</w:t>
                  </w:r>
                </w:p>
              </w:tc>
              <w:tc>
                <w:tcPr>
                  <w:tcW w:w="4932" w:type="dxa"/>
                  <w:vAlign w:val="center"/>
                </w:tcPr>
                <w:p>
                  <w:pPr>
                    <w:autoSpaceDE w:val="0"/>
                    <w:autoSpaceDN w:val="0"/>
                    <w:adjustRightInd w:val="0"/>
                    <w:snapToGrid w:val="0"/>
                    <w:spacing w:line="340" w:lineRule="atLeast"/>
                    <w:jc w:val="center"/>
                    <w:rPr>
                      <w:color w:val="000000"/>
                      <w:szCs w:val="21"/>
                    </w:rPr>
                  </w:pPr>
                  <w:r>
                    <w:rPr>
                      <w:rFonts w:hint="eastAsia"/>
                      <w:color w:val="000000"/>
                      <w:szCs w:val="21"/>
                    </w:rPr>
                    <w:t>改装汽车制造</w:t>
                  </w:r>
                </w:p>
              </w:tc>
              <w:tc>
                <w:tcPr>
                  <w:tcW w:w="1323" w:type="dxa"/>
                  <w:vAlign w:val="center"/>
                </w:tcPr>
                <w:p>
                  <w:pPr>
                    <w:autoSpaceDE w:val="0"/>
                    <w:autoSpaceDN w:val="0"/>
                    <w:adjustRightInd w:val="0"/>
                    <w:snapToGrid w:val="0"/>
                    <w:spacing w:line="340" w:lineRule="atLeast"/>
                    <w:jc w:val="center"/>
                    <w:rPr>
                      <w:color w:val="000000"/>
                      <w:szCs w:val="21"/>
                    </w:rPr>
                  </w:pPr>
                  <w:r>
                    <w:rPr>
                      <w:rFonts w:hint="eastAsia"/>
                      <w:color w:val="000000"/>
                      <w:szCs w:val="21"/>
                    </w:rPr>
                    <w:t>优先进入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176" w:type="dxa"/>
                  <w:vAlign w:val="center"/>
                </w:tcPr>
                <w:p>
                  <w:pPr>
                    <w:autoSpaceDE w:val="0"/>
                    <w:autoSpaceDN w:val="0"/>
                    <w:adjustRightInd w:val="0"/>
                    <w:snapToGrid w:val="0"/>
                    <w:spacing w:line="340" w:lineRule="atLeast"/>
                    <w:jc w:val="center"/>
                    <w:rPr>
                      <w:color w:val="000000"/>
                      <w:szCs w:val="21"/>
                    </w:rPr>
                  </w:pPr>
                  <w:r>
                    <w:rPr>
                      <w:color w:val="000000"/>
                      <w:szCs w:val="21"/>
                    </w:rPr>
                    <w:t>365</w:t>
                  </w:r>
                </w:p>
              </w:tc>
              <w:tc>
                <w:tcPr>
                  <w:tcW w:w="4932" w:type="dxa"/>
                  <w:vAlign w:val="center"/>
                </w:tcPr>
                <w:p>
                  <w:pPr>
                    <w:autoSpaceDE w:val="0"/>
                    <w:autoSpaceDN w:val="0"/>
                    <w:adjustRightInd w:val="0"/>
                    <w:snapToGrid w:val="0"/>
                    <w:spacing w:line="340" w:lineRule="atLeast"/>
                    <w:jc w:val="center"/>
                    <w:rPr>
                      <w:color w:val="000000"/>
                      <w:szCs w:val="21"/>
                    </w:rPr>
                  </w:pPr>
                  <w:r>
                    <w:rPr>
                      <w:rFonts w:hint="eastAsia"/>
                      <w:color w:val="000000"/>
                      <w:szCs w:val="21"/>
                    </w:rPr>
                    <w:t>汽车车身、挂车制造</w:t>
                  </w:r>
                </w:p>
              </w:tc>
              <w:tc>
                <w:tcPr>
                  <w:tcW w:w="1323" w:type="dxa"/>
                  <w:vAlign w:val="center"/>
                </w:tcPr>
                <w:p>
                  <w:pPr>
                    <w:autoSpaceDE w:val="0"/>
                    <w:autoSpaceDN w:val="0"/>
                    <w:adjustRightInd w:val="0"/>
                    <w:snapToGrid w:val="0"/>
                    <w:spacing w:line="340" w:lineRule="atLeast"/>
                    <w:jc w:val="center"/>
                    <w:rPr>
                      <w:color w:val="000000"/>
                      <w:szCs w:val="21"/>
                    </w:rPr>
                  </w:pPr>
                  <w:r>
                    <w:rPr>
                      <w:rFonts w:hint="eastAsia"/>
                      <w:color w:val="000000"/>
                      <w:szCs w:val="21"/>
                    </w:rPr>
                    <w:t>优先进入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176" w:type="dxa"/>
                  <w:vAlign w:val="center"/>
                </w:tcPr>
                <w:p>
                  <w:pPr>
                    <w:autoSpaceDE w:val="0"/>
                    <w:autoSpaceDN w:val="0"/>
                    <w:adjustRightInd w:val="0"/>
                    <w:snapToGrid w:val="0"/>
                    <w:spacing w:line="340" w:lineRule="atLeast"/>
                    <w:jc w:val="center"/>
                    <w:rPr>
                      <w:color w:val="000000"/>
                      <w:szCs w:val="21"/>
                    </w:rPr>
                  </w:pPr>
                  <w:r>
                    <w:rPr>
                      <w:color w:val="000000"/>
                      <w:szCs w:val="21"/>
                    </w:rPr>
                    <w:t>366</w:t>
                  </w:r>
                </w:p>
              </w:tc>
              <w:tc>
                <w:tcPr>
                  <w:tcW w:w="4932" w:type="dxa"/>
                  <w:vAlign w:val="center"/>
                </w:tcPr>
                <w:p>
                  <w:pPr>
                    <w:autoSpaceDE w:val="0"/>
                    <w:autoSpaceDN w:val="0"/>
                    <w:adjustRightInd w:val="0"/>
                    <w:snapToGrid w:val="0"/>
                    <w:spacing w:line="340" w:lineRule="atLeast"/>
                    <w:jc w:val="center"/>
                    <w:rPr>
                      <w:color w:val="000000"/>
                      <w:szCs w:val="21"/>
                    </w:rPr>
                  </w:pPr>
                  <w:r>
                    <w:rPr>
                      <w:rFonts w:hint="eastAsia"/>
                      <w:color w:val="000000"/>
                      <w:szCs w:val="21"/>
                    </w:rPr>
                    <w:t>汽车零部件及配件制造</w:t>
                  </w:r>
                </w:p>
              </w:tc>
              <w:tc>
                <w:tcPr>
                  <w:tcW w:w="1323" w:type="dxa"/>
                  <w:vAlign w:val="center"/>
                </w:tcPr>
                <w:p>
                  <w:pPr>
                    <w:autoSpaceDE w:val="0"/>
                    <w:autoSpaceDN w:val="0"/>
                    <w:adjustRightInd w:val="0"/>
                    <w:snapToGrid w:val="0"/>
                    <w:spacing w:line="340" w:lineRule="atLeast"/>
                    <w:jc w:val="center"/>
                    <w:rPr>
                      <w:color w:val="000000"/>
                      <w:szCs w:val="21"/>
                    </w:rPr>
                  </w:pPr>
                  <w:r>
                    <w:rPr>
                      <w:rFonts w:hint="eastAsia"/>
                      <w:color w:val="000000"/>
                      <w:szCs w:val="21"/>
                    </w:rPr>
                    <w:t>优先进入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176" w:type="dxa"/>
                  <w:vAlign w:val="center"/>
                </w:tcPr>
                <w:p>
                  <w:pPr>
                    <w:autoSpaceDE w:val="0"/>
                    <w:autoSpaceDN w:val="0"/>
                    <w:adjustRightInd w:val="0"/>
                    <w:snapToGrid w:val="0"/>
                    <w:spacing w:line="340" w:lineRule="atLeast"/>
                    <w:jc w:val="center"/>
                    <w:rPr>
                      <w:b/>
                      <w:color w:val="000000"/>
                      <w:szCs w:val="21"/>
                    </w:rPr>
                  </w:pPr>
                  <w:r>
                    <w:rPr>
                      <w:rFonts w:hint="eastAsia"/>
                      <w:b/>
                      <w:color w:val="000000"/>
                      <w:szCs w:val="21"/>
                    </w:rPr>
                    <w:t>373</w:t>
                  </w:r>
                </w:p>
              </w:tc>
              <w:tc>
                <w:tcPr>
                  <w:tcW w:w="4932" w:type="dxa"/>
                  <w:vAlign w:val="center"/>
                </w:tcPr>
                <w:p>
                  <w:pPr>
                    <w:autoSpaceDE w:val="0"/>
                    <w:autoSpaceDN w:val="0"/>
                    <w:adjustRightInd w:val="0"/>
                    <w:snapToGrid w:val="0"/>
                    <w:spacing w:line="340" w:lineRule="atLeast"/>
                    <w:jc w:val="center"/>
                    <w:rPr>
                      <w:b/>
                      <w:color w:val="000000"/>
                      <w:szCs w:val="21"/>
                    </w:rPr>
                  </w:pPr>
                  <w:r>
                    <w:rPr>
                      <w:rFonts w:hint="eastAsia"/>
                      <w:b/>
                      <w:color w:val="000000"/>
                      <w:szCs w:val="21"/>
                    </w:rPr>
                    <w:t>船舶及相关装置制造</w:t>
                  </w:r>
                </w:p>
              </w:tc>
              <w:tc>
                <w:tcPr>
                  <w:tcW w:w="1323" w:type="dxa"/>
                  <w:vAlign w:val="center"/>
                </w:tcPr>
                <w:p>
                  <w:pPr>
                    <w:autoSpaceDE w:val="0"/>
                    <w:autoSpaceDN w:val="0"/>
                    <w:adjustRightInd w:val="0"/>
                    <w:snapToGrid w:val="0"/>
                    <w:spacing w:line="340" w:lineRule="atLeast"/>
                    <w:jc w:val="center"/>
                    <w:rPr>
                      <w:color w:val="000000"/>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176" w:type="dxa"/>
                  <w:vAlign w:val="center"/>
                </w:tcPr>
                <w:p>
                  <w:pPr>
                    <w:autoSpaceDE w:val="0"/>
                    <w:autoSpaceDN w:val="0"/>
                    <w:adjustRightInd w:val="0"/>
                    <w:snapToGrid w:val="0"/>
                    <w:spacing w:line="340" w:lineRule="atLeast"/>
                    <w:jc w:val="center"/>
                    <w:rPr>
                      <w:color w:val="000000"/>
                      <w:szCs w:val="21"/>
                    </w:rPr>
                  </w:pPr>
                  <w:r>
                    <w:rPr>
                      <w:color w:val="000000"/>
                      <w:szCs w:val="21"/>
                    </w:rPr>
                    <w:t>3731</w:t>
                  </w:r>
                </w:p>
              </w:tc>
              <w:tc>
                <w:tcPr>
                  <w:tcW w:w="4932" w:type="dxa"/>
                  <w:vAlign w:val="center"/>
                </w:tcPr>
                <w:p>
                  <w:pPr>
                    <w:autoSpaceDE w:val="0"/>
                    <w:autoSpaceDN w:val="0"/>
                    <w:adjustRightInd w:val="0"/>
                    <w:snapToGrid w:val="0"/>
                    <w:spacing w:line="340" w:lineRule="atLeast"/>
                    <w:jc w:val="center"/>
                    <w:rPr>
                      <w:color w:val="000000"/>
                      <w:szCs w:val="21"/>
                    </w:rPr>
                  </w:pPr>
                  <w:r>
                    <w:rPr>
                      <w:rFonts w:hint="eastAsia"/>
                      <w:color w:val="000000"/>
                      <w:szCs w:val="21"/>
                    </w:rPr>
                    <w:t>金属船舶制造</w:t>
                  </w:r>
                </w:p>
              </w:tc>
              <w:tc>
                <w:tcPr>
                  <w:tcW w:w="1323" w:type="dxa"/>
                  <w:vAlign w:val="center"/>
                </w:tcPr>
                <w:p>
                  <w:pPr>
                    <w:autoSpaceDE w:val="0"/>
                    <w:autoSpaceDN w:val="0"/>
                    <w:adjustRightInd w:val="0"/>
                    <w:snapToGrid w:val="0"/>
                    <w:spacing w:line="340" w:lineRule="atLeast"/>
                    <w:jc w:val="center"/>
                    <w:rPr>
                      <w:color w:val="000000"/>
                      <w:szCs w:val="21"/>
                    </w:rPr>
                  </w:pPr>
                  <w:r>
                    <w:rPr>
                      <w:rFonts w:hint="eastAsia"/>
                      <w:color w:val="000000"/>
                      <w:szCs w:val="21"/>
                    </w:rPr>
                    <w:t>优先进入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176" w:type="dxa"/>
                  <w:vAlign w:val="center"/>
                </w:tcPr>
                <w:p>
                  <w:pPr>
                    <w:autoSpaceDE w:val="0"/>
                    <w:autoSpaceDN w:val="0"/>
                    <w:adjustRightInd w:val="0"/>
                    <w:snapToGrid w:val="0"/>
                    <w:spacing w:line="340" w:lineRule="exact"/>
                    <w:jc w:val="center"/>
                    <w:rPr>
                      <w:b/>
                      <w:color w:val="000000"/>
                      <w:szCs w:val="21"/>
                    </w:rPr>
                  </w:pPr>
                  <w:r>
                    <w:rPr>
                      <w:rFonts w:hint="eastAsia"/>
                      <w:b/>
                      <w:color w:val="000000"/>
                      <w:szCs w:val="21"/>
                    </w:rPr>
                    <w:t>39</w:t>
                  </w:r>
                </w:p>
              </w:tc>
              <w:tc>
                <w:tcPr>
                  <w:tcW w:w="4932" w:type="dxa"/>
                  <w:vAlign w:val="center"/>
                </w:tcPr>
                <w:p>
                  <w:pPr>
                    <w:autoSpaceDE w:val="0"/>
                    <w:autoSpaceDN w:val="0"/>
                    <w:adjustRightInd w:val="0"/>
                    <w:snapToGrid w:val="0"/>
                    <w:spacing w:line="340" w:lineRule="exact"/>
                    <w:jc w:val="center"/>
                    <w:rPr>
                      <w:b/>
                      <w:color w:val="000000"/>
                      <w:szCs w:val="21"/>
                    </w:rPr>
                  </w:pPr>
                  <w:r>
                    <w:rPr>
                      <w:rFonts w:hint="eastAsia"/>
                      <w:b/>
                      <w:color w:val="000000"/>
                      <w:szCs w:val="21"/>
                    </w:rPr>
                    <w:t>计算机、通信和其他电子设备制造业</w:t>
                  </w:r>
                </w:p>
              </w:tc>
              <w:tc>
                <w:tcPr>
                  <w:tcW w:w="1323" w:type="dxa"/>
                  <w:vAlign w:val="center"/>
                </w:tcPr>
                <w:p>
                  <w:pPr>
                    <w:autoSpaceDE w:val="0"/>
                    <w:autoSpaceDN w:val="0"/>
                    <w:adjustRightInd w:val="0"/>
                    <w:snapToGrid w:val="0"/>
                    <w:spacing w:line="340" w:lineRule="exact"/>
                    <w:jc w:val="center"/>
                    <w:rPr>
                      <w:color w:val="000000"/>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176" w:type="dxa"/>
                  <w:vAlign w:val="center"/>
                </w:tcPr>
                <w:p>
                  <w:pPr>
                    <w:autoSpaceDE w:val="0"/>
                    <w:autoSpaceDN w:val="0"/>
                    <w:adjustRightInd w:val="0"/>
                    <w:snapToGrid w:val="0"/>
                    <w:spacing w:line="340" w:lineRule="exact"/>
                    <w:jc w:val="center"/>
                    <w:rPr>
                      <w:color w:val="000000"/>
                      <w:szCs w:val="21"/>
                    </w:rPr>
                  </w:pPr>
                  <w:r>
                    <w:rPr>
                      <w:rFonts w:hint="eastAsia"/>
                      <w:color w:val="000000"/>
                      <w:szCs w:val="21"/>
                    </w:rPr>
                    <w:t>391</w:t>
                  </w:r>
                </w:p>
              </w:tc>
              <w:tc>
                <w:tcPr>
                  <w:tcW w:w="4932" w:type="dxa"/>
                  <w:vAlign w:val="center"/>
                </w:tcPr>
                <w:p>
                  <w:pPr>
                    <w:autoSpaceDE w:val="0"/>
                    <w:autoSpaceDN w:val="0"/>
                    <w:adjustRightInd w:val="0"/>
                    <w:snapToGrid w:val="0"/>
                    <w:spacing w:line="340" w:lineRule="exact"/>
                    <w:jc w:val="center"/>
                    <w:rPr>
                      <w:color w:val="000000"/>
                      <w:szCs w:val="21"/>
                    </w:rPr>
                  </w:pPr>
                  <w:r>
                    <w:rPr>
                      <w:rFonts w:hint="eastAsia"/>
                      <w:color w:val="000000"/>
                      <w:szCs w:val="21"/>
                    </w:rPr>
                    <w:t>计算机制造</w:t>
                  </w:r>
                </w:p>
              </w:tc>
              <w:tc>
                <w:tcPr>
                  <w:tcW w:w="1323" w:type="dxa"/>
                  <w:vAlign w:val="center"/>
                </w:tcPr>
                <w:p>
                  <w:pPr>
                    <w:autoSpaceDE w:val="0"/>
                    <w:autoSpaceDN w:val="0"/>
                    <w:adjustRightInd w:val="0"/>
                    <w:snapToGrid w:val="0"/>
                    <w:spacing w:line="340" w:lineRule="exact"/>
                    <w:jc w:val="center"/>
                    <w:rPr>
                      <w:color w:val="000000"/>
                      <w:szCs w:val="21"/>
                    </w:rPr>
                  </w:pPr>
                  <w:r>
                    <w:rPr>
                      <w:rFonts w:hint="eastAsia"/>
                      <w:color w:val="000000"/>
                      <w:szCs w:val="21"/>
                    </w:rPr>
                    <w:t>优先进入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176" w:type="dxa"/>
                  <w:vAlign w:val="center"/>
                </w:tcPr>
                <w:p>
                  <w:pPr>
                    <w:autoSpaceDE w:val="0"/>
                    <w:autoSpaceDN w:val="0"/>
                    <w:adjustRightInd w:val="0"/>
                    <w:snapToGrid w:val="0"/>
                    <w:spacing w:line="340" w:lineRule="exact"/>
                    <w:jc w:val="center"/>
                    <w:rPr>
                      <w:color w:val="000000"/>
                      <w:szCs w:val="21"/>
                    </w:rPr>
                  </w:pPr>
                  <w:r>
                    <w:rPr>
                      <w:color w:val="000000"/>
                      <w:szCs w:val="21"/>
                    </w:rPr>
                    <w:t>392</w:t>
                  </w:r>
                </w:p>
              </w:tc>
              <w:tc>
                <w:tcPr>
                  <w:tcW w:w="4932" w:type="dxa"/>
                  <w:vAlign w:val="center"/>
                </w:tcPr>
                <w:p>
                  <w:pPr>
                    <w:autoSpaceDE w:val="0"/>
                    <w:autoSpaceDN w:val="0"/>
                    <w:adjustRightInd w:val="0"/>
                    <w:snapToGrid w:val="0"/>
                    <w:spacing w:line="340" w:lineRule="exact"/>
                    <w:jc w:val="center"/>
                    <w:rPr>
                      <w:color w:val="000000"/>
                      <w:szCs w:val="21"/>
                    </w:rPr>
                  </w:pPr>
                  <w:r>
                    <w:rPr>
                      <w:rFonts w:hint="eastAsia"/>
                      <w:color w:val="000000"/>
                      <w:szCs w:val="21"/>
                    </w:rPr>
                    <w:t>通信设备制造</w:t>
                  </w:r>
                </w:p>
              </w:tc>
              <w:tc>
                <w:tcPr>
                  <w:tcW w:w="1323" w:type="dxa"/>
                  <w:vAlign w:val="center"/>
                </w:tcPr>
                <w:p>
                  <w:pPr>
                    <w:autoSpaceDE w:val="0"/>
                    <w:autoSpaceDN w:val="0"/>
                    <w:adjustRightInd w:val="0"/>
                    <w:snapToGrid w:val="0"/>
                    <w:spacing w:line="340" w:lineRule="exact"/>
                    <w:jc w:val="center"/>
                    <w:rPr>
                      <w:color w:val="000000"/>
                      <w:szCs w:val="21"/>
                    </w:rPr>
                  </w:pPr>
                  <w:r>
                    <w:rPr>
                      <w:rFonts w:hint="eastAsia"/>
                      <w:color w:val="000000"/>
                      <w:szCs w:val="21"/>
                    </w:rPr>
                    <w:t>优先进入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176" w:type="dxa"/>
                  <w:vAlign w:val="center"/>
                </w:tcPr>
                <w:p>
                  <w:pPr>
                    <w:autoSpaceDE w:val="0"/>
                    <w:autoSpaceDN w:val="0"/>
                    <w:adjustRightInd w:val="0"/>
                    <w:snapToGrid w:val="0"/>
                    <w:spacing w:line="340" w:lineRule="exact"/>
                    <w:jc w:val="center"/>
                    <w:rPr>
                      <w:color w:val="000000"/>
                      <w:szCs w:val="21"/>
                    </w:rPr>
                  </w:pPr>
                  <w:r>
                    <w:rPr>
                      <w:rFonts w:hint="eastAsia"/>
                      <w:color w:val="000000"/>
                      <w:szCs w:val="21"/>
                    </w:rPr>
                    <w:t>393</w:t>
                  </w:r>
                </w:p>
              </w:tc>
              <w:tc>
                <w:tcPr>
                  <w:tcW w:w="4932" w:type="dxa"/>
                  <w:vAlign w:val="center"/>
                </w:tcPr>
                <w:p>
                  <w:pPr>
                    <w:autoSpaceDE w:val="0"/>
                    <w:autoSpaceDN w:val="0"/>
                    <w:adjustRightInd w:val="0"/>
                    <w:snapToGrid w:val="0"/>
                    <w:spacing w:line="340" w:lineRule="exact"/>
                    <w:jc w:val="center"/>
                    <w:rPr>
                      <w:color w:val="000000"/>
                      <w:szCs w:val="21"/>
                    </w:rPr>
                  </w:pPr>
                  <w:r>
                    <w:rPr>
                      <w:rFonts w:hint="eastAsia"/>
                      <w:color w:val="000000"/>
                      <w:szCs w:val="21"/>
                    </w:rPr>
                    <w:t>广播电视设备制造</w:t>
                  </w:r>
                </w:p>
              </w:tc>
              <w:tc>
                <w:tcPr>
                  <w:tcW w:w="1323" w:type="dxa"/>
                  <w:vAlign w:val="center"/>
                </w:tcPr>
                <w:p>
                  <w:pPr>
                    <w:autoSpaceDE w:val="0"/>
                    <w:autoSpaceDN w:val="0"/>
                    <w:adjustRightInd w:val="0"/>
                    <w:snapToGrid w:val="0"/>
                    <w:spacing w:line="340" w:lineRule="exact"/>
                    <w:jc w:val="center"/>
                    <w:rPr>
                      <w:color w:val="000000"/>
                      <w:szCs w:val="21"/>
                    </w:rPr>
                  </w:pPr>
                  <w:r>
                    <w:rPr>
                      <w:rFonts w:hint="eastAsia"/>
                      <w:color w:val="000000"/>
                      <w:szCs w:val="21"/>
                    </w:rPr>
                    <w:t>优先进入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176" w:type="dxa"/>
                  <w:vAlign w:val="center"/>
                </w:tcPr>
                <w:p>
                  <w:pPr>
                    <w:autoSpaceDE w:val="0"/>
                    <w:autoSpaceDN w:val="0"/>
                    <w:adjustRightInd w:val="0"/>
                    <w:snapToGrid w:val="0"/>
                    <w:spacing w:line="340" w:lineRule="exact"/>
                    <w:jc w:val="center"/>
                    <w:rPr>
                      <w:color w:val="000000"/>
                      <w:szCs w:val="21"/>
                    </w:rPr>
                  </w:pPr>
                  <w:r>
                    <w:rPr>
                      <w:rFonts w:hint="eastAsia"/>
                      <w:color w:val="000000"/>
                      <w:szCs w:val="21"/>
                    </w:rPr>
                    <w:t>394</w:t>
                  </w:r>
                </w:p>
              </w:tc>
              <w:tc>
                <w:tcPr>
                  <w:tcW w:w="4932" w:type="dxa"/>
                  <w:vAlign w:val="center"/>
                </w:tcPr>
                <w:p>
                  <w:pPr>
                    <w:autoSpaceDE w:val="0"/>
                    <w:autoSpaceDN w:val="0"/>
                    <w:adjustRightInd w:val="0"/>
                    <w:snapToGrid w:val="0"/>
                    <w:spacing w:line="340" w:lineRule="exact"/>
                    <w:jc w:val="center"/>
                    <w:rPr>
                      <w:color w:val="000000"/>
                      <w:szCs w:val="21"/>
                    </w:rPr>
                  </w:pPr>
                  <w:r>
                    <w:rPr>
                      <w:rFonts w:hint="eastAsia"/>
                      <w:color w:val="000000"/>
                      <w:szCs w:val="21"/>
                    </w:rPr>
                    <w:t>雷达及配套设备制造</w:t>
                  </w:r>
                </w:p>
              </w:tc>
              <w:tc>
                <w:tcPr>
                  <w:tcW w:w="1323" w:type="dxa"/>
                  <w:vAlign w:val="center"/>
                </w:tcPr>
                <w:p>
                  <w:pPr>
                    <w:autoSpaceDE w:val="0"/>
                    <w:autoSpaceDN w:val="0"/>
                    <w:adjustRightInd w:val="0"/>
                    <w:snapToGrid w:val="0"/>
                    <w:spacing w:line="340" w:lineRule="exact"/>
                    <w:jc w:val="center"/>
                    <w:rPr>
                      <w:color w:val="000000"/>
                      <w:szCs w:val="21"/>
                    </w:rPr>
                  </w:pPr>
                  <w:r>
                    <w:rPr>
                      <w:rFonts w:hint="eastAsia"/>
                      <w:color w:val="000000"/>
                      <w:szCs w:val="21"/>
                    </w:rPr>
                    <w:t>优先进入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176" w:type="dxa"/>
                  <w:vAlign w:val="center"/>
                </w:tcPr>
                <w:p>
                  <w:pPr>
                    <w:autoSpaceDE w:val="0"/>
                    <w:autoSpaceDN w:val="0"/>
                    <w:adjustRightInd w:val="0"/>
                    <w:snapToGrid w:val="0"/>
                    <w:spacing w:line="340" w:lineRule="exact"/>
                    <w:jc w:val="center"/>
                    <w:rPr>
                      <w:color w:val="000000"/>
                      <w:szCs w:val="21"/>
                    </w:rPr>
                  </w:pPr>
                  <w:r>
                    <w:rPr>
                      <w:rFonts w:hint="eastAsia"/>
                      <w:color w:val="000000"/>
                      <w:szCs w:val="21"/>
                    </w:rPr>
                    <w:t>395</w:t>
                  </w:r>
                </w:p>
              </w:tc>
              <w:tc>
                <w:tcPr>
                  <w:tcW w:w="4932" w:type="dxa"/>
                  <w:vAlign w:val="center"/>
                </w:tcPr>
                <w:p>
                  <w:pPr>
                    <w:autoSpaceDE w:val="0"/>
                    <w:autoSpaceDN w:val="0"/>
                    <w:adjustRightInd w:val="0"/>
                    <w:snapToGrid w:val="0"/>
                    <w:spacing w:line="340" w:lineRule="exact"/>
                    <w:jc w:val="center"/>
                    <w:rPr>
                      <w:color w:val="000000"/>
                      <w:szCs w:val="21"/>
                    </w:rPr>
                  </w:pPr>
                  <w:r>
                    <w:rPr>
                      <w:rFonts w:hint="eastAsia"/>
                      <w:color w:val="000000"/>
                      <w:szCs w:val="21"/>
                    </w:rPr>
                    <w:t>视听设备制造</w:t>
                  </w:r>
                </w:p>
              </w:tc>
              <w:tc>
                <w:tcPr>
                  <w:tcW w:w="1323" w:type="dxa"/>
                  <w:vAlign w:val="center"/>
                </w:tcPr>
                <w:p>
                  <w:pPr>
                    <w:autoSpaceDE w:val="0"/>
                    <w:autoSpaceDN w:val="0"/>
                    <w:adjustRightInd w:val="0"/>
                    <w:snapToGrid w:val="0"/>
                    <w:spacing w:line="340" w:lineRule="exact"/>
                    <w:jc w:val="center"/>
                    <w:rPr>
                      <w:color w:val="000000"/>
                      <w:szCs w:val="21"/>
                    </w:rPr>
                  </w:pPr>
                  <w:r>
                    <w:rPr>
                      <w:rFonts w:hint="eastAsia"/>
                      <w:color w:val="000000"/>
                      <w:szCs w:val="21"/>
                    </w:rPr>
                    <w:t>优先进入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176" w:type="dxa"/>
                  <w:vAlign w:val="center"/>
                </w:tcPr>
                <w:p>
                  <w:pPr>
                    <w:autoSpaceDE w:val="0"/>
                    <w:autoSpaceDN w:val="0"/>
                    <w:adjustRightInd w:val="0"/>
                    <w:snapToGrid w:val="0"/>
                    <w:spacing w:line="340" w:lineRule="exact"/>
                    <w:jc w:val="center"/>
                    <w:rPr>
                      <w:color w:val="000000"/>
                      <w:szCs w:val="21"/>
                    </w:rPr>
                  </w:pPr>
                  <w:r>
                    <w:rPr>
                      <w:rFonts w:hint="eastAsia"/>
                      <w:color w:val="000000"/>
                      <w:szCs w:val="21"/>
                    </w:rPr>
                    <w:t>396</w:t>
                  </w:r>
                </w:p>
              </w:tc>
              <w:tc>
                <w:tcPr>
                  <w:tcW w:w="4932" w:type="dxa"/>
                  <w:vAlign w:val="center"/>
                </w:tcPr>
                <w:p>
                  <w:pPr>
                    <w:autoSpaceDE w:val="0"/>
                    <w:autoSpaceDN w:val="0"/>
                    <w:adjustRightInd w:val="0"/>
                    <w:snapToGrid w:val="0"/>
                    <w:spacing w:line="340" w:lineRule="exact"/>
                    <w:jc w:val="center"/>
                    <w:rPr>
                      <w:color w:val="000000"/>
                      <w:szCs w:val="21"/>
                    </w:rPr>
                  </w:pPr>
                  <w:r>
                    <w:rPr>
                      <w:rFonts w:hint="eastAsia"/>
                      <w:color w:val="000000"/>
                      <w:szCs w:val="21"/>
                    </w:rPr>
                    <w:t>电子器件制造</w:t>
                  </w:r>
                </w:p>
              </w:tc>
              <w:tc>
                <w:tcPr>
                  <w:tcW w:w="1323" w:type="dxa"/>
                  <w:vAlign w:val="center"/>
                </w:tcPr>
                <w:p>
                  <w:pPr>
                    <w:autoSpaceDE w:val="0"/>
                    <w:autoSpaceDN w:val="0"/>
                    <w:adjustRightInd w:val="0"/>
                    <w:snapToGrid w:val="0"/>
                    <w:spacing w:line="340" w:lineRule="exact"/>
                    <w:jc w:val="center"/>
                    <w:rPr>
                      <w:color w:val="000000"/>
                      <w:szCs w:val="21"/>
                    </w:rPr>
                  </w:pPr>
                  <w:r>
                    <w:rPr>
                      <w:rFonts w:hint="eastAsia"/>
                      <w:color w:val="000000"/>
                      <w:szCs w:val="21"/>
                    </w:rPr>
                    <w:t>优先进入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176" w:type="dxa"/>
                  <w:vAlign w:val="center"/>
                </w:tcPr>
                <w:p>
                  <w:pPr>
                    <w:autoSpaceDE w:val="0"/>
                    <w:autoSpaceDN w:val="0"/>
                    <w:adjustRightInd w:val="0"/>
                    <w:snapToGrid w:val="0"/>
                    <w:spacing w:line="340" w:lineRule="exact"/>
                    <w:jc w:val="center"/>
                    <w:rPr>
                      <w:color w:val="000000"/>
                      <w:szCs w:val="21"/>
                    </w:rPr>
                  </w:pPr>
                  <w:r>
                    <w:rPr>
                      <w:rFonts w:hint="eastAsia"/>
                      <w:color w:val="000000"/>
                      <w:szCs w:val="21"/>
                    </w:rPr>
                    <w:t>397</w:t>
                  </w:r>
                </w:p>
              </w:tc>
              <w:tc>
                <w:tcPr>
                  <w:tcW w:w="4932" w:type="dxa"/>
                  <w:vAlign w:val="center"/>
                </w:tcPr>
                <w:p>
                  <w:pPr>
                    <w:autoSpaceDE w:val="0"/>
                    <w:autoSpaceDN w:val="0"/>
                    <w:adjustRightInd w:val="0"/>
                    <w:snapToGrid w:val="0"/>
                    <w:spacing w:line="340" w:lineRule="exact"/>
                    <w:jc w:val="center"/>
                    <w:rPr>
                      <w:color w:val="000000"/>
                      <w:szCs w:val="21"/>
                    </w:rPr>
                  </w:pPr>
                  <w:r>
                    <w:rPr>
                      <w:rFonts w:hint="eastAsia"/>
                      <w:color w:val="000000"/>
                      <w:szCs w:val="21"/>
                    </w:rPr>
                    <w:t>电子元件制造</w:t>
                  </w:r>
                </w:p>
              </w:tc>
              <w:tc>
                <w:tcPr>
                  <w:tcW w:w="1323" w:type="dxa"/>
                  <w:vAlign w:val="center"/>
                </w:tcPr>
                <w:p>
                  <w:pPr>
                    <w:autoSpaceDE w:val="0"/>
                    <w:autoSpaceDN w:val="0"/>
                    <w:adjustRightInd w:val="0"/>
                    <w:snapToGrid w:val="0"/>
                    <w:spacing w:line="340" w:lineRule="exact"/>
                    <w:jc w:val="center"/>
                    <w:rPr>
                      <w:color w:val="000000"/>
                      <w:szCs w:val="21"/>
                    </w:rPr>
                  </w:pPr>
                  <w:r>
                    <w:rPr>
                      <w:rFonts w:hint="eastAsia"/>
                      <w:color w:val="000000"/>
                      <w:szCs w:val="21"/>
                    </w:rPr>
                    <w:t>控制进入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176" w:type="dxa"/>
                  <w:vAlign w:val="center"/>
                </w:tcPr>
                <w:p>
                  <w:pPr>
                    <w:autoSpaceDE w:val="0"/>
                    <w:autoSpaceDN w:val="0"/>
                    <w:adjustRightInd w:val="0"/>
                    <w:snapToGrid w:val="0"/>
                    <w:spacing w:line="340" w:lineRule="atLeast"/>
                    <w:jc w:val="center"/>
                    <w:rPr>
                      <w:rFonts w:hAnsi="宋体"/>
                      <w:b/>
                      <w:color w:val="000000"/>
                      <w:szCs w:val="21"/>
                    </w:rPr>
                  </w:pPr>
                  <w:r>
                    <w:rPr>
                      <w:rFonts w:hint="eastAsia" w:hAnsi="宋体"/>
                      <w:b/>
                      <w:color w:val="000000"/>
                      <w:szCs w:val="21"/>
                    </w:rPr>
                    <w:t>441</w:t>
                  </w:r>
                </w:p>
              </w:tc>
              <w:tc>
                <w:tcPr>
                  <w:tcW w:w="4932" w:type="dxa"/>
                  <w:vAlign w:val="center"/>
                </w:tcPr>
                <w:p>
                  <w:pPr>
                    <w:autoSpaceDE w:val="0"/>
                    <w:autoSpaceDN w:val="0"/>
                    <w:adjustRightInd w:val="0"/>
                    <w:snapToGrid w:val="0"/>
                    <w:spacing w:line="340" w:lineRule="atLeast"/>
                    <w:jc w:val="center"/>
                    <w:rPr>
                      <w:rFonts w:hAnsi="宋体"/>
                      <w:b/>
                      <w:color w:val="000000"/>
                      <w:szCs w:val="21"/>
                    </w:rPr>
                  </w:pPr>
                  <w:r>
                    <w:rPr>
                      <w:rFonts w:hint="eastAsia" w:hAnsi="宋体"/>
                      <w:b/>
                      <w:color w:val="000000"/>
                      <w:szCs w:val="21"/>
                    </w:rPr>
                    <w:t>电力生产</w:t>
                  </w:r>
                </w:p>
              </w:tc>
              <w:tc>
                <w:tcPr>
                  <w:tcW w:w="1323" w:type="dxa"/>
                  <w:vAlign w:val="center"/>
                </w:tcPr>
                <w:p>
                  <w:pPr>
                    <w:autoSpaceDE w:val="0"/>
                    <w:autoSpaceDN w:val="0"/>
                    <w:adjustRightInd w:val="0"/>
                    <w:snapToGrid w:val="0"/>
                    <w:spacing w:line="340" w:lineRule="atLeast"/>
                    <w:jc w:val="center"/>
                    <w:rPr>
                      <w:rFonts w:hAnsi="宋体"/>
                      <w:color w:val="000000"/>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176" w:type="dxa"/>
                  <w:vAlign w:val="center"/>
                </w:tcPr>
                <w:p>
                  <w:pPr>
                    <w:autoSpaceDE w:val="0"/>
                    <w:autoSpaceDN w:val="0"/>
                    <w:adjustRightInd w:val="0"/>
                    <w:snapToGrid w:val="0"/>
                    <w:spacing w:line="340" w:lineRule="atLeast"/>
                    <w:jc w:val="center"/>
                    <w:rPr>
                      <w:rFonts w:hAnsi="宋体"/>
                      <w:color w:val="000000"/>
                      <w:szCs w:val="21"/>
                    </w:rPr>
                  </w:pPr>
                  <w:r>
                    <w:rPr>
                      <w:rFonts w:hint="eastAsia" w:hAnsi="宋体"/>
                      <w:color w:val="000000"/>
                      <w:szCs w:val="21"/>
                    </w:rPr>
                    <w:t>4411</w:t>
                  </w:r>
                </w:p>
              </w:tc>
              <w:tc>
                <w:tcPr>
                  <w:tcW w:w="4932" w:type="dxa"/>
                  <w:vAlign w:val="center"/>
                </w:tcPr>
                <w:p>
                  <w:pPr>
                    <w:autoSpaceDE w:val="0"/>
                    <w:autoSpaceDN w:val="0"/>
                    <w:adjustRightInd w:val="0"/>
                    <w:snapToGrid w:val="0"/>
                    <w:spacing w:line="340" w:lineRule="atLeast"/>
                    <w:jc w:val="center"/>
                    <w:rPr>
                      <w:rFonts w:hAnsi="宋体"/>
                      <w:color w:val="000000"/>
                      <w:szCs w:val="21"/>
                    </w:rPr>
                  </w:pPr>
                  <w:r>
                    <w:rPr>
                      <w:rFonts w:hint="eastAsia" w:hAnsi="宋体"/>
                      <w:color w:val="000000"/>
                      <w:szCs w:val="21"/>
                    </w:rPr>
                    <w:t>火力发电</w:t>
                  </w:r>
                </w:p>
              </w:tc>
              <w:tc>
                <w:tcPr>
                  <w:tcW w:w="1323" w:type="dxa"/>
                  <w:vAlign w:val="center"/>
                </w:tcPr>
                <w:p>
                  <w:pPr>
                    <w:autoSpaceDE w:val="0"/>
                    <w:autoSpaceDN w:val="0"/>
                    <w:adjustRightInd w:val="0"/>
                    <w:snapToGrid w:val="0"/>
                    <w:spacing w:line="340" w:lineRule="atLeast"/>
                    <w:jc w:val="center"/>
                    <w:rPr>
                      <w:rFonts w:hAnsi="宋体"/>
                      <w:color w:val="000000"/>
                      <w:szCs w:val="21"/>
                    </w:rPr>
                  </w:pPr>
                  <w:r>
                    <w:rPr>
                      <w:rFonts w:hint="eastAsia" w:hAnsi="宋体"/>
                      <w:color w:val="000000"/>
                      <w:szCs w:val="21"/>
                    </w:rPr>
                    <w:t>控制进入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176" w:type="dxa"/>
                  <w:vAlign w:val="center"/>
                </w:tcPr>
                <w:p>
                  <w:pPr>
                    <w:autoSpaceDE w:val="0"/>
                    <w:autoSpaceDN w:val="0"/>
                    <w:adjustRightInd w:val="0"/>
                    <w:snapToGrid w:val="0"/>
                    <w:spacing w:line="340" w:lineRule="exact"/>
                    <w:jc w:val="center"/>
                    <w:rPr>
                      <w:b/>
                      <w:color w:val="000000"/>
                      <w:szCs w:val="21"/>
                    </w:rPr>
                  </w:pPr>
                  <w:r>
                    <w:rPr>
                      <w:rFonts w:hint="eastAsia"/>
                      <w:b/>
                      <w:color w:val="000000"/>
                      <w:szCs w:val="21"/>
                    </w:rPr>
                    <w:t>55</w:t>
                  </w:r>
                </w:p>
              </w:tc>
              <w:tc>
                <w:tcPr>
                  <w:tcW w:w="4932" w:type="dxa"/>
                  <w:vAlign w:val="center"/>
                </w:tcPr>
                <w:p>
                  <w:pPr>
                    <w:autoSpaceDE w:val="0"/>
                    <w:autoSpaceDN w:val="0"/>
                    <w:adjustRightInd w:val="0"/>
                    <w:snapToGrid w:val="0"/>
                    <w:spacing w:line="340" w:lineRule="exact"/>
                    <w:jc w:val="center"/>
                    <w:rPr>
                      <w:b/>
                      <w:color w:val="000000"/>
                      <w:szCs w:val="21"/>
                    </w:rPr>
                  </w:pPr>
                  <w:r>
                    <w:rPr>
                      <w:rFonts w:hint="eastAsia"/>
                      <w:b/>
                      <w:color w:val="000000"/>
                      <w:szCs w:val="21"/>
                    </w:rPr>
                    <w:t>水上运输业</w:t>
                  </w:r>
                </w:p>
              </w:tc>
              <w:tc>
                <w:tcPr>
                  <w:tcW w:w="1323" w:type="dxa"/>
                  <w:vAlign w:val="center"/>
                </w:tcPr>
                <w:p>
                  <w:pPr>
                    <w:autoSpaceDE w:val="0"/>
                    <w:autoSpaceDN w:val="0"/>
                    <w:adjustRightInd w:val="0"/>
                    <w:snapToGrid w:val="0"/>
                    <w:spacing w:line="340" w:lineRule="exact"/>
                    <w:jc w:val="center"/>
                    <w:rPr>
                      <w:color w:val="000000"/>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176" w:type="dxa"/>
                  <w:vAlign w:val="center"/>
                </w:tcPr>
                <w:p>
                  <w:pPr>
                    <w:autoSpaceDE w:val="0"/>
                    <w:autoSpaceDN w:val="0"/>
                    <w:adjustRightInd w:val="0"/>
                    <w:snapToGrid w:val="0"/>
                    <w:spacing w:line="340" w:lineRule="exact"/>
                    <w:jc w:val="center"/>
                    <w:rPr>
                      <w:color w:val="000000"/>
                      <w:szCs w:val="21"/>
                    </w:rPr>
                  </w:pPr>
                  <w:r>
                    <w:rPr>
                      <w:rFonts w:hint="eastAsia"/>
                      <w:color w:val="000000"/>
                      <w:szCs w:val="21"/>
                    </w:rPr>
                    <w:t>552</w:t>
                  </w:r>
                </w:p>
              </w:tc>
              <w:tc>
                <w:tcPr>
                  <w:tcW w:w="4932" w:type="dxa"/>
                  <w:vAlign w:val="center"/>
                </w:tcPr>
                <w:p>
                  <w:pPr>
                    <w:autoSpaceDE w:val="0"/>
                    <w:autoSpaceDN w:val="0"/>
                    <w:adjustRightInd w:val="0"/>
                    <w:snapToGrid w:val="0"/>
                    <w:spacing w:line="340" w:lineRule="exact"/>
                    <w:jc w:val="center"/>
                    <w:rPr>
                      <w:color w:val="000000"/>
                      <w:szCs w:val="21"/>
                    </w:rPr>
                  </w:pPr>
                  <w:r>
                    <w:rPr>
                      <w:rFonts w:hint="eastAsia"/>
                      <w:color w:val="000000"/>
                      <w:szCs w:val="21"/>
                    </w:rPr>
                    <w:t>水上货物运输</w:t>
                  </w:r>
                </w:p>
              </w:tc>
              <w:tc>
                <w:tcPr>
                  <w:tcW w:w="1323" w:type="dxa"/>
                  <w:vAlign w:val="center"/>
                </w:tcPr>
                <w:p>
                  <w:pPr>
                    <w:autoSpaceDE w:val="0"/>
                    <w:autoSpaceDN w:val="0"/>
                    <w:adjustRightInd w:val="0"/>
                    <w:snapToGrid w:val="0"/>
                    <w:spacing w:line="340" w:lineRule="exact"/>
                    <w:jc w:val="center"/>
                    <w:rPr>
                      <w:color w:val="000000"/>
                      <w:szCs w:val="21"/>
                    </w:rPr>
                  </w:pPr>
                  <w:r>
                    <w:rPr>
                      <w:rFonts w:hint="eastAsia"/>
                      <w:color w:val="000000"/>
                      <w:szCs w:val="21"/>
                    </w:rPr>
                    <w:t>优先进入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176" w:type="dxa"/>
                  <w:vAlign w:val="center"/>
                </w:tcPr>
                <w:p>
                  <w:pPr>
                    <w:autoSpaceDE w:val="0"/>
                    <w:autoSpaceDN w:val="0"/>
                    <w:adjustRightInd w:val="0"/>
                    <w:snapToGrid w:val="0"/>
                    <w:spacing w:line="340" w:lineRule="exact"/>
                    <w:jc w:val="center"/>
                    <w:rPr>
                      <w:color w:val="000000"/>
                      <w:szCs w:val="21"/>
                    </w:rPr>
                  </w:pPr>
                  <w:r>
                    <w:rPr>
                      <w:rFonts w:hint="eastAsia"/>
                      <w:color w:val="000000"/>
                      <w:szCs w:val="21"/>
                    </w:rPr>
                    <w:t>553</w:t>
                  </w:r>
                </w:p>
              </w:tc>
              <w:tc>
                <w:tcPr>
                  <w:tcW w:w="4932" w:type="dxa"/>
                  <w:vAlign w:val="center"/>
                </w:tcPr>
                <w:p>
                  <w:pPr>
                    <w:autoSpaceDE w:val="0"/>
                    <w:autoSpaceDN w:val="0"/>
                    <w:adjustRightInd w:val="0"/>
                    <w:snapToGrid w:val="0"/>
                    <w:spacing w:line="340" w:lineRule="exact"/>
                    <w:jc w:val="center"/>
                    <w:rPr>
                      <w:color w:val="000000"/>
                      <w:szCs w:val="21"/>
                    </w:rPr>
                  </w:pPr>
                  <w:r>
                    <w:rPr>
                      <w:rFonts w:hint="eastAsia"/>
                      <w:color w:val="000000"/>
                      <w:szCs w:val="21"/>
                    </w:rPr>
                    <w:t>水上运输辅助活动</w:t>
                  </w:r>
                </w:p>
              </w:tc>
              <w:tc>
                <w:tcPr>
                  <w:tcW w:w="1323" w:type="dxa"/>
                  <w:vAlign w:val="center"/>
                </w:tcPr>
                <w:p>
                  <w:pPr>
                    <w:autoSpaceDE w:val="0"/>
                    <w:autoSpaceDN w:val="0"/>
                    <w:adjustRightInd w:val="0"/>
                    <w:snapToGrid w:val="0"/>
                    <w:spacing w:line="340" w:lineRule="exact"/>
                    <w:jc w:val="center"/>
                    <w:rPr>
                      <w:color w:val="000000"/>
                      <w:szCs w:val="21"/>
                    </w:rPr>
                  </w:pPr>
                  <w:r>
                    <w:rPr>
                      <w:rFonts w:hint="eastAsia"/>
                      <w:color w:val="000000"/>
                      <w:szCs w:val="21"/>
                    </w:rPr>
                    <w:t>优先进入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176" w:type="dxa"/>
                  <w:vAlign w:val="center"/>
                </w:tcPr>
                <w:p>
                  <w:pPr>
                    <w:autoSpaceDE w:val="0"/>
                    <w:autoSpaceDN w:val="0"/>
                    <w:adjustRightInd w:val="0"/>
                    <w:snapToGrid w:val="0"/>
                    <w:spacing w:line="340" w:lineRule="exact"/>
                    <w:jc w:val="center"/>
                    <w:rPr>
                      <w:b/>
                      <w:color w:val="000000"/>
                      <w:szCs w:val="21"/>
                    </w:rPr>
                  </w:pPr>
                  <w:r>
                    <w:rPr>
                      <w:rFonts w:hint="eastAsia"/>
                      <w:b/>
                      <w:color w:val="000000"/>
                      <w:szCs w:val="21"/>
                    </w:rPr>
                    <w:t>59</w:t>
                  </w:r>
                </w:p>
              </w:tc>
              <w:tc>
                <w:tcPr>
                  <w:tcW w:w="4932" w:type="dxa"/>
                  <w:vAlign w:val="center"/>
                </w:tcPr>
                <w:p>
                  <w:pPr>
                    <w:autoSpaceDE w:val="0"/>
                    <w:autoSpaceDN w:val="0"/>
                    <w:adjustRightInd w:val="0"/>
                    <w:snapToGrid w:val="0"/>
                    <w:spacing w:line="340" w:lineRule="exact"/>
                    <w:jc w:val="center"/>
                    <w:rPr>
                      <w:b/>
                      <w:color w:val="000000"/>
                      <w:szCs w:val="21"/>
                    </w:rPr>
                  </w:pPr>
                  <w:r>
                    <w:rPr>
                      <w:rFonts w:hint="eastAsia"/>
                      <w:b/>
                      <w:color w:val="000000"/>
                      <w:szCs w:val="21"/>
                    </w:rPr>
                    <w:t>仓储业</w:t>
                  </w:r>
                </w:p>
              </w:tc>
              <w:tc>
                <w:tcPr>
                  <w:tcW w:w="1323" w:type="dxa"/>
                  <w:vAlign w:val="center"/>
                </w:tcPr>
                <w:p>
                  <w:pPr>
                    <w:autoSpaceDE w:val="0"/>
                    <w:autoSpaceDN w:val="0"/>
                    <w:adjustRightInd w:val="0"/>
                    <w:snapToGrid w:val="0"/>
                    <w:spacing w:line="340" w:lineRule="exact"/>
                    <w:jc w:val="center"/>
                    <w:rPr>
                      <w:color w:val="000000"/>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176" w:type="dxa"/>
                  <w:vAlign w:val="center"/>
                </w:tcPr>
                <w:p>
                  <w:pPr>
                    <w:autoSpaceDE w:val="0"/>
                    <w:autoSpaceDN w:val="0"/>
                    <w:adjustRightInd w:val="0"/>
                    <w:snapToGrid w:val="0"/>
                    <w:spacing w:line="340" w:lineRule="exact"/>
                    <w:jc w:val="center"/>
                    <w:rPr>
                      <w:color w:val="000000"/>
                      <w:szCs w:val="21"/>
                    </w:rPr>
                  </w:pPr>
                  <w:r>
                    <w:rPr>
                      <w:color w:val="000000"/>
                      <w:szCs w:val="21"/>
                    </w:rPr>
                    <w:t>599</w:t>
                  </w:r>
                </w:p>
              </w:tc>
              <w:tc>
                <w:tcPr>
                  <w:tcW w:w="4932" w:type="dxa"/>
                  <w:vAlign w:val="center"/>
                </w:tcPr>
                <w:p>
                  <w:pPr>
                    <w:autoSpaceDE w:val="0"/>
                    <w:autoSpaceDN w:val="0"/>
                    <w:adjustRightInd w:val="0"/>
                    <w:snapToGrid w:val="0"/>
                    <w:spacing w:line="340" w:lineRule="exact"/>
                    <w:jc w:val="center"/>
                    <w:rPr>
                      <w:color w:val="000000"/>
                      <w:szCs w:val="21"/>
                    </w:rPr>
                  </w:pPr>
                  <w:r>
                    <w:rPr>
                      <w:rFonts w:hint="eastAsia"/>
                      <w:color w:val="000000"/>
                      <w:szCs w:val="21"/>
                    </w:rPr>
                    <w:t>其他仓储业</w:t>
                  </w:r>
                </w:p>
              </w:tc>
              <w:tc>
                <w:tcPr>
                  <w:tcW w:w="1323" w:type="dxa"/>
                  <w:vAlign w:val="center"/>
                </w:tcPr>
                <w:p>
                  <w:pPr>
                    <w:autoSpaceDE w:val="0"/>
                    <w:autoSpaceDN w:val="0"/>
                    <w:adjustRightInd w:val="0"/>
                    <w:snapToGrid w:val="0"/>
                    <w:spacing w:line="340" w:lineRule="exact"/>
                    <w:jc w:val="center"/>
                    <w:rPr>
                      <w:color w:val="000000"/>
                      <w:szCs w:val="21"/>
                    </w:rPr>
                  </w:pPr>
                  <w:r>
                    <w:rPr>
                      <w:rFonts w:hint="eastAsia"/>
                      <w:color w:val="000000"/>
                      <w:szCs w:val="21"/>
                    </w:rPr>
                    <w:t>控制进入</w:t>
                  </w:r>
                </w:p>
              </w:tc>
            </w:tr>
          </w:tbl>
          <w:p>
            <w:pPr>
              <w:spacing w:line="360" w:lineRule="auto"/>
              <w:ind w:firstLine="540" w:firstLineChars="225"/>
              <w:rPr>
                <w:color w:val="000000"/>
                <w:sz w:val="24"/>
              </w:rPr>
            </w:pPr>
            <w:r>
              <w:rPr>
                <w:color w:val="000000"/>
                <w:sz w:val="24"/>
              </w:rPr>
              <w:t>本项目选址位于</w:t>
            </w:r>
            <w:r>
              <w:rPr>
                <w:rFonts w:hint="eastAsia"/>
                <w:color w:val="000000"/>
                <w:sz w:val="24"/>
              </w:rPr>
              <w:t>安徽省芜湖市三山区经济开发区春洲路2号，属于</w:t>
            </w:r>
            <w:r>
              <w:rPr>
                <w:rFonts w:hint="eastAsia" w:cs="宋体"/>
                <w:color w:val="000000"/>
                <w:kern w:val="0"/>
                <w:sz w:val="24"/>
              </w:rPr>
              <w:t>芜湖三山经济开发区的</w:t>
            </w:r>
            <w:r>
              <w:rPr>
                <w:color w:val="000000"/>
                <w:sz w:val="24"/>
              </w:rPr>
              <w:t>规划</w:t>
            </w:r>
            <w:r>
              <w:rPr>
                <w:rFonts w:hint="eastAsia"/>
                <w:color w:val="000000"/>
                <w:sz w:val="24"/>
              </w:rPr>
              <w:t>范围</w:t>
            </w:r>
            <w:r>
              <w:rPr>
                <w:color w:val="000000"/>
                <w:sz w:val="24"/>
              </w:rPr>
              <w:t>，本项目产品为</w:t>
            </w:r>
            <w:r>
              <w:rPr>
                <w:rFonts w:hint="eastAsia"/>
                <w:color w:val="000000"/>
                <w:sz w:val="24"/>
              </w:rPr>
              <w:t>机制砂生产</w:t>
            </w:r>
            <w:r>
              <w:rPr>
                <w:rFonts w:hint="eastAsia"/>
                <w:color w:val="000000"/>
                <w:sz w:val="24"/>
                <w:lang w:val="en-US" w:eastAsia="zh-CN"/>
              </w:rPr>
              <w:t>，</w:t>
            </w:r>
            <w:r>
              <w:rPr>
                <w:rFonts w:hint="eastAsia"/>
                <w:color w:val="000000"/>
                <w:sz w:val="24"/>
              </w:rPr>
              <w:t>为其它非金属矿物制品制造，不属于三山经济开发区“禁止进入”、“控制进入”及“优先进入”行业，视为允许进入行业</w:t>
            </w:r>
            <w:r>
              <w:rPr>
                <w:rFonts w:hint="eastAsia" w:cs="宋体"/>
                <w:color w:val="000000"/>
                <w:kern w:val="0"/>
                <w:sz w:val="24"/>
              </w:rPr>
              <w:t>，符合规划要求。</w:t>
            </w:r>
          </w:p>
          <w:p>
            <w:pPr>
              <w:widowControl/>
              <w:spacing w:line="360" w:lineRule="auto"/>
              <w:ind w:firstLine="480" w:firstLineChars="200"/>
              <w:jc w:val="left"/>
              <w:rPr>
                <w:color w:val="000000"/>
                <w:kern w:val="0"/>
                <w:szCs w:val="21"/>
              </w:rPr>
            </w:pPr>
            <w:r>
              <w:rPr>
                <w:rFonts w:hint="eastAsia"/>
                <w:color w:val="000000"/>
                <w:kern w:val="0"/>
                <w:sz w:val="24"/>
              </w:rPr>
              <w:t>本项目</w:t>
            </w:r>
            <w:r>
              <w:rPr>
                <w:color w:val="000000"/>
                <w:kern w:val="0"/>
                <w:sz w:val="24"/>
              </w:rPr>
              <w:t>与</w:t>
            </w:r>
            <w:r>
              <w:rPr>
                <w:rFonts w:hint="eastAsia"/>
                <w:color w:val="000000"/>
                <w:kern w:val="0"/>
                <w:sz w:val="24"/>
              </w:rPr>
              <w:t>《</w:t>
            </w:r>
            <w:r>
              <w:rPr>
                <w:rFonts w:hint="eastAsia" w:cs="宋体"/>
                <w:color w:val="000000"/>
                <w:kern w:val="0"/>
                <w:sz w:val="24"/>
              </w:rPr>
              <w:t>安徽芜湖三山经济开发区总体发展规划环境影响报告书审查意见的函</w:t>
            </w:r>
            <w:r>
              <w:rPr>
                <w:rFonts w:hint="eastAsia"/>
                <w:color w:val="000000"/>
                <w:kern w:val="0"/>
                <w:sz w:val="24"/>
              </w:rPr>
              <w:t>》</w:t>
            </w:r>
            <w:r>
              <w:rPr>
                <w:color w:val="000000"/>
                <w:kern w:val="0"/>
                <w:sz w:val="24"/>
              </w:rPr>
              <w:t>符合性分析</w:t>
            </w:r>
            <w:r>
              <w:rPr>
                <w:rFonts w:hint="eastAsia"/>
                <w:color w:val="000000"/>
                <w:kern w:val="0"/>
                <w:sz w:val="24"/>
              </w:rPr>
              <w:t>见下表</w:t>
            </w:r>
            <w:r>
              <w:rPr>
                <w:color w:val="000000"/>
                <w:kern w:val="0"/>
                <w:sz w:val="24"/>
              </w:rPr>
              <w:t>：</w:t>
            </w:r>
            <w:r>
              <w:rPr>
                <w:color w:val="000000"/>
                <w:kern w:val="0"/>
                <w:szCs w:val="21"/>
              </w:rPr>
              <w:t xml:space="preserve"> </w:t>
            </w:r>
          </w:p>
          <w:p>
            <w:pPr>
              <w:jc w:val="center"/>
              <w:rPr>
                <w:rFonts w:cs="Arial"/>
                <w:b/>
                <w:color w:val="000000"/>
                <w:kern w:val="0"/>
                <w:sz w:val="24"/>
                <w:shd w:val="clear" w:color="auto" w:fill="FFFFFF"/>
              </w:rPr>
            </w:pPr>
            <w:r>
              <w:rPr>
                <w:rFonts w:cs="Arial"/>
                <w:b/>
                <w:color w:val="000000"/>
                <w:kern w:val="0"/>
                <w:sz w:val="24"/>
                <w:shd w:val="clear" w:color="auto" w:fill="FFFFFF"/>
              </w:rPr>
              <w:t>表1-</w:t>
            </w:r>
            <w:r>
              <w:rPr>
                <w:rFonts w:hint="eastAsia" w:cs="Arial"/>
                <w:b/>
                <w:color w:val="000000"/>
                <w:kern w:val="0"/>
                <w:sz w:val="24"/>
                <w:shd w:val="clear" w:color="auto" w:fill="FFFFFF"/>
              </w:rPr>
              <w:t xml:space="preserve">2 </w:t>
            </w:r>
            <w:r>
              <w:rPr>
                <w:rFonts w:cs="Arial"/>
                <w:b/>
                <w:color w:val="000000"/>
                <w:kern w:val="0"/>
                <w:sz w:val="24"/>
                <w:shd w:val="clear" w:color="auto" w:fill="FFFFFF"/>
              </w:rPr>
              <w:t xml:space="preserve"> </w:t>
            </w:r>
            <w:r>
              <w:rPr>
                <w:rFonts w:hint="eastAsia" w:cs="Arial"/>
                <w:b/>
                <w:color w:val="000000"/>
                <w:kern w:val="0"/>
                <w:sz w:val="24"/>
                <w:shd w:val="clear" w:color="auto" w:fill="FFFFFF"/>
              </w:rPr>
              <w:t>本</w:t>
            </w:r>
            <w:r>
              <w:rPr>
                <w:rFonts w:cs="Arial"/>
                <w:b/>
                <w:color w:val="000000"/>
                <w:kern w:val="0"/>
                <w:sz w:val="24"/>
                <w:shd w:val="clear" w:color="auto" w:fill="FFFFFF"/>
              </w:rPr>
              <w:t>项目与</w:t>
            </w:r>
            <w:r>
              <w:rPr>
                <w:rFonts w:hint="eastAsia"/>
                <w:b/>
                <w:color w:val="000000"/>
                <w:kern w:val="0"/>
                <w:sz w:val="24"/>
              </w:rPr>
              <w:t>《</w:t>
            </w:r>
            <w:r>
              <w:rPr>
                <w:rFonts w:hint="eastAsia" w:cs="宋体"/>
                <w:b/>
                <w:color w:val="000000"/>
                <w:kern w:val="0"/>
                <w:sz w:val="24"/>
              </w:rPr>
              <w:t>安徽芜湖三山经济开发区总体发展规划环境影响报告书审查意见的函</w:t>
            </w:r>
            <w:r>
              <w:rPr>
                <w:rFonts w:hint="eastAsia"/>
                <w:b/>
                <w:color w:val="000000"/>
                <w:kern w:val="0"/>
                <w:sz w:val="24"/>
              </w:rPr>
              <w:t>》</w:t>
            </w:r>
            <w:r>
              <w:rPr>
                <w:rFonts w:cs="Arial"/>
                <w:b/>
                <w:color w:val="000000"/>
                <w:kern w:val="0"/>
                <w:sz w:val="24"/>
                <w:shd w:val="clear" w:color="auto" w:fill="FFFFFF"/>
              </w:rPr>
              <w:t>相符性分析一览表</w:t>
            </w:r>
          </w:p>
          <w:tbl>
            <w:tblPr>
              <w:tblStyle w:val="26"/>
              <w:tblW w:w="5000" w:type="pct"/>
              <w:tblInd w:w="0" w:type="dxa"/>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
            <w:tblGrid>
              <w:gridCol w:w="496"/>
              <w:gridCol w:w="3955"/>
              <w:gridCol w:w="2350"/>
              <w:gridCol w:w="653"/>
            </w:tblGrid>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63" w:hRule="atLeast"/>
              </w:trPr>
              <w:tc>
                <w:tcPr>
                  <w:tcW w:w="333" w:type="pct"/>
                  <w:shd w:val="clear" w:color="auto" w:fill="auto"/>
                  <w:vAlign w:val="center"/>
                </w:tcPr>
                <w:p>
                  <w:pPr>
                    <w:widowControl/>
                    <w:ind w:left="-105" w:leftChars="-50" w:right="-105" w:rightChars="-50"/>
                    <w:jc w:val="center"/>
                    <w:rPr>
                      <w:b/>
                      <w:color w:val="000000"/>
                      <w:kern w:val="0"/>
                      <w:szCs w:val="21"/>
                    </w:rPr>
                  </w:pPr>
                  <w:r>
                    <w:rPr>
                      <w:b/>
                      <w:color w:val="000000"/>
                      <w:kern w:val="0"/>
                      <w:szCs w:val="21"/>
                    </w:rPr>
                    <w:t>序号</w:t>
                  </w:r>
                </w:p>
              </w:tc>
              <w:tc>
                <w:tcPr>
                  <w:tcW w:w="2653" w:type="pct"/>
                  <w:shd w:val="clear" w:color="auto" w:fill="auto"/>
                  <w:vAlign w:val="center"/>
                </w:tcPr>
                <w:p>
                  <w:pPr>
                    <w:widowControl/>
                    <w:ind w:left="-105" w:leftChars="-50" w:right="-105" w:rightChars="-50"/>
                    <w:jc w:val="center"/>
                    <w:rPr>
                      <w:b/>
                      <w:color w:val="000000"/>
                      <w:kern w:val="0"/>
                      <w:szCs w:val="21"/>
                    </w:rPr>
                  </w:pPr>
                  <w:r>
                    <w:rPr>
                      <w:b/>
                      <w:color w:val="000000"/>
                      <w:kern w:val="0"/>
                      <w:szCs w:val="21"/>
                    </w:rPr>
                    <w:t>规划环评及其审查意见</w:t>
                  </w:r>
                </w:p>
              </w:tc>
              <w:tc>
                <w:tcPr>
                  <w:tcW w:w="1576" w:type="pct"/>
                  <w:shd w:val="clear" w:color="auto" w:fill="auto"/>
                  <w:vAlign w:val="center"/>
                </w:tcPr>
                <w:p>
                  <w:pPr>
                    <w:widowControl/>
                    <w:ind w:left="-105" w:leftChars="-50" w:right="-105" w:rightChars="-50"/>
                    <w:jc w:val="center"/>
                    <w:rPr>
                      <w:b/>
                      <w:color w:val="000000"/>
                      <w:kern w:val="0"/>
                      <w:szCs w:val="21"/>
                    </w:rPr>
                  </w:pPr>
                  <w:r>
                    <w:rPr>
                      <w:b/>
                      <w:color w:val="000000"/>
                      <w:kern w:val="0"/>
                      <w:szCs w:val="21"/>
                    </w:rPr>
                    <w:t>本项目情况</w:t>
                  </w:r>
                </w:p>
              </w:tc>
              <w:tc>
                <w:tcPr>
                  <w:tcW w:w="438" w:type="pct"/>
                  <w:shd w:val="clear" w:color="auto" w:fill="auto"/>
                  <w:vAlign w:val="center"/>
                </w:tcPr>
                <w:p>
                  <w:pPr>
                    <w:widowControl/>
                    <w:ind w:left="-105" w:leftChars="-50" w:right="-105" w:rightChars="-50"/>
                    <w:jc w:val="center"/>
                    <w:rPr>
                      <w:b/>
                      <w:color w:val="000000"/>
                      <w:kern w:val="0"/>
                      <w:szCs w:val="21"/>
                    </w:rPr>
                  </w:pPr>
                  <w:r>
                    <w:rPr>
                      <w:b/>
                      <w:color w:val="000000"/>
                      <w:kern w:val="0"/>
                      <w:szCs w:val="21"/>
                    </w:rPr>
                    <w:t>符合性</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63" w:hRule="atLeast"/>
              </w:trPr>
              <w:tc>
                <w:tcPr>
                  <w:tcW w:w="333" w:type="pct"/>
                  <w:shd w:val="clear" w:color="auto" w:fill="auto"/>
                  <w:vAlign w:val="center"/>
                </w:tcPr>
                <w:p>
                  <w:pPr>
                    <w:widowControl/>
                    <w:jc w:val="center"/>
                    <w:rPr>
                      <w:color w:val="000000"/>
                      <w:kern w:val="0"/>
                      <w:szCs w:val="21"/>
                    </w:rPr>
                  </w:pPr>
                  <w:r>
                    <w:rPr>
                      <w:color w:val="000000"/>
                      <w:kern w:val="0"/>
                      <w:szCs w:val="21"/>
                    </w:rPr>
                    <w:t>1</w:t>
                  </w:r>
                </w:p>
              </w:tc>
              <w:tc>
                <w:tcPr>
                  <w:tcW w:w="2653" w:type="pct"/>
                  <w:shd w:val="clear" w:color="auto" w:fill="auto"/>
                  <w:vAlign w:val="center"/>
                </w:tcPr>
                <w:p>
                  <w:pPr>
                    <w:widowControl/>
                    <w:jc w:val="center"/>
                    <w:rPr>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充分考虑居住区域环境要求，进一步优化调整开发区空间布局、组团结构，必要时设置生态隔离措施，减轻和避免各功能区之间、项目之间的相互影响。不符合功能分区和定位的已建项目，要逐步实施调整或搬迁，需要设置卫生防护距离的企业，应按有关规定严格设定。团洲安置区位于芜湖新兴铸管搬迁项目卫生防护距离内，应实施搬迁，并不宜规划为居住用地。严格控制开发区周边用地规划，加强对环境敏感点保护。开发区内现有天然水体应予以保留</w:t>
                  </w:r>
                </w:p>
              </w:tc>
              <w:tc>
                <w:tcPr>
                  <w:tcW w:w="1576" w:type="pct"/>
                  <w:shd w:val="clear" w:color="auto" w:fill="auto"/>
                  <w:vAlign w:val="center"/>
                </w:tcPr>
                <w:p>
                  <w:pPr>
                    <w:widowControl/>
                    <w:jc w:val="center"/>
                    <w:rPr>
                      <w:bCs/>
                      <w:color w:val="0D0D0D" w:themeColor="text1" w:themeTint="F2"/>
                      <w:kern w:val="0"/>
                      <w:szCs w:val="21"/>
                      <w14:textFill>
                        <w14:solidFill>
                          <w14:schemeClr w14:val="tx1">
                            <w14:lumMod w14:val="95000"/>
                            <w14:lumOff w14:val="5000"/>
                          </w14:schemeClr>
                        </w14:solidFill>
                      </w14:textFill>
                    </w:rPr>
                  </w:pPr>
                  <w:r>
                    <w:rPr>
                      <w:bCs/>
                      <w:color w:val="0D0D0D" w:themeColor="text1" w:themeTint="F2"/>
                      <w:kern w:val="0"/>
                      <w:szCs w:val="21"/>
                      <w14:textFill>
                        <w14:solidFill>
                          <w14:schemeClr w14:val="tx1">
                            <w14:lumMod w14:val="95000"/>
                            <w14:lumOff w14:val="5000"/>
                          </w14:schemeClr>
                        </w14:solidFill>
                      </w14:textFill>
                    </w:rPr>
                    <w:t>本项</w:t>
                  </w:r>
                  <w:r>
                    <w:rPr>
                      <w:color w:val="0D0D0D" w:themeColor="text1" w:themeTint="F2"/>
                      <w:kern w:val="0"/>
                      <w:szCs w:val="21"/>
                      <w14:textFill>
                        <w14:solidFill>
                          <w14:schemeClr w14:val="tx1">
                            <w14:lumMod w14:val="95000"/>
                            <w14:lumOff w14:val="5000"/>
                          </w14:schemeClr>
                        </w14:solidFill>
                      </w14:textFill>
                    </w:rPr>
                    <w:t>目位于</w:t>
                  </w:r>
                  <w:r>
                    <w:rPr>
                      <w:rFonts w:hint="eastAsia"/>
                      <w:color w:val="0D0D0D" w:themeColor="text1" w:themeTint="F2"/>
                      <w:kern w:val="0"/>
                      <w:szCs w:val="21"/>
                      <w14:textFill>
                        <w14:solidFill>
                          <w14:schemeClr w14:val="tx1">
                            <w14:lumMod w14:val="95000"/>
                            <w14:lumOff w14:val="5000"/>
                          </w14:schemeClr>
                        </w14:solidFill>
                      </w14:textFill>
                    </w:rPr>
                    <w:t>三山区经济开发区春洲路2号，根据</w:t>
                  </w:r>
                  <w:r>
                    <w:rPr>
                      <w:rFonts w:hint="eastAsia"/>
                      <w:color w:val="0D0D0D" w:themeColor="text1" w:themeTint="F2"/>
                      <w:szCs w:val="21"/>
                      <w14:textFill>
                        <w14:solidFill>
                          <w14:schemeClr w14:val="tx1">
                            <w14:lumMod w14:val="95000"/>
                            <w14:lumOff w14:val="5000"/>
                          </w14:schemeClr>
                        </w14:solidFill>
                      </w14:textFill>
                    </w:rPr>
                    <w:t>《</w:t>
                  </w:r>
                  <w:r>
                    <w:rPr>
                      <w:rFonts w:hint="eastAsia" w:cs="宋体"/>
                      <w:color w:val="0D0D0D" w:themeColor="text1" w:themeTint="F2"/>
                      <w:kern w:val="0"/>
                      <w:szCs w:val="21"/>
                      <w14:textFill>
                        <w14:solidFill>
                          <w14:schemeClr w14:val="tx1">
                            <w14:lumMod w14:val="95000"/>
                            <w14:lumOff w14:val="5000"/>
                          </w14:schemeClr>
                        </w14:solidFill>
                      </w14:textFill>
                    </w:rPr>
                    <w:t>安徽芜湖三山经济开发区总体发展规划环境影响报告书</w:t>
                  </w:r>
                  <w:r>
                    <w:rPr>
                      <w:rFonts w:hint="eastAsia"/>
                      <w:color w:val="0D0D0D" w:themeColor="text1" w:themeTint="F2"/>
                      <w:szCs w:val="21"/>
                      <w14:textFill>
                        <w14:solidFill>
                          <w14:schemeClr w14:val="tx1">
                            <w14:lumMod w14:val="95000"/>
                            <w14:lumOff w14:val="5000"/>
                          </w14:schemeClr>
                        </w14:solidFill>
                      </w14:textFill>
                    </w:rPr>
                    <w:t>》开发区用地布局规划图及土地证</w:t>
                  </w:r>
                  <w:r>
                    <w:rPr>
                      <w:rFonts w:hint="eastAsia"/>
                      <w:color w:val="0D0D0D" w:themeColor="text1" w:themeTint="F2"/>
                      <w:kern w:val="0"/>
                      <w:szCs w:val="21"/>
                      <w14:textFill>
                        <w14:solidFill>
                          <w14:schemeClr w14:val="tx1">
                            <w14:lumMod w14:val="95000"/>
                            <w14:lumOff w14:val="5000"/>
                          </w14:schemeClr>
                        </w14:solidFill>
                      </w14:textFill>
                    </w:rPr>
                    <w:t>，项目用地属于工业用地。项目用地范围内不涉及天然水体</w:t>
                  </w:r>
                </w:p>
              </w:tc>
              <w:tc>
                <w:tcPr>
                  <w:tcW w:w="438" w:type="pct"/>
                  <w:shd w:val="clear" w:color="auto" w:fill="auto"/>
                  <w:vAlign w:val="center"/>
                </w:tcPr>
                <w:p>
                  <w:pPr>
                    <w:widowControl/>
                    <w:jc w:val="center"/>
                    <w:rPr>
                      <w:color w:val="000000"/>
                      <w:kern w:val="0"/>
                      <w:szCs w:val="21"/>
                    </w:rPr>
                  </w:pPr>
                  <w:r>
                    <w:rPr>
                      <w:color w:val="000000"/>
                      <w:kern w:val="0"/>
                      <w:szCs w:val="21"/>
                    </w:rPr>
                    <w:t>相符</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63" w:hRule="atLeast"/>
              </w:trPr>
              <w:tc>
                <w:tcPr>
                  <w:tcW w:w="333" w:type="pct"/>
                  <w:shd w:val="clear" w:color="auto" w:fill="auto"/>
                  <w:vAlign w:val="center"/>
                </w:tcPr>
                <w:p>
                  <w:pPr>
                    <w:widowControl/>
                    <w:jc w:val="center"/>
                    <w:rPr>
                      <w:color w:val="000000"/>
                      <w:kern w:val="0"/>
                      <w:szCs w:val="21"/>
                    </w:rPr>
                  </w:pPr>
                  <w:r>
                    <w:rPr>
                      <w:color w:val="000000"/>
                      <w:kern w:val="0"/>
                      <w:szCs w:val="21"/>
                    </w:rPr>
                    <w:t>2</w:t>
                  </w:r>
                </w:p>
              </w:tc>
              <w:tc>
                <w:tcPr>
                  <w:tcW w:w="2653" w:type="pct"/>
                  <w:shd w:val="clear" w:color="auto" w:fill="auto"/>
                  <w:vAlign w:val="center"/>
                </w:tcPr>
                <w:p>
                  <w:pPr>
                    <w:widowControl/>
                    <w:jc w:val="center"/>
                    <w:rPr>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强化水资源管理，提高水重复利用率。制定并实施开发区节水和中水利用规划，积极推进企业内、企业间水资源的梯级利用和企业用水总量控制，切实提高水资源利用率。严禁建设国家明令禁止的项目，严格控制高耗水、高耗能、污水排放量大的项目建设；已建和报入区建设项目应严格执行水环境保护相关标准和要求</w:t>
                  </w:r>
                </w:p>
              </w:tc>
              <w:tc>
                <w:tcPr>
                  <w:tcW w:w="1576" w:type="pct"/>
                  <w:shd w:val="clear" w:color="auto" w:fill="auto"/>
                  <w:vAlign w:val="center"/>
                </w:tcPr>
                <w:p>
                  <w:pPr>
                    <w:widowControl/>
                    <w:jc w:val="center"/>
                    <w:rPr>
                      <w:color w:val="0D0D0D" w:themeColor="text1" w:themeTint="F2"/>
                      <w:kern w:val="0"/>
                      <w:szCs w:val="21"/>
                      <w14:textFill>
                        <w14:solidFill>
                          <w14:schemeClr w14:val="tx1">
                            <w14:lumMod w14:val="95000"/>
                            <w14:lumOff w14:val="5000"/>
                          </w14:schemeClr>
                        </w14:solidFill>
                      </w14:textFill>
                    </w:rPr>
                  </w:pPr>
                  <w:r>
                    <w:rPr>
                      <w:color w:val="0D0D0D" w:themeColor="text1" w:themeTint="F2"/>
                      <w:kern w:val="0"/>
                      <w:szCs w:val="21"/>
                      <w14:textFill>
                        <w14:solidFill>
                          <w14:schemeClr w14:val="tx1">
                            <w14:lumMod w14:val="95000"/>
                            <w14:lumOff w14:val="5000"/>
                          </w14:schemeClr>
                        </w14:solidFill>
                      </w14:textFill>
                    </w:rPr>
                    <w:t>本项目</w:t>
                  </w:r>
                  <w:r>
                    <w:rPr>
                      <w:rFonts w:hint="eastAsia"/>
                      <w:color w:val="0D0D0D" w:themeColor="text1" w:themeTint="F2"/>
                      <w:kern w:val="0"/>
                      <w:szCs w:val="21"/>
                      <w14:textFill>
                        <w14:solidFill>
                          <w14:schemeClr w14:val="tx1">
                            <w14:lumMod w14:val="95000"/>
                            <w14:lumOff w14:val="5000"/>
                          </w14:schemeClr>
                        </w14:solidFill>
                      </w14:textFill>
                    </w:rPr>
                    <w:t>用水为</w:t>
                  </w:r>
                  <w:r>
                    <w:rPr>
                      <w:rFonts w:hint="eastAsia"/>
                      <w:color w:val="0D0D0D" w:themeColor="text1" w:themeTint="F2"/>
                      <w:kern w:val="0"/>
                      <w:szCs w:val="21"/>
                      <w:lang w:val="en-US" w:eastAsia="zh-CN"/>
                      <w14:textFill>
                        <w14:solidFill>
                          <w14:schemeClr w14:val="tx1">
                            <w14:lumMod w14:val="95000"/>
                            <w14:lumOff w14:val="5000"/>
                          </w14:schemeClr>
                        </w14:solidFill>
                      </w14:textFill>
                    </w:rPr>
                    <w:t>车间喷雾</w:t>
                  </w:r>
                  <w:r>
                    <w:rPr>
                      <w:rFonts w:hint="eastAsia"/>
                      <w:color w:val="0D0D0D" w:themeColor="text1" w:themeTint="F2"/>
                      <w:kern w:val="0"/>
                      <w:szCs w:val="21"/>
                      <w14:textFill>
                        <w14:solidFill>
                          <w14:schemeClr w14:val="tx1">
                            <w14:lumMod w14:val="95000"/>
                            <w14:lumOff w14:val="5000"/>
                          </w14:schemeClr>
                        </w14:solidFill>
                      </w14:textFill>
                    </w:rPr>
                    <w:t>抑尘用水、原料打湿用水、洗砂用水</w:t>
                  </w:r>
                  <w:r>
                    <w:rPr>
                      <w:rFonts w:hint="eastAsia"/>
                      <w:color w:val="0D0D0D" w:themeColor="text1" w:themeTint="F2"/>
                      <w:kern w:val="0"/>
                      <w:szCs w:val="21"/>
                      <w:lang w:eastAsia="zh-CN"/>
                      <w14:textFill>
                        <w14:solidFill>
                          <w14:schemeClr w14:val="tx1">
                            <w14:lumMod w14:val="95000"/>
                            <w14:lumOff w14:val="5000"/>
                          </w14:schemeClr>
                        </w14:solidFill>
                      </w14:textFill>
                    </w:rPr>
                    <w:t>，</w:t>
                  </w:r>
                  <w:r>
                    <w:rPr>
                      <w:rFonts w:hint="eastAsia"/>
                      <w:color w:val="auto"/>
                      <w:kern w:val="0"/>
                      <w:szCs w:val="21"/>
                      <w:lang w:val="en-US" w:eastAsia="zh-CN"/>
                    </w:rPr>
                    <w:t>总用水量为</w:t>
                  </w:r>
                  <w:r>
                    <w:rPr>
                      <w:rFonts w:hint="eastAsia"/>
                      <w:lang w:val="en-US" w:eastAsia="zh-CN"/>
                    </w:rPr>
                    <w:t>50828.02m³。</w:t>
                  </w:r>
                  <w:r>
                    <w:rPr>
                      <w:rFonts w:hint="eastAsia"/>
                      <w:color w:val="0D0D0D" w:themeColor="text1" w:themeTint="F2"/>
                      <w:kern w:val="0"/>
                      <w:szCs w:val="21"/>
                      <w14:textFill>
                        <w14:solidFill>
                          <w14:schemeClr w14:val="tx1">
                            <w14:lumMod w14:val="95000"/>
                            <w14:lumOff w14:val="5000"/>
                          </w14:schemeClr>
                        </w14:solidFill>
                      </w14:textFill>
                    </w:rPr>
                    <w:t>本项目不涉及其他能源使用，不属于高耗水、高耗能、污水排放量大的项目</w:t>
                  </w:r>
                </w:p>
              </w:tc>
              <w:tc>
                <w:tcPr>
                  <w:tcW w:w="438" w:type="pct"/>
                  <w:shd w:val="clear" w:color="auto" w:fill="auto"/>
                  <w:vAlign w:val="center"/>
                </w:tcPr>
                <w:p>
                  <w:pPr>
                    <w:widowControl/>
                    <w:jc w:val="center"/>
                    <w:rPr>
                      <w:color w:val="000000"/>
                      <w:kern w:val="0"/>
                      <w:szCs w:val="21"/>
                    </w:rPr>
                  </w:pPr>
                  <w:r>
                    <w:rPr>
                      <w:color w:val="000000"/>
                      <w:kern w:val="0"/>
                      <w:szCs w:val="21"/>
                    </w:rPr>
                    <w:t>相符</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63" w:hRule="atLeast"/>
              </w:trPr>
              <w:tc>
                <w:tcPr>
                  <w:tcW w:w="333" w:type="pct"/>
                  <w:shd w:val="clear" w:color="auto" w:fill="auto"/>
                  <w:vAlign w:val="center"/>
                </w:tcPr>
                <w:p>
                  <w:pPr>
                    <w:widowControl/>
                    <w:jc w:val="center"/>
                    <w:rPr>
                      <w:color w:val="000000"/>
                      <w:kern w:val="0"/>
                      <w:szCs w:val="21"/>
                    </w:rPr>
                  </w:pPr>
                  <w:r>
                    <w:rPr>
                      <w:color w:val="000000"/>
                      <w:kern w:val="0"/>
                      <w:szCs w:val="21"/>
                    </w:rPr>
                    <w:t>3</w:t>
                  </w:r>
                </w:p>
              </w:tc>
              <w:tc>
                <w:tcPr>
                  <w:tcW w:w="2653" w:type="pct"/>
                  <w:shd w:val="clear" w:color="auto" w:fill="auto"/>
                  <w:vAlign w:val="center"/>
                </w:tcPr>
                <w:p>
                  <w:pPr>
                    <w:widowControl/>
                    <w:jc w:val="center"/>
                    <w:rPr>
                      <w:color w:val="000000"/>
                      <w:kern w:val="0"/>
                      <w:szCs w:val="21"/>
                    </w:rPr>
                  </w:pPr>
                  <w:r>
                    <w:rPr>
                      <w:rFonts w:hint="eastAsia"/>
                      <w:color w:val="000000"/>
                      <w:kern w:val="0"/>
                      <w:szCs w:val="21"/>
                    </w:rPr>
                    <w:t>在规划确定的开发区产业定位总体框架下，充分考虑与区城产业布局的互补，进一步优化发展重点，严格控制非主导产业项目入区建设。入区项目要采用先进的生产工艺和装备，采用高水平的污染治理措施。清洁生产水平现阶段要按国内先进水平要求，并逐步提高，最大限度控制开发区污染物排放量和排放强度。建立并实施不符合规划、产业准入和环保准入条件项目的退出机制</w:t>
                  </w:r>
                </w:p>
              </w:tc>
              <w:tc>
                <w:tcPr>
                  <w:tcW w:w="1576" w:type="pct"/>
                  <w:shd w:val="clear" w:color="auto" w:fill="auto"/>
                  <w:vAlign w:val="center"/>
                </w:tcPr>
                <w:p>
                  <w:pPr>
                    <w:widowControl/>
                    <w:jc w:val="center"/>
                    <w:rPr>
                      <w:color w:val="000000"/>
                      <w:kern w:val="0"/>
                      <w:szCs w:val="21"/>
                    </w:rPr>
                  </w:pPr>
                  <w:r>
                    <w:rPr>
                      <w:color w:val="000000"/>
                      <w:kern w:val="0"/>
                      <w:szCs w:val="21"/>
                    </w:rPr>
                    <w:t>本项目产品为</w:t>
                  </w:r>
                  <w:r>
                    <w:rPr>
                      <w:rFonts w:hint="eastAsia"/>
                      <w:color w:val="000000"/>
                      <w:kern w:val="0"/>
                      <w:szCs w:val="21"/>
                      <w:lang w:val="en-US" w:eastAsia="zh-CN"/>
                    </w:rPr>
                    <w:t>机制砂生产</w:t>
                  </w:r>
                  <w:r>
                    <w:rPr>
                      <w:rFonts w:hint="eastAsia"/>
                      <w:color w:val="000000"/>
                      <w:kern w:val="0"/>
                      <w:szCs w:val="21"/>
                    </w:rPr>
                    <w:t>，为其它非金属矿物制品制造</w:t>
                  </w:r>
                  <w:r>
                    <w:rPr>
                      <w:rFonts w:hint="eastAsia"/>
                      <w:color w:val="000000"/>
                      <w:kern w:val="0"/>
                      <w:szCs w:val="21"/>
                      <w:lang w:eastAsia="zh-CN"/>
                    </w:rPr>
                    <w:t>，</w:t>
                  </w:r>
                  <w:r>
                    <w:rPr>
                      <w:rFonts w:hint="eastAsia"/>
                      <w:color w:val="000000"/>
                      <w:kern w:val="0"/>
                      <w:szCs w:val="21"/>
                    </w:rPr>
                    <w:t>不属于三山经济开发区“禁止进入”、“控制进入”及“优先进入”行业，视为允许进入行业。</w:t>
                  </w:r>
                  <w:r>
                    <w:rPr>
                      <w:rFonts w:hint="eastAsia"/>
                      <w:color w:val="0D0D0D" w:themeColor="text1" w:themeTint="F2"/>
                      <w:kern w:val="0"/>
                      <w:szCs w:val="21"/>
                      <w14:textFill>
                        <w14:solidFill>
                          <w14:schemeClr w14:val="tx1">
                            <w14:lumMod w14:val="95000"/>
                            <w14:lumOff w14:val="5000"/>
                          </w14:schemeClr>
                        </w14:solidFill>
                      </w14:textFill>
                    </w:rPr>
                    <w:t>项目</w:t>
                  </w:r>
                  <w:r>
                    <w:rPr>
                      <w:color w:val="0D0D0D" w:themeColor="text1" w:themeTint="F2"/>
                      <w:kern w:val="0"/>
                      <w:szCs w:val="21"/>
                      <w14:textFill>
                        <w14:solidFill>
                          <w14:schemeClr w14:val="tx1">
                            <w14:lumMod w14:val="95000"/>
                            <w14:lumOff w14:val="5000"/>
                          </w14:schemeClr>
                        </w14:solidFill>
                      </w14:textFill>
                    </w:rPr>
                    <w:t>采用先进的自动化生产工艺和装备；项目废气</w:t>
                  </w:r>
                  <w:r>
                    <w:rPr>
                      <w:rFonts w:hint="eastAsia"/>
                      <w:color w:val="0D0D0D" w:themeColor="text1" w:themeTint="F2"/>
                      <w:kern w:val="0"/>
                      <w:szCs w:val="21"/>
                      <w:lang w:val="en-US" w:eastAsia="zh-CN"/>
                      <w14:textFill>
                        <w14:solidFill>
                          <w14:schemeClr w14:val="tx1">
                            <w14:lumMod w14:val="95000"/>
                            <w14:lumOff w14:val="5000"/>
                          </w14:schemeClr>
                        </w14:solidFill>
                      </w14:textFill>
                    </w:rPr>
                    <w:t>进行无组织</w:t>
                  </w:r>
                  <w:r>
                    <w:rPr>
                      <w:color w:val="0D0D0D" w:themeColor="text1" w:themeTint="F2"/>
                      <w:kern w:val="0"/>
                      <w:szCs w:val="21"/>
                      <w14:textFill>
                        <w14:solidFill>
                          <w14:schemeClr w14:val="tx1">
                            <w14:lumMod w14:val="95000"/>
                            <w14:lumOff w14:val="5000"/>
                          </w14:schemeClr>
                        </w14:solidFill>
                      </w14:textFill>
                    </w:rPr>
                    <w:t>达标排放</w:t>
                  </w:r>
                  <w:r>
                    <w:rPr>
                      <w:rFonts w:hint="eastAsia"/>
                      <w:color w:val="0D0D0D" w:themeColor="text1" w:themeTint="F2"/>
                      <w:kern w:val="0"/>
                      <w:szCs w:val="21"/>
                      <w14:textFill>
                        <w14:solidFill>
                          <w14:schemeClr w14:val="tx1">
                            <w14:lumMod w14:val="95000"/>
                            <w14:lumOff w14:val="5000"/>
                          </w14:schemeClr>
                        </w14:solidFill>
                      </w14:textFill>
                    </w:rPr>
                    <w:t>、</w:t>
                  </w:r>
                  <w:r>
                    <w:rPr>
                      <w:rFonts w:hint="eastAsia"/>
                      <w:color w:val="0D0D0D" w:themeColor="text1" w:themeTint="F2"/>
                      <w:kern w:val="0"/>
                      <w:szCs w:val="21"/>
                      <w:lang w:val="en-US" w:eastAsia="zh-CN"/>
                      <w14:textFill>
                        <w14:solidFill>
                          <w14:schemeClr w14:val="tx1">
                            <w14:lumMod w14:val="95000"/>
                            <w14:lumOff w14:val="5000"/>
                          </w14:schemeClr>
                        </w14:solidFill>
                      </w14:textFill>
                    </w:rPr>
                    <w:t>生产废水循环沉淀池沉淀后循环使用不外排</w:t>
                  </w:r>
                  <w:r>
                    <w:rPr>
                      <w:rFonts w:hint="eastAsia"/>
                      <w:color w:val="0D0D0D" w:themeColor="text1" w:themeTint="F2"/>
                      <w:kern w:val="0"/>
                      <w:szCs w:val="21"/>
                      <w14:textFill>
                        <w14:solidFill>
                          <w14:schemeClr w14:val="tx1">
                            <w14:lumMod w14:val="95000"/>
                            <w14:lumOff w14:val="5000"/>
                          </w14:schemeClr>
                        </w14:solidFill>
                      </w14:textFill>
                    </w:rPr>
                    <w:t>，</w:t>
                  </w:r>
                  <w:r>
                    <w:rPr>
                      <w:color w:val="0D0D0D" w:themeColor="text1" w:themeTint="F2"/>
                      <w:kern w:val="0"/>
                      <w:szCs w:val="21"/>
                      <w14:textFill>
                        <w14:solidFill>
                          <w14:schemeClr w14:val="tx1">
                            <w14:lumMod w14:val="95000"/>
                            <w14:lumOff w14:val="5000"/>
                          </w14:schemeClr>
                        </w14:solidFill>
                      </w14:textFill>
                    </w:rPr>
                    <w:t>严格控制污染物排放量和排放浓度</w:t>
                  </w:r>
                </w:p>
              </w:tc>
              <w:tc>
                <w:tcPr>
                  <w:tcW w:w="438" w:type="pct"/>
                  <w:shd w:val="clear" w:color="auto" w:fill="auto"/>
                  <w:vAlign w:val="center"/>
                </w:tcPr>
                <w:p>
                  <w:pPr>
                    <w:widowControl/>
                    <w:jc w:val="center"/>
                    <w:rPr>
                      <w:color w:val="000000"/>
                      <w:kern w:val="0"/>
                      <w:szCs w:val="21"/>
                    </w:rPr>
                  </w:pPr>
                  <w:r>
                    <w:rPr>
                      <w:color w:val="000000"/>
                      <w:kern w:val="0"/>
                      <w:szCs w:val="21"/>
                    </w:rPr>
                    <w:t>相符</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63" w:hRule="atLeast"/>
              </w:trPr>
              <w:tc>
                <w:tcPr>
                  <w:tcW w:w="333" w:type="pct"/>
                  <w:shd w:val="clear" w:color="auto" w:fill="auto"/>
                  <w:vAlign w:val="center"/>
                </w:tcPr>
                <w:p>
                  <w:pPr>
                    <w:widowControl/>
                    <w:jc w:val="center"/>
                    <w:rPr>
                      <w:color w:val="000000"/>
                      <w:kern w:val="0"/>
                      <w:szCs w:val="21"/>
                    </w:rPr>
                  </w:pPr>
                  <w:r>
                    <w:rPr>
                      <w:rFonts w:hint="eastAsia"/>
                      <w:color w:val="000000"/>
                      <w:kern w:val="0"/>
                      <w:szCs w:val="21"/>
                    </w:rPr>
                    <w:t>4</w:t>
                  </w:r>
                </w:p>
              </w:tc>
              <w:tc>
                <w:tcPr>
                  <w:tcW w:w="2653" w:type="pct"/>
                  <w:shd w:val="clear" w:color="auto" w:fill="auto"/>
                  <w:vAlign w:val="center"/>
                </w:tcPr>
                <w:p>
                  <w:pPr>
                    <w:widowControl/>
                    <w:jc w:val="center"/>
                    <w:rPr>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坚持环保优先原则，强化环保基础设施建设。开发区污水进入滨江污水处理厂处理，污水管网应与开发区开发建设同步进行或适度提前，确保开发区内污水全收集、全处理。滨江污水处理厂扩建及配套管网的建设规模、处理能力、投运时间应满足开发区以及城镇化发展需要。落实各项水环境保护措施，确保开发区建设不降低地表水环境质量和水体功能。进一步论证集中供热方案，禁止新建燃煤锅炉，全面落实《安徽省大气污染防治行动计划实施方案》各项要求。环境保护规划中环境空气质量标准采用《环境空气质量标准》( GB3095-2012)。做好开发区建设中的水土保持工作</w:t>
                  </w:r>
                </w:p>
              </w:tc>
              <w:tc>
                <w:tcPr>
                  <w:tcW w:w="1576" w:type="pct"/>
                  <w:shd w:val="clear" w:color="auto" w:fill="auto"/>
                  <w:vAlign w:val="center"/>
                </w:tcPr>
                <w:p>
                  <w:pPr>
                    <w:widowControl/>
                    <w:jc w:val="center"/>
                    <w:rPr>
                      <w:rFonts w:hint="eastAsia" w:eastAsia="宋体"/>
                      <w:color w:val="0D0D0D" w:themeColor="text1" w:themeTint="F2"/>
                      <w:kern w:val="0"/>
                      <w:szCs w:val="21"/>
                      <w:lang w:eastAsia="zh-CN"/>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本项目生产废水</w:t>
                  </w:r>
                  <w:r>
                    <w:rPr>
                      <w:rFonts w:hint="eastAsia"/>
                      <w:color w:val="0D0D0D" w:themeColor="text1" w:themeTint="F2"/>
                      <w:kern w:val="0"/>
                      <w:szCs w:val="21"/>
                      <w:lang w:val="en-US" w:eastAsia="zh-CN"/>
                      <w14:textFill>
                        <w14:solidFill>
                          <w14:schemeClr w14:val="tx1">
                            <w14:lumMod w14:val="95000"/>
                            <w14:lumOff w14:val="5000"/>
                          </w14:schemeClr>
                        </w14:solidFill>
                      </w14:textFill>
                    </w:rPr>
                    <w:t>经循环沉淀池沉淀后循环使用</w:t>
                  </w:r>
                  <w:r>
                    <w:rPr>
                      <w:rFonts w:hint="eastAsia"/>
                      <w:color w:val="0D0D0D" w:themeColor="text1" w:themeTint="F2"/>
                      <w:kern w:val="0"/>
                      <w:szCs w:val="21"/>
                      <w14:textFill>
                        <w14:solidFill>
                          <w14:schemeClr w14:val="tx1">
                            <w14:lumMod w14:val="95000"/>
                            <w14:lumOff w14:val="5000"/>
                          </w14:schemeClr>
                        </w14:solidFill>
                      </w14:textFill>
                    </w:rPr>
                    <w:t>，</w:t>
                  </w:r>
                  <w:r>
                    <w:rPr>
                      <w:rFonts w:hint="eastAsia"/>
                      <w:color w:val="0D0D0D" w:themeColor="text1" w:themeTint="F2"/>
                      <w:kern w:val="0"/>
                      <w:szCs w:val="21"/>
                      <w:lang w:val="en-US" w:eastAsia="zh-CN"/>
                      <w14:textFill>
                        <w14:solidFill>
                          <w14:schemeClr w14:val="tx1">
                            <w14:lumMod w14:val="95000"/>
                            <w14:lumOff w14:val="5000"/>
                          </w14:schemeClr>
                        </w14:solidFill>
                      </w14:textFill>
                    </w:rPr>
                    <w:t>无</w:t>
                  </w:r>
                  <w:r>
                    <w:rPr>
                      <w:rFonts w:hint="eastAsia"/>
                      <w:color w:val="0D0D0D" w:themeColor="text1" w:themeTint="F2"/>
                      <w:kern w:val="0"/>
                      <w:szCs w:val="21"/>
                      <w14:textFill>
                        <w14:solidFill>
                          <w14:schemeClr w14:val="tx1">
                            <w14:lumMod w14:val="95000"/>
                            <w14:lumOff w14:val="5000"/>
                          </w14:schemeClr>
                        </w14:solidFill>
                      </w14:textFill>
                    </w:rPr>
                    <w:t>生活废水。项目</w:t>
                  </w:r>
                  <w:r>
                    <w:rPr>
                      <w:rFonts w:hint="eastAsia"/>
                      <w:color w:val="0D0D0D" w:themeColor="text1" w:themeTint="F2"/>
                      <w:kern w:val="0"/>
                      <w:szCs w:val="21"/>
                      <w:lang w:val="en-US" w:eastAsia="zh-CN"/>
                      <w14:textFill>
                        <w14:solidFill>
                          <w14:schemeClr w14:val="tx1">
                            <w14:lumMod w14:val="95000"/>
                            <w14:lumOff w14:val="5000"/>
                          </w14:schemeClr>
                        </w14:solidFill>
                      </w14:textFill>
                    </w:rPr>
                    <w:t>无</w:t>
                  </w:r>
                  <w:r>
                    <w:rPr>
                      <w:rFonts w:hint="eastAsia"/>
                      <w:color w:val="0D0D0D" w:themeColor="text1" w:themeTint="F2"/>
                      <w:kern w:val="0"/>
                      <w:szCs w:val="21"/>
                      <w14:textFill>
                        <w14:solidFill>
                          <w14:schemeClr w14:val="tx1">
                            <w14:lumMod w14:val="95000"/>
                            <w14:lumOff w14:val="5000"/>
                          </w14:schemeClr>
                        </w14:solidFill>
                      </w14:textFill>
                    </w:rPr>
                    <w:t>燃煤锅炉</w:t>
                  </w:r>
                </w:p>
              </w:tc>
              <w:tc>
                <w:tcPr>
                  <w:tcW w:w="438" w:type="pct"/>
                  <w:shd w:val="clear" w:color="auto" w:fill="auto"/>
                  <w:vAlign w:val="center"/>
                </w:tcPr>
                <w:p>
                  <w:pPr>
                    <w:widowControl/>
                    <w:jc w:val="center"/>
                    <w:rPr>
                      <w:color w:val="000000"/>
                      <w:kern w:val="0"/>
                      <w:szCs w:val="21"/>
                    </w:rPr>
                  </w:pPr>
                  <w:r>
                    <w:rPr>
                      <w:rFonts w:hint="eastAsia"/>
                      <w:color w:val="000000"/>
                      <w:kern w:val="0"/>
                      <w:szCs w:val="21"/>
                    </w:rPr>
                    <w:t>相符</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63" w:hRule="atLeast"/>
              </w:trPr>
              <w:tc>
                <w:tcPr>
                  <w:tcW w:w="333" w:type="pct"/>
                  <w:shd w:val="clear" w:color="auto" w:fill="auto"/>
                  <w:vAlign w:val="center"/>
                </w:tcPr>
                <w:p>
                  <w:pPr>
                    <w:widowControl/>
                    <w:jc w:val="center"/>
                    <w:rPr>
                      <w:color w:val="000000"/>
                      <w:kern w:val="0"/>
                      <w:szCs w:val="21"/>
                    </w:rPr>
                  </w:pPr>
                  <w:r>
                    <w:rPr>
                      <w:rFonts w:hint="eastAsia"/>
                      <w:color w:val="000000"/>
                      <w:kern w:val="0"/>
                      <w:szCs w:val="21"/>
                    </w:rPr>
                    <w:t>5</w:t>
                  </w:r>
                </w:p>
              </w:tc>
              <w:tc>
                <w:tcPr>
                  <w:tcW w:w="2653" w:type="pct"/>
                  <w:shd w:val="clear" w:color="auto" w:fill="auto"/>
                  <w:vAlign w:val="center"/>
                </w:tcPr>
                <w:p>
                  <w:pPr>
                    <w:widowControl/>
                    <w:jc w:val="center"/>
                    <w:rPr>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加强各类固体废物的收集和处理处置。生活垃圾应集中收集后送环卫部门妥善处理；危险废物应按有关规定安全收集、暂存、处置。确定专人对危险废物进行管理，建立危险废物环境管理台账和信息档案，严格执行危险废物转移联单制度</w:t>
                  </w:r>
                </w:p>
              </w:tc>
              <w:tc>
                <w:tcPr>
                  <w:tcW w:w="1576" w:type="pct"/>
                  <w:shd w:val="clear" w:color="auto" w:fill="auto"/>
                  <w:vAlign w:val="center"/>
                </w:tcPr>
                <w:p>
                  <w:pPr>
                    <w:widowControl/>
                    <w:jc w:val="center"/>
                    <w:rPr>
                      <w:rFonts w:hint="eastAsia" w:eastAsia="宋体"/>
                      <w:color w:val="0D0D0D" w:themeColor="text1" w:themeTint="F2"/>
                      <w:kern w:val="0"/>
                      <w:szCs w:val="21"/>
                      <w:lang w:val="en-US" w:eastAsia="zh-CN"/>
                      <w14:textFill>
                        <w14:solidFill>
                          <w14:schemeClr w14:val="tx1">
                            <w14:lumMod w14:val="95000"/>
                            <w14:lumOff w14:val="5000"/>
                          </w14:schemeClr>
                        </w14:solidFill>
                      </w14:textFill>
                    </w:rPr>
                  </w:pPr>
                  <w:r>
                    <w:rPr>
                      <w:color w:val="0D0D0D" w:themeColor="text1" w:themeTint="F2"/>
                      <w:szCs w:val="21"/>
                      <w:lang w:val="zh-CN"/>
                      <w14:textFill>
                        <w14:solidFill>
                          <w14:schemeClr w14:val="tx1">
                            <w14:lumMod w14:val="95000"/>
                            <w14:lumOff w14:val="5000"/>
                          </w14:schemeClr>
                        </w14:solidFill>
                      </w14:textFill>
                    </w:rPr>
                    <w:t>本项目</w:t>
                  </w:r>
                  <w:r>
                    <w:rPr>
                      <w:rFonts w:hint="eastAsia"/>
                      <w:color w:val="0D0D0D" w:themeColor="text1" w:themeTint="F2"/>
                      <w:szCs w:val="21"/>
                      <w:lang w:val="en-US" w:eastAsia="zh-CN"/>
                      <w14:textFill>
                        <w14:solidFill>
                          <w14:schemeClr w14:val="tx1">
                            <w14:lumMod w14:val="95000"/>
                            <w14:lumOff w14:val="5000"/>
                          </w14:schemeClr>
                        </w14:solidFill>
                      </w14:textFill>
                    </w:rPr>
                    <w:t>产生的沉渣属一般固废，</w:t>
                  </w:r>
                  <w:r>
                    <w:rPr>
                      <w:rFonts w:hint="eastAsia"/>
                      <w:color w:val="auto"/>
                      <w:szCs w:val="21"/>
                      <w:lang w:val="en-US" w:eastAsia="zh-CN"/>
                    </w:rPr>
                    <w:t>收集后外售，产生的废油、废油桶属危险废物，收集后</w:t>
                  </w:r>
                  <w:r>
                    <w:rPr>
                      <w:color w:val="000000"/>
                      <w:spacing w:val="4"/>
                      <w:kern w:val="18"/>
                      <w:szCs w:val="21"/>
                    </w:rPr>
                    <w:t>交由资质单位处理</w:t>
                  </w:r>
                  <w:r>
                    <w:rPr>
                      <w:rFonts w:hint="eastAsia"/>
                      <w:color w:val="000000"/>
                      <w:spacing w:val="4"/>
                      <w:kern w:val="18"/>
                      <w:szCs w:val="21"/>
                      <w:lang w:eastAsia="zh-CN"/>
                    </w:rPr>
                    <w:t>。</w:t>
                  </w:r>
                  <w:r>
                    <w:rPr>
                      <w:rFonts w:hint="eastAsia"/>
                      <w:color w:val="0D0D0D" w:themeColor="text1" w:themeTint="F2"/>
                      <w:kern w:val="0"/>
                      <w:szCs w:val="21"/>
                      <w14:textFill>
                        <w14:solidFill>
                          <w14:schemeClr w14:val="tx1">
                            <w14:lumMod w14:val="95000"/>
                            <w14:lumOff w14:val="5000"/>
                          </w14:schemeClr>
                        </w14:solidFill>
                      </w14:textFill>
                    </w:rPr>
                    <w:t>危险废物按有关规定安全收集、暂存、处置。</w:t>
                  </w:r>
                  <w:r>
                    <w:rPr>
                      <w:rFonts w:hint="eastAsia"/>
                      <w:color w:val="0D0D0D" w:themeColor="text1" w:themeTint="F2"/>
                      <w:kern w:val="0"/>
                      <w:szCs w:val="21"/>
                      <w:lang w:val="en-US" w:eastAsia="zh-CN"/>
                      <w14:textFill>
                        <w14:solidFill>
                          <w14:schemeClr w14:val="tx1">
                            <w14:lumMod w14:val="95000"/>
                            <w14:lumOff w14:val="5000"/>
                          </w14:schemeClr>
                        </w14:solidFill>
                      </w14:textFill>
                    </w:rPr>
                    <w:t>安排</w:t>
                  </w:r>
                  <w:r>
                    <w:rPr>
                      <w:rFonts w:hint="eastAsia"/>
                      <w:color w:val="0D0D0D" w:themeColor="text1" w:themeTint="F2"/>
                      <w:kern w:val="0"/>
                      <w:szCs w:val="21"/>
                      <w14:textFill>
                        <w14:solidFill>
                          <w14:schemeClr w14:val="tx1">
                            <w14:lumMod w14:val="95000"/>
                            <w14:lumOff w14:val="5000"/>
                          </w14:schemeClr>
                        </w14:solidFill>
                      </w14:textFill>
                    </w:rPr>
                    <w:t>专人对危险废物进行管理，建立危险废物环境管理台账和信息档案，严格执行危险废物转移联单制度</w:t>
                  </w:r>
                </w:p>
              </w:tc>
              <w:tc>
                <w:tcPr>
                  <w:tcW w:w="438" w:type="pct"/>
                  <w:shd w:val="clear" w:color="auto" w:fill="auto"/>
                  <w:vAlign w:val="center"/>
                </w:tcPr>
                <w:p>
                  <w:pPr>
                    <w:widowControl/>
                    <w:jc w:val="center"/>
                    <w:rPr>
                      <w:color w:val="000000"/>
                      <w:kern w:val="0"/>
                      <w:szCs w:val="21"/>
                    </w:rPr>
                  </w:pPr>
                  <w:r>
                    <w:rPr>
                      <w:rFonts w:hint="eastAsia"/>
                      <w:color w:val="000000"/>
                      <w:kern w:val="0"/>
                      <w:szCs w:val="21"/>
                    </w:rPr>
                    <w:t>相符</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63" w:hRule="atLeast"/>
              </w:trPr>
              <w:tc>
                <w:tcPr>
                  <w:tcW w:w="333" w:type="pct"/>
                  <w:shd w:val="clear" w:color="auto" w:fill="auto"/>
                  <w:vAlign w:val="center"/>
                </w:tcPr>
                <w:p>
                  <w:pPr>
                    <w:widowControl/>
                    <w:jc w:val="center"/>
                    <w:rPr>
                      <w:color w:val="000000"/>
                      <w:kern w:val="0"/>
                      <w:szCs w:val="21"/>
                    </w:rPr>
                  </w:pPr>
                  <w:r>
                    <w:rPr>
                      <w:rFonts w:hint="eastAsia"/>
                      <w:color w:val="000000"/>
                      <w:kern w:val="0"/>
                      <w:szCs w:val="21"/>
                    </w:rPr>
                    <w:t>6</w:t>
                  </w:r>
                </w:p>
              </w:tc>
              <w:tc>
                <w:tcPr>
                  <w:tcW w:w="2653" w:type="pct"/>
                  <w:shd w:val="clear" w:color="auto" w:fill="auto"/>
                  <w:vAlign w:val="center"/>
                </w:tcPr>
                <w:p>
                  <w:pPr>
                    <w:widowControl/>
                    <w:jc w:val="center"/>
                    <w:rPr>
                      <w:color w:val="000000"/>
                      <w:kern w:val="0"/>
                      <w:szCs w:val="21"/>
                    </w:rPr>
                  </w:pPr>
                  <w:r>
                    <w:rPr>
                      <w:rFonts w:hint="eastAsia"/>
                      <w:color w:val="000000"/>
                      <w:kern w:val="0"/>
                      <w:szCs w:val="21"/>
                    </w:rPr>
                    <w:t>建立健全开发区环境监控体系。开发区和入区企业要按照有关规范要求，开展日常环境监控工作，建设完善的污染物排放在线监控系统，并与环保部门实现联网</w:t>
                  </w:r>
                </w:p>
              </w:tc>
              <w:tc>
                <w:tcPr>
                  <w:tcW w:w="1576" w:type="pct"/>
                  <w:shd w:val="clear" w:color="auto" w:fill="auto"/>
                  <w:vAlign w:val="center"/>
                </w:tcPr>
                <w:p>
                  <w:pPr>
                    <w:widowControl/>
                    <w:jc w:val="center"/>
                    <w:rPr>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szCs w:val="21"/>
                      <w:lang w:val="zh-CN"/>
                      <w14:textFill>
                        <w14:solidFill>
                          <w14:schemeClr w14:val="tx1">
                            <w14:lumMod w14:val="95000"/>
                            <w14:lumOff w14:val="5000"/>
                          </w14:schemeClr>
                        </w14:solidFill>
                      </w14:textFill>
                    </w:rPr>
                    <w:t>企业</w:t>
                  </w:r>
                  <w:r>
                    <w:rPr>
                      <w:color w:val="0D0D0D" w:themeColor="text1" w:themeTint="F2"/>
                      <w:szCs w:val="21"/>
                      <w:lang w:val="zh-CN"/>
                      <w14:textFill>
                        <w14:solidFill>
                          <w14:schemeClr w14:val="tx1">
                            <w14:lumMod w14:val="95000"/>
                            <w14:lumOff w14:val="5000"/>
                          </w14:schemeClr>
                        </w14:solidFill>
                      </w14:textFill>
                    </w:rPr>
                    <w:t>会按照有关要求及规范</w:t>
                  </w:r>
                  <w:r>
                    <w:rPr>
                      <w:rFonts w:hint="eastAsia"/>
                      <w:color w:val="0D0D0D" w:themeColor="text1" w:themeTint="F2"/>
                      <w:szCs w:val="21"/>
                      <w:lang w:val="zh-CN"/>
                      <w14:textFill>
                        <w14:solidFill>
                          <w14:schemeClr w14:val="tx1">
                            <w14:lumMod w14:val="95000"/>
                            <w14:lumOff w14:val="5000"/>
                          </w14:schemeClr>
                        </w14:solidFill>
                      </w14:textFill>
                    </w:rPr>
                    <w:t>，</w:t>
                  </w:r>
                  <w:r>
                    <w:rPr>
                      <w:color w:val="0D0D0D" w:themeColor="text1" w:themeTint="F2"/>
                      <w:szCs w:val="21"/>
                      <w:lang w:val="zh-CN"/>
                      <w14:textFill>
                        <w14:solidFill>
                          <w14:schemeClr w14:val="tx1">
                            <w14:lumMod w14:val="95000"/>
                            <w14:lumOff w14:val="5000"/>
                          </w14:schemeClr>
                        </w14:solidFill>
                      </w14:textFill>
                    </w:rPr>
                    <w:t>开展</w:t>
                  </w:r>
                  <w:r>
                    <w:rPr>
                      <w:rFonts w:hint="eastAsia"/>
                      <w:color w:val="000000"/>
                      <w:kern w:val="0"/>
                      <w:szCs w:val="21"/>
                    </w:rPr>
                    <w:t>日常环境监控工作</w:t>
                  </w:r>
                </w:p>
              </w:tc>
              <w:tc>
                <w:tcPr>
                  <w:tcW w:w="438" w:type="pct"/>
                  <w:shd w:val="clear" w:color="auto" w:fill="auto"/>
                  <w:vAlign w:val="center"/>
                </w:tcPr>
                <w:p>
                  <w:pPr>
                    <w:widowControl/>
                    <w:jc w:val="center"/>
                    <w:rPr>
                      <w:color w:val="000000"/>
                      <w:kern w:val="0"/>
                      <w:szCs w:val="21"/>
                    </w:rPr>
                  </w:pPr>
                  <w:r>
                    <w:rPr>
                      <w:rFonts w:hint="eastAsia"/>
                      <w:color w:val="000000"/>
                      <w:kern w:val="0"/>
                      <w:szCs w:val="21"/>
                    </w:rPr>
                    <w:t>相符</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63" w:hRule="atLeast"/>
              </w:trPr>
              <w:tc>
                <w:tcPr>
                  <w:tcW w:w="333" w:type="pct"/>
                  <w:shd w:val="clear" w:color="auto" w:fill="auto"/>
                  <w:vAlign w:val="center"/>
                </w:tcPr>
                <w:p>
                  <w:pPr>
                    <w:widowControl/>
                    <w:jc w:val="center"/>
                    <w:rPr>
                      <w:color w:val="000000"/>
                      <w:kern w:val="0"/>
                      <w:szCs w:val="21"/>
                    </w:rPr>
                  </w:pPr>
                  <w:r>
                    <w:rPr>
                      <w:rFonts w:hint="eastAsia"/>
                      <w:color w:val="000000"/>
                      <w:kern w:val="0"/>
                      <w:szCs w:val="21"/>
                    </w:rPr>
                    <w:t>7</w:t>
                  </w:r>
                </w:p>
              </w:tc>
              <w:tc>
                <w:tcPr>
                  <w:tcW w:w="2653" w:type="pct"/>
                  <w:shd w:val="clear" w:color="auto" w:fill="auto"/>
                  <w:vAlign w:val="center"/>
                </w:tcPr>
                <w:p>
                  <w:pPr>
                    <w:widowControl/>
                    <w:jc w:val="center"/>
                    <w:rPr>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坚持预防为主、防控结合，制定并落实开发区综合环境风险防范、预警和应急体系，及时更新升级各类突发环境事件应急预案，做好应急软硬件建设和储备。建立环境风险单位信息库，入区企业要在开发区环境风险应急处置框架下，制定环境风险应急预案，在具体项目建设中细化落实</w:t>
                  </w:r>
                </w:p>
              </w:tc>
              <w:tc>
                <w:tcPr>
                  <w:tcW w:w="1576" w:type="pct"/>
                  <w:shd w:val="clear" w:color="auto" w:fill="auto"/>
                  <w:vAlign w:val="center"/>
                </w:tcPr>
                <w:p>
                  <w:pPr>
                    <w:widowControl/>
                    <w:jc w:val="center"/>
                    <w:rPr>
                      <w:color w:val="0D0D0D" w:themeColor="text1" w:themeTint="F2"/>
                      <w:szCs w:val="21"/>
                      <w14:textFill>
                        <w14:solidFill>
                          <w14:schemeClr w14:val="tx1">
                            <w14:lumMod w14:val="95000"/>
                            <w14:lumOff w14:val="5000"/>
                          </w14:schemeClr>
                        </w14:solidFill>
                      </w14:textFill>
                    </w:rPr>
                  </w:pPr>
                  <w:r>
                    <w:rPr>
                      <w:color w:val="0D0D0D" w:themeColor="text1" w:themeTint="F2"/>
                      <w:szCs w:val="21"/>
                      <w:lang w:val="zh-CN"/>
                      <w14:textFill>
                        <w14:solidFill>
                          <w14:schemeClr w14:val="tx1">
                            <w14:lumMod w14:val="95000"/>
                            <w14:lumOff w14:val="5000"/>
                          </w14:schemeClr>
                        </w14:solidFill>
                      </w14:textFill>
                    </w:rPr>
                    <w:t>项目厂内建设相应风险防范措施，配有相应风险防范物资，制定和完善环境风险应急预案</w:t>
                  </w:r>
                </w:p>
              </w:tc>
              <w:tc>
                <w:tcPr>
                  <w:tcW w:w="438" w:type="pct"/>
                  <w:shd w:val="clear" w:color="auto" w:fill="auto"/>
                  <w:vAlign w:val="center"/>
                </w:tcPr>
                <w:p>
                  <w:pPr>
                    <w:widowControl/>
                    <w:jc w:val="center"/>
                    <w:rPr>
                      <w:color w:val="000000"/>
                      <w:kern w:val="0"/>
                      <w:szCs w:val="21"/>
                    </w:rPr>
                  </w:pPr>
                  <w:r>
                    <w:rPr>
                      <w:rFonts w:hint="eastAsia"/>
                      <w:color w:val="000000"/>
                      <w:kern w:val="0"/>
                      <w:szCs w:val="21"/>
                    </w:rPr>
                    <w:t>相符</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63" w:hRule="atLeast"/>
              </w:trPr>
              <w:tc>
                <w:tcPr>
                  <w:tcW w:w="333" w:type="pct"/>
                  <w:shd w:val="clear" w:color="auto" w:fill="auto"/>
                  <w:vAlign w:val="center"/>
                </w:tcPr>
                <w:p>
                  <w:pPr>
                    <w:widowControl/>
                    <w:jc w:val="center"/>
                    <w:rPr>
                      <w:color w:val="000000"/>
                      <w:kern w:val="0"/>
                      <w:szCs w:val="21"/>
                    </w:rPr>
                  </w:pPr>
                  <w:r>
                    <w:rPr>
                      <w:rFonts w:hint="eastAsia"/>
                      <w:color w:val="000000"/>
                      <w:kern w:val="0"/>
                      <w:szCs w:val="21"/>
                    </w:rPr>
                    <w:t>8</w:t>
                  </w:r>
                </w:p>
              </w:tc>
              <w:tc>
                <w:tcPr>
                  <w:tcW w:w="2653" w:type="pct"/>
                  <w:shd w:val="clear" w:color="auto" w:fill="auto"/>
                  <w:vAlign w:val="center"/>
                </w:tcPr>
                <w:p>
                  <w:pPr>
                    <w:widowControl/>
                    <w:jc w:val="center"/>
                    <w:rPr>
                      <w:color w:val="000000"/>
                      <w:kern w:val="0"/>
                      <w:szCs w:val="21"/>
                    </w:rPr>
                  </w:pPr>
                  <w:r>
                    <w:rPr>
                      <w:rFonts w:hint="eastAsia"/>
                      <w:color w:val="000000"/>
                      <w:kern w:val="0"/>
                      <w:szCs w:val="21"/>
                    </w:rPr>
                    <w:t>加强环境保护制度建设和管理。入区建设项目，应认真履行环保法律法规要求，严格执行环境影响评价制度和环保“三同时”制度；新增大气污染物、水污染物和重金属的排放总量，应按照污染物排放总量控制的要求严格执行。在规划实施过程中，每隔五年进行一次环境影响跟踪评价，规划修编应重新编制环境影响报告书</w:t>
                  </w:r>
                </w:p>
              </w:tc>
              <w:tc>
                <w:tcPr>
                  <w:tcW w:w="1576" w:type="pct"/>
                  <w:shd w:val="clear" w:color="auto" w:fill="auto"/>
                  <w:vAlign w:val="center"/>
                </w:tcPr>
                <w:p>
                  <w:pPr>
                    <w:widowControl/>
                    <w:jc w:val="center"/>
                    <w:rPr>
                      <w:szCs w:val="21"/>
                    </w:rPr>
                  </w:pPr>
                  <w:r>
                    <w:rPr>
                      <w:szCs w:val="21"/>
                    </w:rPr>
                    <w:t>企业严格执行</w:t>
                  </w:r>
                  <w:r>
                    <w:rPr>
                      <w:szCs w:val="21"/>
                      <w:lang w:val="zh-CN"/>
                    </w:rPr>
                    <w:t>建设项目环境影响评价制度和环境保护“三同时”制度，</w:t>
                  </w:r>
                  <w:r>
                    <w:rPr>
                      <w:szCs w:val="21"/>
                    </w:rPr>
                    <w:t>项目建设完成验收完成后投产</w:t>
                  </w:r>
                  <w:r>
                    <w:rPr>
                      <w:szCs w:val="21"/>
                      <w:lang w:val="zh-CN"/>
                    </w:rPr>
                    <w:t>。</w:t>
                  </w:r>
                  <w:r>
                    <w:rPr>
                      <w:szCs w:val="21"/>
                    </w:rPr>
                    <w:t>企业严格落实排污许可制度，在排污前申请排污许可证</w:t>
                  </w:r>
                </w:p>
              </w:tc>
              <w:tc>
                <w:tcPr>
                  <w:tcW w:w="438" w:type="pct"/>
                  <w:shd w:val="clear" w:color="auto" w:fill="auto"/>
                  <w:vAlign w:val="center"/>
                </w:tcPr>
                <w:p>
                  <w:pPr>
                    <w:widowControl/>
                    <w:jc w:val="center"/>
                    <w:rPr>
                      <w:color w:val="000000"/>
                      <w:kern w:val="0"/>
                      <w:szCs w:val="21"/>
                    </w:rPr>
                  </w:pPr>
                  <w:r>
                    <w:rPr>
                      <w:rFonts w:hint="eastAsia"/>
                      <w:color w:val="000000"/>
                      <w:kern w:val="0"/>
                      <w:szCs w:val="21"/>
                    </w:rPr>
                    <w:t>相符</w:t>
                  </w:r>
                </w:p>
              </w:tc>
            </w:tr>
          </w:tbl>
          <w:p>
            <w:pPr>
              <w:spacing w:line="360" w:lineRule="auto"/>
              <w:ind w:firstLine="480" w:firstLineChars="200"/>
              <w:rPr>
                <w:rFonts w:cs="宋体"/>
                <w:kern w:val="0"/>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200" w:type="dxa"/>
            <w:vAlign w:val="center"/>
          </w:tcPr>
          <w:p>
            <w:pPr>
              <w:autoSpaceDE w:val="0"/>
              <w:autoSpaceDN w:val="0"/>
              <w:adjustRightInd w:val="0"/>
              <w:snapToGrid w:val="0"/>
              <w:jc w:val="center"/>
              <w:rPr>
                <w:rFonts w:cs="宋体"/>
                <w:kern w:val="0"/>
                <w:sz w:val="24"/>
              </w:rPr>
            </w:pPr>
            <w:r>
              <w:rPr>
                <w:rFonts w:hint="eastAsia" w:cs="宋体"/>
                <w:kern w:val="0"/>
                <w:sz w:val="24"/>
              </w:rPr>
              <w:t>其他符合性分析</w:t>
            </w:r>
          </w:p>
        </w:tc>
        <w:tc>
          <w:tcPr>
            <w:tcW w:w="7670" w:type="dxa"/>
            <w:gridSpan w:val="3"/>
            <w:vAlign w:val="center"/>
          </w:tcPr>
          <w:p>
            <w:pPr>
              <w:pStyle w:val="64"/>
              <w:numPr>
                <w:ilvl w:val="0"/>
                <w:numId w:val="1"/>
              </w:numPr>
              <w:spacing w:line="360" w:lineRule="auto"/>
              <w:ind w:firstLineChars="0"/>
              <w:rPr>
                <w:b/>
                <w:bCs/>
                <w:color w:val="000000"/>
                <w:sz w:val="24"/>
              </w:rPr>
            </w:pPr>
            <w:r>
              <w:rPr>
                <w:rFonts w:hint="eastAsia"/>
                <w:b/>
                <w:bCs/>
                <w:color w:val="000000"/>
                <w:sz w:val="24"/>
              </w:rPr>
              <w:t>产业政策分析</w:t>
            </w:r>
          </w:p>
          <w:p>
            <w:pPr>
              <w:adjustRightInd w:val="0"/>
              <w:spacing w:line="360" w:lineRule="auto"/>
              <w:ind w:firstLine="480" w:firstLineChars="200"/>
              <w:rPr>
                <w:color w:val="000000"/>
                <w:sz w:val="24"/>
              </w:rPr>
            </w:pPr>
            <w:r>
              <w:rPr>
                <w:color w:val="000000"/>
                <w:sz w:val="24"/>
              </w:rPr>
              <w:t>建设项目行业类别为[</w:t>
            </w:r>
            <w:r>
              <w:rPr>
                <w:rFonts w:hint="eastAsia"/>
                <w:color w:val="000000"/>
                <w:sz w:val="24"/>
              </w:rPr>
              <w:t>C</w:t>
            </w:r>
            <w:r>
              <w:rPr>
                <w:rFonts w:hint="eastAsia"/>
                <w:color w:val="000000"/>
                <w:sz w:val="24"/>
                <w:lang w:val="en-US" w:eastAsia="zh-CN"/>
              </w:rPr>
              <w:t>3099</w:t>
            </w:r>
            <w:r>
              <w:rPr>
                <w:color w:val="000000"/>
                <w:sz w:val="24"/>
              </w:rPr>
              <w:t>]</w:t>
            </w:r>
            <w:r>
              <w:rPr>
                <w:rFonts w:hint="eastAsia"/>
                <w:color w:val="000000"/>
                <w:sz w:val="24"/>
              </w:rPr>
              <w:t>其它非金属矿物制品制造</w:t>
            </w:r>
            <w:r>
              <w:rPr>
                <w:color w:val="000000"/>
                <w:sz w:val="24"/>
              </w:rPr>
              <w:t>，对照《产业结构调整指导目录》（2019年本）的有关条款的决定，本项目不在现行产业政策中规定的限制和淘汰类建设项目之列，不在鼓励建设项目之列，视为允许项目，符合国家的产业政策；对照《安徽省工业产业结构调整指导目录》（2007年本），本项目不属于安徽省规定的鼓励类、淘汰类之列，应视为允许类之列。</w:t>
            </w:r>
          </w:p>
          <w:p>
            <w:pPr>
              <w:adjustRightInd w:val="0"/>
              <w:spacing w:line="360" w:lineRule="auto"/>
              <w:ind w:firstLine="480" w:firstLineChars="200"/>
              <w:rPr>
                <w:color w:val="000000"/>
                <w:sz w:val="24"/>
              </w:rPr>
            </w:pPr>
            <w:r>
              <w:rPr>
                <w:color w:val="000000"/>
                <w:sz w:val="24"/>
              </w:rPr>
              <w:t>该项目已经于20</w:t>
            </w:r>
            <w:r>
              <w:rPr>
                <w:rFonts w:hint="eastAsia"/>
                <w:color w:val="000000"/>
                <w:sz w:val="24"/>
              </w:rPr>
              <w:t>2</w:t>
            </w:r>
            <w:r>
              <w:rPr>
                <w:rFonts w:hint="eastAsia"/>
                <w:color w:val="000000"/>
                <w:sz w:val="24"/>
                <w:lang w:val="en-US" w:eastAsia="zh-CN"/>
              </w:rPr>
              <w:t>1</w:t>
            </w:r>
            <w:r>
              <w:rPr>
                <w:color w:val="000000"/>
                <w:sz w:val="24"/>
              </w:rPr>
              <w:t>年</w:t>
            </w:r>
            <w:r>
              <w:rPr>
                <w:rFonts w:hint="eastAsia"/>
                <w:color w:val="000000"/>
                <w:sz w:val="24"/>
                <w:lang w:val="en-US" w:eastAsia="zh-CN"/>
              </w:rPr>
              <w:t>7</w:t>
            </w:r>
            <w:r>
              <w:rPr>
                <w:color w:val="000000"/>
                <w:sz w:val="24"/>
              </w:rPr>
              <w:t>月</w:t>
            </w:r>
            <w:r>
              <w:rPr>
                <w:rFonts w:hint="eastAsia"/>
                <w:color w:val="000000"/>
                <w:sz w:val="24"/>
                <w:lang w:val="en-US" w:eastAsia="zh-CN"/>
              </w:rPr>
              <w:t>19日</w:t>
            </w:r>
            <w:r>
              <w:rPr>
                <w:color w:val="000000"/>
                <w:sz w:val="24"/>
              </w:rPr>
              <w:t>获得了</w:t>
            </w:r>
            <w:r>
              <w:rPr>
                <w:rFonts w:hint="eastAsia"/>
                <w:color w:val="000000"/>
                <w:sz w:val="24"/>
                <w:lang w:val="en-US" w:eastAsia="zh-CN"/>
              </w:rPr>
              <w:t>安徽芜湖三山经济开发区管委会</w:t>
            </w:r>
            <w:r>
              <w:rPr>
                <w:rFonts w:hint="eastAsia"/>
                <w:color w:val="000000"/>
                <w:sz w:val="24"/>
              </w:rPr>
              <w:t>关于对芜湖新兴新材料产业园有限公司造型材料制品车间改扩建项目备案的通知</w:t>
            </w:r>
            <w:r>
              <w:rPr>
                <w:color w:val="000000"/>
                <w:sz w:val="24"/>
              </w:rPr>
              <w:t>”（</w:t>
            </w:r>
            <w:r>
              <w:rPr>
                <w:rFonts w:hint="eastAsia"/>
                <w:color w:val="000000"/>
                <w:sz w:val="24"/>
                <w:lang w:val="en-US" w:eastAsia="zh-CN"/>
              </w:rPr>
              <w:t>三经发</w:t>
            </w:r>
            <w:r>
              <w:rPr>
                <w:color w:val="000000"/>
                <w:sz w:val="24"/>
              </w:rPr>
              <w:t>【20</w:t>
            </w:r>
            <w:r>
              <w:rPr>
                <w:rFonts w:hint="eastAsia"/>
                <w:color w:val="000000"/>
                <w:sz w:val="24"/>
              </w:rPr>
              <w:t>2</w:t>
            </w:r>
            <w:r>
              <w:rPr>
                <w:rFonts w:hint="eastAsia"/>
                <w:color w:val="000000"/>
                <w:sz w:val="24"/>
                <w:lang w:val="en-US" w:eastAsia="zh-CN"/>
              </w:rPr>
              <w:t>1</w:t>
            </w:r>
            <w:r>
              <w:rPr>
                <w:color w:val="000000"/>
                <w:sz w:val="24"/>
              </w:rPr>
              <w:t>】</w:t>
            </w:r>
            <w:r>
              <w:rPr>
                <w:rFonts w:hint="eastAsia"/>
                <w:color w:val="000000"/>
                <w:sz w:val="24"/>
                <w:lang w:val="en-US" w:eastAsia="zh-CN"/>
              </w:rPr>
              <w:t>262</w:t>
            </w:r>
            <w:r>
              <w:rPr>
                <w:color w:val="000000"/>
                <w:sz w:val="24"/>
              </w:rPr>
              <w:t>号）。</w:t>
            </w:r>
          </w:p>
          <w:p>
            <w:pPr>
              <w:spacing w:line="360" w:lineRule="auto"/>
              <w:ind w:firstLine="480" w:firstLineChars="200"/>
              <w:rPr>
                <w:sz w:val="28"/>
                <w:szCs w:val="28"/>
              </w:rPr>
            </w:pPr>
            <w:r>
              <w:rPr>
                <w:color w:val="000000"/>
                <w:sz w:val="24"/>
              </w:rPr>
              <w:t>因此本项目符合国家和安徽相关产业政策。</w:t>
            </w:r>
          </w:p>
          <w:p>
            <w:pPr>
              <w:pStyle w:val="64"/>
              <w:numPr>
                <w:ilvl w:val="0"/>
                <w:numId w:val="1"/>
              </w:numPr>
              <w:spacing w:line="360" w:lineRule="auto"/>
              <w:ind w:firstLineChars="0"/>
              <w:rPr>
                <w:b/>
                <w:bCs/>
                <w:color w:val="000000"/>
                <w:sz w:val="24"/>
              </w:rPr>
            </w:pPr>
            <w:r>
              <w:rPr>
                <w:rFonts w:hint="eastAsia"/>
                <w:b/>
                <w:bCs/>
                <w:color w:val="000000"/>
                <w:sz w:val="24"/>
              </w:rPr>
              <w:t>“三线一单”相符性分析</w:t>
            </w:r>
          </w:p>
          <w:p>
            <w:pPr>
              <w:autoSpaceDE w:val="0"/>
              <w:autoSpaceDN w:val="0"/>
              <w:spacing w:line="360" w:lineRule="auto"/>
              <w:ind w:firstLine="480" w:firstLineChars="200"/>
              <w:jc w:val="left"/>
              <w:rPr>
                <w:rFonts w:hint="eastAsia" w:hAnsi="宋体" w:eastAsia="宋体"/>
                <w:kern w:val="24"/>
                <w:sz w:val="24"/>
                <w:lang w:eastAsia="zh-CN"/>
              </w:rPr>
            </w:pPr>
            <w:r>
              <w:rPr>
                <w:rFonts w:hAnsi="宋体"/>
                <w:kern w:val="24"/>
                <w:sz w:val="24"/>
              </w:rPr>
              <w:t>“三线一单”是以改善环境质量为核心，将生态保护红线、环境质量底线、资源利用上线落实到不同的环境管控单元，并建立环境准入负面清单的环境分区管控体系。“三线一单”是推动生态环境保护管理系统化、科学化</w:t>
            </w:r>
            <w:r>
              <w:rPr>
                <w:rFonts w:hint="eastAsia" w:hAnsi="宋体"/>
                <w:kern w:val="24"/>
                <w:sz w:val="24"/>
              </w:rPr>
              <w:t>、</w:t>
            </w:r>
            <w:r>
              <w:rPr>
                <w:rFonts w:hAnsi="宋体"/>
                <w:kern w:val="24"/>
                <w:sz w:val="24"/>
              </w:rPr>
              <w:t>法治化、精细化、信息化的重要抓手，是推进战略和规划环评落地、环境保护参与空间规划和优化国土空间格局的基础支撑，是实施环境空间管控、强化源头预防和过程监管的重要手段。</w:t>
            </w:r>
          </w:p>
          <w:p>
            <w:pPr>
              <w:autoSpaceDE w:val="0"/>
              <w:autoSpaceDN w:val="0"/>
              <w:spacing w:line="360" w:lineRule="auto"/>
              <w:ind w:firstLine="480" w:firstLineChars="200"/>
              <w:jc w:val="left"/>
              <w:rPr>
                <w:rFonts w:hAnsi="宋体"/>
                <w:color w:val="000000"/>
                <w:kern w:val="0"/>
                <w:sz w:val="24"/>
              </w:rPr>
            </w:pPr>
            <w:r>
              <w:rPr>
                <w:rFonts w:hint="eastAsia" w:hAnsi="宋体"/>
                <w:kern w:val="24"/>
                <w:sz w:val="24"/>
              </w:rPr>
              <w:t xml:space="preserve">    </w:t>
            </w:r>
            <w:r>
              <w:rPr>
                <w:rFonts w:hint="eastAsia" w:hAnsi="宋体"/>
                <w:color w:val="000000"/>
                <w:kern w:val="0"/>
                <w:sz w:val="24"/>
              </w:rPr>
              <w:t>判定本项目与“三线一单”相符性如下表。</w:t>
            </w:r>
          </w:p>
          <w:p>
            <w:pPr>
              <w:autoSpaceDE w:val="0"/>
              <w:autoSpaceDN w:val="0"/>
              <w:spacing w:before="120" w:beforeLines="50"/>
              <w:ind w:firstLine="482" w:firstLineChars="200"/>
              <w:jc w:val="center"/>
              <w:rPr>
                <w:rFonts w:hAnsi="宋体"/>
                <w:b/>
                <w:color w:val="000000"/>
                <w:kern w:val="0"/>
                <w:sz w:val="24"/>
              </w:rPr>
            </w:pPr>
            <w:r>
              <w:rPr>
                <w:rFonts w:hint="eastAsia" w:hAnsi="宋体"/>
                <w:b/>
                <w:color w:val="000000"/>
                <w:kern w:val="0"/>
                <w:sz w:val="24"/>
              </w:rPr>
              <w:t>表1-3  本项目与“三线一单”相符性</w:t>
            </w:r>
          </w:p>
          <w:tbl>
            <w:tblPr>
              <w:tblStyle w:val="26"/>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80"/>
              <w:gridCol w:w="885"/>
              <w:gridCol w:w="2421"/>
              <w:gridCol w:w="2528"/>
              <w:gridCol w:w="94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c>
                <w:tcPr>
                  <w:tcW w:w="676" w:type="dxa"/>
                  <w:vAlign w:val="center"/>
                </w:tcPr>
                <w:p>
                  <w:pPr>
                    <w:autoSpaceDE w:val="0"/>
                    <w:autoSpaceDN w:val="0"/>
                    <w:spacing w:line="360" w:lineRule="auto"/>
                    <w:jc w:val="center"/>
                    <w:rPr>
                      <w:rFonts w:hAnsi="宋体"/>
                      <w:b/>
                      <w:color w:val="000000"/>
                      <w:kern w:val="0"/>
                      <w:szCs w:val="21"/>
                    </w:rPr>
                  </w:pPr>
                  <w:r>
                    <w:rPr>
                      <w:rFonts w:hAnsi="宋体"/>
                      <w:b/>
                      <w:color w:val="000000"/>
                      <w:kern w:val="0"/>
                      <w:szCs w:val="21"/>
                    </w:rPr>
                    <w:t>序号</w:t>
                  </w:r>
                </w:p>
              </w:tc>
              <w:tc>
                <w:tcPr>
                  <w:tcW w:w="880" w:type="dxa"/>
                  <w:vAlign w:val="center"/>
                </w:tcPr>
                <w:p>
                  <w:pPr>
                    <w:autoSpaceDE w:val="0"/>
                    <w:autoSpaceDN w:val="0"/>
                    <w:spacing w:line="360" w:lineRule="auto"/>
                    <w:jc w:val="center"/>
                    <w:rPr>
                      <w:rFonts w:hAnsi="宋体"/>
                      <w:b/>
                      <w:color w:val="000000"/>
                      <w:kern w:val="0"/>
                      <w:szCs w:val="21"/>
                    </w:rPr>
                  </w:pPr>
                  <w:r>
                    <w:rPr>
                      <w:rFonts w:hAnsi="宋体"/>
                      <w:b/>
                      <w:color w:val="000000"/>
                      <w:kern w:val="0"/>
                      <w:szCs w:val="21"/>
                    </w:rPr>
                    <w:t>内容</w:t>
                  </w:r>
                </w:p>
              </w:tc>
              <w:tc>
                <w:tcPr>
                  <w:tcW w:w="2407" w:type="dxa"/>
                  <w:vAlign w:val="center"/>
                </w:tcPr>
                <w:p>
                  <w:pPr>
                    <w:autoSpaceDE w:val="0"/>
                    <w:autoSpaceDN w:val="0"/>
                    <w:spacing w:line="360" w:lineRule="auto"/>
                    <w:jc w:val="center"/>
                    <w:rPr>
                      <w:rFonts w:hAnsi="宋体"/>
                      <w:b/>
                      <w:color w:val="000000"/>
                      <w:kern w:val="0"/>
                      <w:szCs w:val="21"/>
                    </w:rPr>
                  </w:pPr>
                  <w:r>
                    <w:rPr>
                      <w:rFonts w:hAnsi="宋体"/>
                      <w:b/>
                      <w:color w:val="000000"/>
                      <w:kern w:val="0"/>
                      <w:szCs w:val="21"/>
                    </w:rPr>
                    <w:t>要求</w:t>
                  </w:r>
                </w:p>
              </w:tc>
              <w:tc>
                <w:tcPr>
                  <w:tcW w:w="2514" w:type="dxa"/>
                  <w:vAlign w:val="center"/>
                </w:tcPr>
                <w:p>
                  <w:pPr>
                    <w:autoSpaceDE w:val="0"/>
                    <w:autoSpaceDN w:val="0"/>
                    <w:spacing w:line="360" w:lineRule="auto"/>
                    <w:jc w:val="center"/>
                    <w:rPr>
                      <w:rFonts w:hAnsi="宋体"/>
                      <w:b/>
                      <w:color w:val="000000"/>
                      <w:kern w:val="0"/>
                      <w:szCs w:val="21"/>
                    </w:rPr>
                  </w:pPr>
                  <w:r>
                    <w:rPr>
                      <w:rFonts w:hAnsi="宋体"/>
                      <w:b/>
                      <w:color w:val="000000"/>
                      <w:kern w:val="0"/>
                      <w:szCs w:val="21"/>
                    </w:rPr>
                    <w:t>本项目情况</w:t>
                  </w:r>
                </w:p>
              </w:tc>
              <w:tc>
                <w:tcPr>
                  <w:tcW w:w="935" w:type="dxa"/>
                  <w:vAlign w:val="center"/>
                </w:tcPr>
                <w:p>
                  <w:pPr>
                    <w:autoSpaceDE w:val="0"/>
                    <w:autoSpaceDN w:val="0"/>
                    <w:spacing w:line="360" w:lineRule="auto"/>
                    <w:jc w:val="center"/>
                    <w:rPr>
                      <w:rFonts w:hAnsi="宋体"/>
                      <w:b/>
                      <w:color w:val="000000"/>
                      <w:kern w:val="0"/>
                      <w:szCs w:val="21"/>
                    </w:rPr>
                  </w:pPr>
                  <w:r>
                    <w:rPr>
                      <w:rFonts w:hAnsi="宋体"/>
                      <w:b/>
                      <w:color w:val="000000"/>
                      <w:kern w:val="0"/>
                      <w:szCs w:val="21"/>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26" w:hRule="atLeast"/>
              </w:trPr>
              <w:tc>
                <w:tcPr>
                  <w:tcW w:w="676" w:type="dxa"/>
                  <w:vAlign w:val="center"/>
                </w:tcPr>
                <w:p>
                  <w:pPr>
                    <w:autoSpaceDE w:val="0"/>
                    <w:autoSpaceDN w:val="0"/>
                    <w:jc w:val="center"/>
                    <w:rPr>
                      <w:rFonts w:hAnsi="宋体"/>
                      <w:color w:val="000000"/>
                      <w:kern w:val="0"/>
                      <w:szCs w:val="21"/>
                    </w:rPr>
                  </w:pPr>
                  <w:r>
                    <w:rPr>
                      <w:rFonts w:hint="eastAsia" w:hAnsi="宋体"/>
                      <w:color w:val="000000"/>
                      <w:kern w:val="0"/>
                      <w:szCs w:val="21"/>
                    </w:rPr>
                    <w:t>1</w:t>
                  </w:r>
                </w:p>
              </w:tc>
              <w:tc>
                <w:tcPr>
                  <w:tcW w:w="880" w:type="dxa"/>
                  <w:vAlign w:val="center"/>
                </w:tcPr>
                <w:p>
                  <w:pPr>
                    <w:autoSpaceDE w:val="0"/>
                    <w:autoSpaceDN w:val="0"/>
                    <w:jc w:val="center"/>
                    <w:rPr>
                      <w:rFonts w:hAnsi="宋体"/>
                      <w:color w:val="000000"/>
                      <w:kern w:val="0"/>
                      <w:szCs w:val="21"/>
                    </w:rPr>
                  </w:pPr>
                  <w:r>
                    <w:rPr>
                      <w:rFonts w:hAnsi="宋体"/>
                      <w:color w:val="000000"/>
                      <w:kern w:val="0"/>
                      <w:szCs w:val="21"/>
                    </w:rPr>
                    <w:t>生态保</w:t>
                  </w:r>
                  <w:r>
                    <w:rPr>
                      <w:rFonts w:hAnsi="宋体"/>
                      <w:color w:val="000000"/>
                      <w:kern w:val="0"/>
                      <w:szCs w:val="21"/>
                    </w:rPr>
                    <w:cr/>
                  </w:r>
                  <w:r>
                    <w:rPr>
                      <w:rFonts w:hAnsi="宋体"/>
                      <w:color w:val="000000"/>
                      <w:kern w:val="0"/>
                      <w:szCs w:val="21"/>
                    </w:rPr>
                    <w:t>红线</w:t>
                  </w:r>
                </w:p>
              </w:tc>
              <w:tc>
                <w:tcPr>
                  <w:tcW w:w="2407" w:type="dxa"/>
                  <w:vAlign w:val="center"/>
                </w:tcPr>
                <w:p>
                  <w:pPr>
                    <w:autoSpaceDE w:val="0"/>
                    <w:autoSpaceDN w:val="0"/>
                    <w:jc w:val="center"/>
                    <w:rPr>
                      <w:rFonts w:hAnsi="宋体"/>
                      <w:color w:val="0D0D0D" w:themeColor="text1" w:themeTint="F2"/>
                      <w:kern w:val="0"/>
                      <w:szCs w:val="21"/>
                      <w14:textFill>
                        <w14:solidFill>
                          <w14:schemeClr w14:val="tx1">
                            <w14:lumMod w14:val="95000"/>
                            <w14:lumOff w14:val="5000"/>
                          </w14:schemeClr>
                        </w14:solidFill>
                      </w14:textFill>
                    </w:rPr>
                  </w:pPr>
                  <w:r>
                    <w:rPr>
                      <w:rFonts w:hAnsi="宋体"/>
                      <w:color w:val="0D0D0D" w:themeColor="text1" w:themeTint="F2"/>
                      <w:kern w:val="0"/>
                      <w:szCs w:val="21"/>
                      <w14:textFill>
                        <w14:solidFill>
                          <w14:schemeClr w14:val="tx1">
                            <w14:lumMod w14:val="95000"/>
                            <w14:lumOff w14:val="5000"/>
                          </w14:schemeClr>
                        </w14:solidFill>
                      </w14:textFill>
                    </w:rPr>
                    <w:t>生态保护红线是生态空间范围内具有特殊重要生态功能必须实行强制性严格保护的区域</w:t>
                  </w:r>
                  <w:r>
                    <w:rPr>
                      <w:rFonts w:hint="eastAsia" w:hAnsi="宋体"/>
                      <w:color w:val="0D0D0D" w:themeColor="text1" w:themeTint="F2"/>
                      <w:kern w:val="0"/>
                      <w:szCs w:val="21"/>
                      <w14:textFill>
                        <w14:solidFill>
                          <w14:schemeClr w14:val="tx1">
                            <w14:lumMod w14:val="95000"/>
                            <w14:lumOff w14:val="5000"/>
                          </w14:schemeClr>
                        </w14:solidFill>
                      </w14:textFill>
                    </w:rPr>
                    <w:t>。</w:t>
                  </w:r>
                  <w:r>
                    <w:rPr>
                      <w:rFonts w:hAnsi="宋体"/>
                      <w:color w:val="0D0D0D" w:themeColor="text1" w:themeTint="F2"/>
                      <w:kern w:val="0"/>
                      <w:szCs w:val="21"/>
                      <w14:textFill>
                        <w14:solidFill>
                          <w14:schemeClr w14:val="tx1">
                            <w14:lumMod w14:val="95000"/>
                            <w14:lumOff w14:val="5000"/>
                          </w14:schemeClr>
                        </w14:solidFill>
                      </w14:textFill>
                    </w:rPr>
                    <w:t>在生态保护红线范围内</w:t>
                  </w:r>
                  <w:r>
                    <w:rPr>
                      <w:rFonts w:hint="eastAsia" w:hAnsi="宋体"/>
                      <w:color w:val="0D0D0D" w:themeColor="text1" w:themeTint="F2"/>
                      <w:kern w:val="0"/>
                      <w:szCs w:val="21"/>
                      <w14:textFill>
                        <w14:solidFill>
                          <w14:schemeClr w14:val="tx1">
                            <w14:lumMod w14:val="95000"/>
                            <w14:lumOff w14:val="5000"/>
                          </w14:schemeClr>
                        </w14:solidFill>
                      </w14:textFill>
                    </w:rPr>
                    <w:t>，</w:t>
                  </w:r>
                  <w:r>
                    <w:rPr>
                      <w:rFonts w:hAnsi="宋体"/>
                      <w:color w:val="0D0D0D" w:themeColor="text1" w:themeTint="F2"/>
                      <w:kern w:val="0"/>
                      <w:szCs w:val="21"/>
                      <w14:textFill>
                        <w14:solidFill>
                          <w14:schemeClr w14:val="tx1">
                            <w14:lumMod w14:val="95000"/>
                            <w14:lumOff w14:val="5000"/>
                          </w14:schemeClr>
                        </w14:solidFill>
                      </w14:textFill>
                    </w:rPr>
                    <w:t>严控各类开发建设活动</w:t>
                  </w:r>
                  <w:r>
                    <w:rPr>
                      <w:rFonts w:hint="eastAsia" w:hAnsi="宋体"/>
                      <w:color w:val="0D0D0D" w:themeColor="text1" w:themeTint="F2"/>
                      <w:kern w:val="0"/>
                      <w:szCs w:val="21"/>
                      <w14:textFill>
                        <w14:solidFill>
                          <w14:schemeClr w14:val="tx1">
                            <w14:lumMod w14:val="95000"/>
                            <w14:lumOff w14:val="5000"/>
                          </w14:schemeClr>
                        </w14:solidFill>
                      </w14:textFill>
                    </w:rPr>
                    <w:t>，</w:t>
                  </w:r>
                  <w:r>
                    <w:rPr>
                      <w:rFonts w:hAnsi="宋体"/>
                      <w:color w:val="0D0D0D" w:themeColor="text1" w:themeTint="F2"/>
                      <w:kern w:val="0"/>
                      <w:szCs w:val="21"/>
                      <w14:textFill>
                        <w14:solidFill>
                          <w14:schemeClr w14:val="tx1">
                            <w14:lumMod w14:val="95000"/>
                            <w14:lumOff w14:val="5000"/>
                          </w14:schemeClr>
                        </w14:solidFill>
                      </w14:textFill>
                    </w:rPr>
                    <w:t>依法不予审批新建工业项目和矿产开发项目的环评文件</w:t>
                  </w:r>
                </w:p>
              </w:tc>
              <w:tc>
                <w:tcPr>
                  <w:tcW w:w="2514" w:type="dxa"/>
                  <w:vAlign w:val="center"/>
                </w:tcPr>
                <w:p>
                  <w:pPr>
                    <w:autoSpaceDE w:val="0"/>
                    <w:autoSpaceDN w:val="0"/>
                    <w:jc w:val="center"/>
                    <w:rPr>
                      <w:rFonts w:hAnsi="宋体"/>
                      <w:color w:val="0D0D0D" w:themeColor="text1" w:themeTint="F2"/>
                      <w:kern w:val="0"/>
                      <w:szCs w:val="21"/>
                      <w14:textFill>
                        <w14:solidFill>
                          <w14:schemeClr w14:val="tx1">
                            <w14:lumMod w14:val="95000"/>
                            <w14:lumOff w14:val="5000"/>
                          </w14:schemeClr>
                        </w14:solidFill>
                      </w14:textFill>
                    </w:rPr>
                  </w:pPr>
                  <w:r>
                    <w:rPr>
                      <w:rFonts w:hAnsi="宋体"/>
                      <w:color w:val="0D0D0D" w:themeColor="text1" w:themeTint="F2"/>
                      <w:kern w:val="0"/>
                      <w:szCs w:val="21"/>
                      <w14:textFill>
                        <w14:solidFill>
                          <w14:schemeClr w14:val="tx1">
                            <w14:lumMod w14:val="95000"/>
                            <w14:lumOff w14:val="5000"/>
                          </w14:schemeClr>
                        </w14:solidFill>
                      </w14:textFill>
                    </w:rPr>
                    <w:t>本项目位于</w:t>
                  </w:r>
                  <w:r>
                    <w:rPr>
                      <w:rFonts w:hint="default" w:ascii="Times New Roman" w:hAnsi="宋体" w:cs="Times New Roman"/>
                      <w:color w:val="0D0D0D" w:themeColor="text1" w:themeTint="F2"/>
                      <w:kern w:val="0"/>
                      <w:szCs w:val="21"/>
                      <w14:textFill>
                        <w14:solidFill>
                          <w14:schemeClr w14:val="tx1">
                            <w14:lumMod w14:val="95000"/>
                            <w14:lumOff w14:val="5000"/>
                          </w14:schemeClr>
                        </w14:solidFill>
                      </w14:textFill>
                    </w:rPr>
                    <w:t>三山区经济开发区春洲路2号</w:t>
                  </w:r>
                  <w:r>
                    <w:rPr>
                      <w:rFonts w:hint="eastAsia" w:hAnsi="宋体"/>
                      <w:color w:val="0D0D0D" w:themeColor="text1" w:themeTint="F2"/>
                      <w:kern w:val="24"/>
                      <w:szCs w:val="21"/>
                      <w14:textFill>
                        <w14:solidFill>
                          <w14:schemeClr w14:val="tx1">
                            <w14:lumMod w14:val="95000"/>
                            <w14:lumOff w14:val="5000"/>
                          </w14:schemeClr>
                        </w14:solidFill>
                      </w14:textFill>
                    </w:rPr>
                    <w:t>，</w:t>
                  </w:r>
                  <w:r>
                    <w:rPr>
                      <w:rFonts w:hint="eastAsia" w:hAnsi="宋体"/>
                      <w:color w:val="0D0D0D" w:themeColor="text1" w:themeTint="F2"/>
                      <w:kern w:val="0"/>
                      <w:szCs w:val="21"/>
                      <w14:textFill>
                        <w14:solidFill>
                          <w14:schemeClr w14:val="tx1">
                            <w14:lumMod w14:val="95000"/>
                            <w14:lumOff w14:val="5000"/>
                          </w14:schemeClr>
                        </w14:solidFill>
                      </w14:textFill>
                    </w:rPr>
                    <w:t>用地性质属于工业用地，</w:t>
                  </w:r>
                  <w:r>
                    <w:rPr>
                      <w:rFonts w:hAnsi="宋体"/>
                      <w:color w:val="0D0D0D" w:themeColor="text1" w:themeTint="F2"/>
                      <w:kern w:val="0"/>
                      <w:szCs w:val="21"/>
                      <w14:textFill>
                        <w14:solidFill>
                          <w14:schemeClr w14:val="tx1">
                            <w14:lumMod w14:val="95000"/>
                            <w14:lumOff w14:val="5000"/>
                          </w14:schemeClr>
                        </w14:solidFill>
                      </w14:textFill>
                    </w:rPr>
                    <w:t>不在生态红线范围内</w:t>
                  </w:r>
                </w:p>
              </w:tc>
              <w:tc>
                <w:tcPr>
                  <w:tcW w:w="935" w:type="dxa"/>
                  <w:vAlign w:val="center"/>
                </w:tcPr>
                <w:p>
                  <w:pPr>
                    <w:autoSpaceDE w:val="0"/>
                    <w:autoSpaceDN w:val="0"/>
                    <w:spacing w:line="360" w:lineRule="auto"/>
                    <w:jc w:val="center"/>
                    <w:rPr>
                      <w:rFonts w:hAnsi="宋体"/>
                      <w:color w:val="000000"/>
                      <w:kern w:val="0"/>
                      <w:szCs w:val="21"/>
                    </w:rPr>
                  </w:pPr>
                  <w:r>
                    <w:rPr>
                      <w:rFonts w:hAnsi="宋体"/>
                      <w:color w:val="000000"/>
                      <w:kern w:val="0"/>
                      <w:szCs w:val="21"/>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76" w:type="dxa"/>
                  <w:vAlign w:val="center"/>
                </w:tcPr>
                <w:p>
                  <w:pPr>
                    <w:autoSpaceDE w:val="0"/>
                    <w:autoSpaceDN w:val="0"/>
                    <w:jc w:val="center"/>
                    <w:rPr>
                      <w:rFonts w:hAnsi="宋体"/>
                      <w:color w:val="000000"/>
                      <w:kern w:val="0"/>
                      <w:szCs w:val="21"/>
                    </w:rPr>
                  </w:pPr>
                  <w:r>
                    <w:rPr>
                      <w:rFonts w:hint="eastAsia" w:hAnsi="宋体"/>
                      <w:color w:val="000000"/>
                      <w:kern w:val="0"/>
                      <w:szCs w:val="21"/>
                    </w:rPr>
                    <w:t>2</w:t>
                  </w:r>
                </w:p>
              </w:tc>
              <w:tc>
                <w:tcPr>
                  <w:tcW w:w="880" w:type="dxa"/>
                  <w:vAlign w:val="center"/>
                </w:tcPr>
                <w:p>
                  <w:pPr>
                    <w:autoSpaceDE w:val="0"/>
                    <w:autoSpaceDN w:val="0"/>
                    <w:jc w:val="center"/>
                    <w:rPr>
                      <w:rFonts w:hAnsi="宋体"/>
                      <w:color w:val="000000"/>
                      <w:kern w:val="0"/>
                      <w:szCs w:val="21"/>
                    </w:rPr>
                  </w:pPr>
                  <w:r>
                    <w:rPr>
                      <w:rFonts w:hAnsi="宋体"/>
                      <w:color w:val="000000"/>
                      <w:kern w:val="0"/>
                      <w:szCs w:val="21"/>
                    </w:rPr>
                    <w:t>环境质量底线</w:t>
                  </w:r>
                </w:p>
              </w:tc>
              <w:tc>
                <w:tcPr>
                  <w:tcW w:w="2407" w:type="dxa"/>
                  <w:vAlign w:val="center"/>
                </w:tcPr>
                <w:p>
                  <w:pPr>
                    <w:autoSpaceDE w:val="0"/>
                    <w:autoSpaceDN w:val="0"/>
                    <w:jc w:val="center"/>
                    <w:rPr>
                      <w:rFonts w:hAnsi="宋体"/>
                      <w:color w:val="000000"/>
                      <w:kern w:val="0"/>
                      <w:szCs w:val="21"/>
                    </w:rPr>
                  </w:pPr>
                  <w:r>
                    <w:rPr>
                      <w:rFonts w:hAnsi="宋体"/>
                      <w:color w:val="000000"/>
                      <w:kern w:val="0"/>
                      <w:szCs w:val="21"/>
                    </w:rPr>
                    <w:t>环境质量现状超标地区以及未达到环境质量目标考核要求的地区上新项目将受到限制</w:t>
                  </w:r>
                  <w:r>
                    <w:rPr>
                      <w:rFonts w:hint="eastAsia" w:hAnsi="宋体"/>
                      <w:color w:val="000000"/>
                      <w:kern w:val="0"/>
                      <w:szCs w:val="21"/>
                    </w:rPr>
                    <w:t>；</w:t>
                  </w:r>
                  <w:r>
                    <w:rPr>
                      <w:rFonts w:hAnsi="宋体"/>
                      <w:color w:val="000000"/>
                      <w:kern w:val="0"/>
                      <w:szCs w:val="21"/>
                    </w:rPr>
                    <w:t>对环境质量现状超标的地区</w:t>
                  </w:r>
                  <w:r>
                    <w:rPr>
                      <w:rFonts w:hint="eastAsia" w:hAnsi="宋体"/>
                      <w:color w:val="000000"/>
                      <w:kern w:val="0"/>
                      <w:szCs w:val="21"/>
                    </w:rPr>
                    <w:t>，</w:t>
                  </w:r>
                  <w:r>
                    <w:rPr>
                      <w:rFonts w:hAnsi="宋体"/>
                      <w:color w:val="000000"/>
                      <w:kern w:val="0"/>
                      <w:szCs w:val="21"/>
                    </w:rPr>
                    <w:t>项目拟采取的措施不能满足区域环境质量改善目标管理要求的</w:t>
                  </w:r>
                  <w:r>
                    <w:rPr>
                      <w:rFonts w:hint="eastAsia" w:hAnsi="宋体"/>
                      <w:color w:val="000000"/>
                      <w:kern w:val="0"/>
                      <w:szCs w:val="21"/>
                    </w:rPr>
                    <w:t>，</w:t>
                  </w:r>
                  <w:r>
                    <w:rPr>
                      <w:rFonts w:hAnsi="宋体"/>
                      <w:color w:val="000000"/>
                      <w:kern w:val="0"/>
                      <w:szCs w:val="21"/>
                    </w:rPr>
                    <w:t>依法不予审批其环评</w:t>
                  </w:r>
                  <w:r>
                    <w:rPr>
                      <w:rFonts w:hAnsi="宋体"/>
                      <w:color w:val="000000"/>
                      <w:kern w:val="0"/>
                      <w:szCs w:val="21"/>
                    </w:rPr>
                    <w:cr/>
                  </w:r>
                  <w:r>
                    <w:rPr>
                      <w:rFonts w:hAnsi="宋体"/>
                      <w:color w:val="000000"/>
                      <w:kern w:val="0"/>
                      <w:szCs w:val="21"/>
                    </w:rPr>
                    <w:t>件</w:t>
                  </w:r>
                </w:p>
              </w:tc>
              <w:tc>
                <w:tcPr>
                  <w:tcW w:w="2514" w:type="dxa"/>
                  <w:vAlign w:val="center"/>
                </w:tcPr>
                <w:p>
                  <w:pPr>
                    <w:autoSpaceDE w:val="0"/>
                    <w:autoSpaceDN w:val="0"/>
                    <w:jc w:val="center"/>
                    <w:rPr>
                      <w:color w:val="000000"/>
                      <w:szCs w:val="16"/>
                    </w:rPr>
                  </w:pPr>
                  <w:r>
                    <w:rPr>
                      <w:color w:val="000000"/>
                      <w:szCs w:val="16"/>
                    </w:rPr>
                    <w:t>本项目所在区域为</w:t>
                  </w:r>
                  <w:r>
                    <w:rPr>
                      <w:rFonts w:hint="eastAsia" w:hAnsi="宋体"/>
                      <w:color w:val="000000"/>
                      <w:kern w:val="0"/>
                      <w:szCs w:val="21"/>
                    </w:rPr>
                    <w:t>芜湖市三山区</w:t>
                  </w:r>
                  <w:r>
                    <w:rPr>
                      <w:rFonts w:hint="eastAsia"/>
                      <w:color w:val="000000"/>
                      <w:szCs w:val="16"/>
                    </w:rPr>
                    <w:t>，为达标区</w:t>
                  </w:r>
                  <w:r>
                    <w:rPr>
                      <w:rFonts w:hint="eastAsia"/>
                      <w:kern w:val="24"/>
                      <w:szCs w:val="21"/>
                    </w:rPr>
                    <w:t>；根据工程分析及污染防治分析项目所采取污染防治措施合理可行，各污染物达标排放，不会造成环境质量超标</w:t>
                  </w:r>
                </w:p>
              </w:tc>
              <w:tc>
                <w:tcPr>
                  <w:tcW w:w="935" w:type="dxa"/>
                  <w:vAlign w:val="center"/>
                </w:tcPr>
                <w:p>
                  <w:pPr>
                    <w:autoSpaceDE w:val="0"/>
                    <w:autoSpaceDN w:val="0"/>
                    <w:spacing w:line="360" w:lineRule="auto"/>
                    <w:jc w:val="center"/>
                    <w:rPr>
                      <w:rFonts w:hAnsi="宋体"/>
                      <w:color w:val="000000"/>
                      <w:kern w:val="0"/>
                      <w:szCs w:val="21"/>
                    </w:rPr>
                  </w:pPr>
                  <w:r>
                    <w:rPr>
                      <w:rFonts w:hAnsi="宋体"/>
                      <w:color w:val="000000"/>
                      <w:kern w:val="0"/>
                      <w:szCs w:val="21"/>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76" w:type="dxa"/>
                  <w:vAlign w:val="center"/>
                </w:tcPr>
                <w:p>
                  <w:pPr>
                    <w:autoSpaceDE w:val="0"/>
                    <w:autoSpaceDN w:val="0"/>
                    <w:jc w:val="center"/>
                    <w:rPr>
                      <w:rFonts w:hAnsi="宋体"/>
                      <w:color w:val="000000"/>
                      <w:kern w:val="0"/>
                      <w:szCs w:val="21"/>
                    </w:rPr>
                  </w:pPr>
                  <w:r>
                    <w:rPr>
                      <w:rFonts w:hint="eastAsia" w:hAnsi="宋体"/>
                      <w:color w:val="000000"/>
                      <w:kern w:val="0"/>
                      <w:szCs w:val="21"/>
                    </w:rPr>
                    <w:t>3</w:t>
                  </w:r>
                </w:p>
              </w:tc>
              <w:tc>
                <w:tcPr>
                  <w:tcW w:w="880" w:type="dxa"/>
                  <w:vAlign w:val="center"/>
                </w:tcPr>
                <w:p>
                  <w:pPr>
                    <w:autoSpaceDE w:val="0"/>
                    <w:autoSpaceDN w:val="0"/>
                    <w:jc w:val="center"/>
                    <w:rPr>
                      <w:rFonts w:hAnsi="宋体"/>
                      <w:color w:val="000000"/>
                      <w:kern w:val="0"/>
                      <w:szCs w:val="21"/>
                    </w:rPr>
                  </w:pPr>
                  <w:r>
                    <w:rPr>
                      <w:rFonts w:hAnsi="宋体"/>
                      <w:color w:val="000000"/>
                      <w:kern w:val="0"/>
                      <w:szCs w:val="21"/>
                    </w:rPr>
                    <w:t>资源</w:t>
                  </w:r>
                  <w:r>
                    <w:rPr>
                      <w:rFonts w:hint="eastAsia" w:hAnsi="宋体"/>
                      <w:color w:val="000000"/>
                      <w:kern w:val="0"/>
                      <w:szCs w:val="21"/>
                    </w:rPr>
                    <w:t>利用上线</w:t>
                  </w:r>
                </w:p>
              </w:tc>
              <w:tc>
                <w:tcPr>
                  <w:tcW w:w="2407" w:type="dxa"/>
                  <w:vAlign w:val="center"/>
                </w:tcPr>
                <w:p>
                  <w:pPr>
                    <w:autoSpaceDE w:val="0"/>
                    <w:autoSpaceDN w:val="0"/>
                    <w:jc w:val="center"/>
                    <w:rPr>
                      <w:rFonts w:hAnsi="宋体"/>
                      <w:color w:val="0D0D0D" w:themeColor="text1" w:themeTint="F2"/>
                      <w:kern w:val="0"/>
                      <w:szCs w:val="21"/>
                      <w14:textFill>
                        <w14:solidFill>
                          <w14:schemeClr w14:val="tx1">
                            <w14:lumMod w14:val="95000"/>
                            <w14:lumOff w14:val="5000"/>
                          </w14:schemeClr>
                        </w14:solidFill>
                      </w14:textFill>
                    </w:rPr>
                  </w:pPr>
                  <w:r>
                    <w:rPr>
                      <w:rFonts w:hAnsi="宋体"/>
                      <w:color w:val="0D0D0D" w:themeColor="text1" w:themeTint="F2"/>
                      <w:kern w:val="0"/>
                      <w:szCs w:val="21"/>
                      <w14:textFill>
                        <w14:solidFill>
                          <w14:schemeClr w14:val="tx1">
                            <w14:lumMod w14:val="95000"/>
                            <w14:lumOff w14:val="5000"/>
                          </w14:schemeClr>
                        </w14:solidFill>
                      </w14:textFill>
                    </w:rPr>
                    <w:t>依据有关资源利用上线要求</w:t>
                  </w:r>
                  <w:r>
                    <w:rPr>
                      <w:rFonts w:hint="eastAsia" w:hAnsi="宋体"/>
                      <w:color w:val="0D0D0D" w:themeColor="text1" w:themeTint="F2"/>
                      <w:kern w:val="0"/>
                      <w:szCs w:val="21"/>
                      <w14:textFill>
                        <w14:solidFill>
                          <w14:schemeClr w14:val="tx1">
                            <w14:lumMod w14:val="95000"/>
                            <w14:lumOff w14:val="5000"/>
                          </w14:schemeClr>
                        </w14:solidFill>
                      </w14:textFill>
                    </w:rPr>
                    <w:t xml:space="preserve">， </w:t>
                  </w:r>
                  <w:r>
                    <w:rPr>
                      <w:rFonts w:hAnsi="宋体"/>
                      <w:color w:val="0D0D0D" w:themeColor="text1" w:themeTint="F2"/>
                      <w:kern w:val="0"/>
                      <w:szCs w:val="21"/>
                      <w14:textFill>
                        <w14:solidFill>
                          <w14:schemeClr w14:val="tx1">
                            <w14:lumMod w14:val="95000"/>
                            <w14:lumOff w14:val="5000"/>
                          </w14:schemeClr>
                        </w14:solidFill>
                      </w14:textFill>
                    </w:rPr>
                    <w:t>即各地区能源</w:t>
                  </w:r>
                  <w:r>
                    <w:rPr>
                      <w:rFonts w:hint="eastAsia" w:hAnsi="宋体"/>
                      <w:color w:val="0D0D0D" w:themeColor="text1" w:themeTint="F2"/>
                      <w:kern w:val="0"/>
                      <w:szCs w:val="21"/>
                      <w14:textFill>
                        <w14:solidFill>
                          <w14:schemeClr w14:val="tx1">
                            <w14:lumMod w14:val="95000"/>
                            <w14:lumOff w14:val="5000"/>
                          </w14:schemeClr>
                        </w14:solidFill>
                      </w14:textFill>
                    </w:rPr>
                    <w:t>、</w:t>
                  </w:r>
                  <w:r>
                    <w:rPr>
                      <w:rFonts w:hAnsi="宋体"/>
                      <w:color w:val="0D0D0D" w:themeColor="text1" w:themeTint="F2"/>
                      <w:kern w:val="0"/>
                      <w:szCs w:val="21"/>
                      <w14:textFill>
                        <w14:solidFill>
                          <w14:schemeClr w14:val="tx1">
                            <w14:lumMod w14:val="95000"/>
                            <w14:lumOff w14:val="5000"/>
                          </w14:schemeClr>
                        </w14:solidFill>
                      </w14:textFill>
                    </w:rPr>
                    <w:t>水</w:t>
                  </w:r>
                  <w:r>
                    <w:rPr>
                      <w:rFonts w:hint="eastAsia" w:hAnsi="宋体"/>
                      <w:color w:val="0D0D0D" w:themeColor="text1" w:themeTint="F2"/>
                      <w:kern w:val="0"/>
                      <w:szCs w:val="21"/>
                      <w14:textFill>
                        <w14:solidFill>
                          <w14:schemeClr w14:val="tx1">
                            <w14:lumMod w14:val="95000"/>
                            <w14:lumOff w14:val="5000"/>
                          </w14:schemeClr>
                        </w14:solidFill>
                      </w14:textFill>
                    </w:rPr>
                    <w:t>、</w:t>
                  </w:r>
                  <w:r>
                    <w:rPr>
                      <w:rFonts w:hAnsi="宋体"/>
                      <w:color w:val="0D0D0D" w:themeColor="text1" w:themeTint="F2"/>
                      <w:kern w:val="0"/>
                      <w:szCs w:val="21"/>
                      <w14:textFill>
                        <w14:solidFill>
                          <w14:schemeClr w14:val="tx1">
                            <w14:lumMod w14:val="95000"/>
                            <w14:lumOff w14:val="5000"/>
                          </w14:schemeClr>
                        </w14:solidFill>
                      </w14:textFill>
                    </w:rPr>
                    <w:t>土地等资源消耗是不得突破的</w:t>
                  </w:r>
                  <w:r>
                    <w:rPr>
                      <w:rFonts w:hint="eastAsia" w:hAnsi="宋体"/>
                      <w:color w:val="0D0D0D" w:themeColor="text1" w:themeTint="F2"/>
                      <w:kern w:val="0"/>
                      <w:szCs w:val="21"/>
                      <w14:textFill>
                        <w14:solidFill>
                          <w14:schemeClr w14:val="tx1">
                            <w14:lumMod w14:val="95000"/>
                            <w14:lumOff w14:val="5000"/>
                          </w14:schemeClr>
                        </w14:solidFill>
                      </w14:textFill>
                    </w:rPr>
                    <w:t>“天花板”</w:t>
                  </w:r>
                </w:p>
              </w:tc>
              <w:tc>
                <w:tcPr>
                  <w:tcW w:w="2514" w:type="dxa"/>
                  <w:vAlign w:val="center"/>
                </w:tcPr>
                <w:p>
                  <w:pPr>
                    <w:autoSpaceDE w:val="0"/>
                    <w:autoSpaceDN w:val="0"/>
                    <w:jc w:val="center"/>
                    <w:rPr>
                      <w:rFonts w:hAnsi="宋体"/>
                      <w:color w:val="0D0D0D" w:themeColor="text1" w:themeTint="F2"/>
                      <w:kern w:val="0"/>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本项目用水来自自来水管网，用电由市政电网供给，</w:t>
                  </w:r>
                  <w:r>
                    <w:rPr>
                      <w:rFonts w:hint="eastAsia"/>
                      <w:color w:val="0D0D0D" w:themeColor="text1" w:themeTint="F2"/>
                      <w:szCs w:val="21"/>
                      <w14:textFill>
                        <w14:solidFill>
                          <w14:schemeClr w14:val="tx1">
                            <w14:lumMod w14:val="95000"/>
                            <w14:lumOff w14:val="5000"/>
                          </w14:schemeClr>
                        </w14:solidFill>
                      </w14:textFill>
                    </w:rPr>
                    <w:t>项目</w:t>
                  </w:r>
                  <w:r>
                    <w:rPr>
                      <w:color w:val="0D0D0D" w:themeColor="text1" w:themeTint="F2"/>
                      <w:szCs w:val="21"/>
                      <w14:textFill>
                        <w14:solidFill>
                          <w14:schemeClr w14:val="tx1">
                            <w14:lumMod w14:val="95000"/>
                            <w14:lumOff w14:val="5000"/>
                          </w14:schemeClr>
                        </w14:solidFill>
                      </w14:textFill>
                    </w:rPr>
                    <w:t>用地为规划工业用地，因此，项目用水、用电、用地均不会达到资源利用上线</w:t>
                  </w:r>
                </w:p>
              </w:tc>
              <w:tc>
                <w:tcPr>
                  <w:tcW w:w="935" w:type="dxa"/>
                  <w:vAlign w:val="center"/>
                </w:tcPr>
                <w:p>
                  <w:pPr>
                    <w:autoSpaceDE w:val="0"/>
                    <w:autoSpaceDN w:val="0"/>
                    <w:spacing w:line="360" w:lineRule="auto"/>
                    <w:jc w:val="center"/>
                    <w:rPr>
                      <w:rFonts w:hAnsi="宋体"/>
                      <w:color w:val="000000"/>
                      <w:kern w:val="0"/>
                      <w:szCs w:val="21"/>
                    </w:rPr>
                  </w:pPr>
                  <w:r>
                    <w:rPr>
                      <w:rFonts w:hAnsi="宋体"/>
                      <w:color w:val="000000"/>
                      <w:kern w:val="0"/>
                      <w:szCs w:val="21"/>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76" w:type="dxa"/>
                  <w:vAlign w:val="center"/>
                </w:tcPr>
                <w:p>
                  <w:pPr>
                    <w:autoSpaceDE w:val="0"/>
                    <w:autoSpaceDN w:val="0"/>
                    <w:jc w:val="center"/>
                    <w:rPr>
                      <w:rFonts w:hAnsi="宋体"/>
                      <w:color w:val="000000"/>
                      <w:kern w:val="0"/>
                      <w:szCs w:val="21"/>
                    </w:rPr>
                  </w:pPr>
                  <w:r>
                    <w:rPr>
                      <w:rFonts w:hint="eastAsia" w:hAnsi="宋体"/>
                      <w:color w:val="000000"/>
                      <w:kern w:val="0"/>
                      <w:szCs w:val="21"/>
                    </w:rPr>
                    <w:t>4</w:t>
                  </w:r>
                </w:p>
              </w:tc>
              <w:tc>
                <w:tcPr>
                  <w:tcW w:w="880" w:type="dxa"/>
                  <w:vAlign w:val="center"/>
                </w:tcPr>
                <w:p>
                  <w:pPr>
                    <w:autoSpaceDE w:val="0"/>
                    <w:autoSpaceDN w:val="0"/>
                    <w:jc w:val="center"/>
                    <w:rPr>
                      <w:rFonts w:hAnsi="宋体"/>
                      <w:color w:val="000000"/>
                      <w:kern w:val="0"/>
                      <w:szCs w:val="21"/>
                    </w:rPr>
                  </w:pPr>
                  <w:r>
                    <w:rPr>
                      <w:rFonts w:hAnsi="宋体"/>
                      <w:color w:val="000000"/>
                      <w:kern w:val="0"/>
                      <w:szCs w:val="21"/>
                    </w:rPr>
                    <w:t>环境准入负面清单</w:t>
                  </w:r>
                </w:p>
              </w:tc>
              <w:tc>
                <w:tcPr>
                  <w:tcW w:w="2407" w:type="dxa"/>
                  <w:vAlign w:val="center"/>
                </w:tcPr>
                <w:p>
                  <w:pPr>
                    <w:autoSpaceDE w:val="0"/>
                    <w:autoSpaceDN w:val="0"/>
                    <w:jc w:val="center"/>
                    <w:rPr>
                      <w:rFonts w:hAnsi="宋体"/>
                      <w:color w:val="000000"/>
                      <w:kern w:val="0"/>
                      <w:szCs w:val="21"/>
                    </w:rPr>
                  </w:pPr>
                  <w:r>
                    <w:rPr>
                      <w:rFonts w:hAnsi="宋体"/>
                      <w:color w:val="000000"/>
                      <w:kern w:val="0"/>
                      <w:szCs w:val="21"/>
                    </w:rPr>
                    <w:t>环境准入负面清单是基于生态保护红线</w:t>
                  </w:r>
                  <w:r>
                    <w:rPr>
                      <w:rFonts w:hint="eastAsia" w:hAnsi="宋体"/>
                      <w:color w:val="000000"/>
                      <w:kern w:val="0"/>
                      <w:szCs w:val="21"/>
                    </w:rPr>
                    <w:t>、</w:t>
                  </w:r>
                  <w:r>
                    <w:rPr>
                      <w:rFonts w:hAnsi="宋体"/>
                      <w:color w:val="000000"/>
                      <w:kern w:val="0"/>
                      <w:szCs w:val="21"/>
                    </w:rPr>
                    <w:t>环境质量底线和资源利用上线</w:t>
                  </w:r>
                  <w:r>
                    <w:rPr>
                      <w:rFonts w:hint="eastAsia" w:hAnsi="宋体"/>
                      <w:color w:val="000000"/>
                      <w:kern w:val="0"/>
                      <w:szCs w:val="21"/>
                    </w:rPr>
                    <w:t>，</w:t>
                  </w:r>
                  <w:r>
                    <w:rPr>
                      <w:rFonts w:hAnsi="宋体"/>
                      <w:color w:val="000000"/>
                      <w:kern w:val="0"/>
                      <w:szCs w:val="21"/>
                    </w:rPr>
                    <w:t>以清单方式列出的禁止</w:t>
                  </w:r>
                  <w:r>
                    <w:rPr>
                      <w:rFonts w:hint="eastAsia" w:hAnsi="宋体"/>
                      <w:color w:val="000000"/>
                      <w:kern w:val="0"/>
                      <w:szCs w:val="21"/>
                    </w:rPr>
                    <w:t>、</w:t>
                  </w:r>
                  <w:r>
                    <w:rPr>
                      <w:rFonts w:hAnsi="宋体"/>
                      <w:color w:val="000000"/>
                      <w:kern w:val="0"/>
                      <w:szCs w:val="21"/>
                    </w:rPr>
                    <w:t>限制等差别化环境准入条件和要求</w:t>
                  </w:r>
                  <w:r>
                    <w:rPr>
                      <w:rFonts w:hint="eastAsia" w:hAnsi="宋体"/>
                      <w:color w:val="000000"/>
                      <w:kern w:val="0"/>
                      <w:szCs w:val="21"/>
                    </w:rPr>
                    <w:t>。</w:t>
                  </w:r>
                  <w:r>
                    <w:rPr>
                      <w:rFonts w:hAnsi="宋体"/>
                      <w:color w:val="000000"/>
                      <w:kern w:val="0"/>
                      <w:szCs w:val="21"/>
                    </w:rPr>
                    <w:t>要在规划环评清单式管理试点的基础上</w:t>
                  </w:r>
                  <w:r>
                    <w:rPr>
                      <w:rFonts w:hint="eastAsia" w:hAnsi="宋体"/>
                      <w:color w:val="000000"/>
                      <w:kern w:val="0"/>
                      <w:szCs w:val="21"/>
                    </w:rPr>
                    <w:t>，</w:t>
                  </w:r>
                  <w:r>
                    <w:rPr>
                      <w:rFonts w:hAnsi="宋体"/>
                      <w:color w:val="000000"/>
                      <w:kern w:val="0"/>
                      <w:szCs w:val="21"/>
                    </w:rPr>
                    <w:t>从布局选址</w:t>
                  </w:r>
                  <w:r>
                    <w:rPr>
                      <w:rFonts w:hint="eastAsia" w:hAnsi="宋体"/>
                      <w:color w:val="000000"/>
                      <w:kern w:val="0"/>
                      <w:szCs w:val="21"/>
                    </w:rPr>
                    <w:t>、</w:t>
                  </w:r>
                  <w:r>
                    <w:rPr>
                      <w:rFonts w:hAnsi="宋体"/>
                      <w:color w:val="000000"/>
                      <w:kern w:val="0"/>
                      <w:szCs w:val="21"/>
                    </w:rPr>
                    <w:t>资源利用率</w:t>
                  </w:r>
                  <w:r>
                    <w:rPr>
                      <w:rFonts w:hint="eastAsia" w:hAnsi="宋体"/>
                      <w:color w:val="000000"/>
                      <w:kern w:val="0"/>
                      <w:szCs w:val="21"/>
                    </w:rPr>
                    <w:t>、</w:t>
                  </w:r>
                  <w:r>
                    <w:rPr>
                      <w:rFonts w:hAnsi="宋体"/>
                      <w:color w:val="000000"/>
                      <w:kern w:val="0"/>
                      <w:szCs w:val="21"/>
                    </w:rPr>
                    <w:t>资源配置方式等方面入手</w:t>
                  </w:r>
                  <w:r>
                    <w:rPr>
                      <w:rFonts w:hint="eastAsia" w:hAnsi="宋体"/>
                      <w:color w:val="000000"/>
                      <w:kern w:val="0"/>
                      <w:szCs w:val="21"/>
                    </w:rPr>
                    <w:t>，</w:t>
                  </w:r>
                  <w:r>
                    <w:rPr>
                      <w:rFonts w:hAnsi="宋体"/>
                      <w:color w:val="000000"/>
                      <w:kern w:val="0"/>
                      <w:szCs w:val="21"/>
                    </w:rPr>
                    <w:t>制定环境准入负面清单</w:t>
                  </w:r>
                  <w:r>
                    <w:rPr>
                      <w:rFonts w:hint="eastAsia" w:hAnsi="宋体"/>
                      <w:color w:val="000000"/>
                      <w:kern w:val="0"/>
                      <w:szCs w:val="21"/>
                    </w:rPr>
                    <w:t>，</w:t>
                  </w:r>
                  <w:r>
                    <w:rPr>
                      <w:rFonts w:hAnsi="宋体"/>
                      <w:color w:val="000000"/>
                      <w:kern w:val="0"/>
                      <w:szCs w:val="21"/>
                    </w:rPr>
                    <w:t>充分发挥负面清单对产业发展和项目准入的指导和约</w:t>
                  </w:r>
                  <w:r>
                    <w:rPr>
                      <w:rFonts w:hint="eastAsia" w:hAnsi="宋体"/>
                      <w:color w:val="000000"/>
                      <w:kern w:val="0"/>
                      <w:szCs w:val="21"/>
                    </w:rPr>
                    <w:t>束</w:t>
                  </w:r>
                  <w:r>
                    <w:rPr>
                      <w:rFonts w:hAnsi="宋体"/>
                      <w:color w:val="000000"/>
                      <w:kern w:val="0"/>
                      <w:szCs w:val="21"/>
                    </w:rPr>
                    <w:t>作用</w:t>
                  </w:r>
                </w:p>
              </w:tc>
              <w:tc>
                <w:tcPr>
                  <w:tcW w:w="2514" w:type="dxa"/>
                  <w:vAlign w:val="center"/>
                </w:tcPr>
                <w:p>
                  <w:pPr>
                    <w:autoSpaceDE w:val="0"/>
                    <w:autoSpaceDN w:val="0"/>
                    <w:jc w:val="center"/>
                    <w:rPr>
                      <w:rFonts w:hAnsi="宋体"/>
                      <w:color w:val="000000"/>
                      <w:kern w:val="0"/>
                      <w:szCs w:val="21"/>
                    </w:rPr>
                  </w:pPr>
                  <w:r>
                    <w:rPr>
                      <w:rFonts w:hAnsi="宋体"/>
                      <w:color w:val="000000"/>
                      <w:kern w:val="0"/>
                      <w:szCs w:val="21"/>
                    </w:rPr>
                    <w:t>本项目属于</w:t>
                  </w:r>
                  <w:r>
                    <w:rPr>
                      <w:rFonts w:hint="eastAsia" w:hAnsi="宋体"/>
                      <w:color w:val="000000"/>
                      <w:kern w:val="0"/>
                      <w:szCs w:val="21"/>
                    </w:rPr>
                    <w:t>其它非金属矿物制品制造行业，</w:t>
                  </w:r>
                  <w:r>
                    <w:rPr>
                      <w:rFonts w:hAnsi="宋体"/>
                      <w:color w:val="000000"/>
                      <w:kern w:val="0"/>
                      <w:szCs w:val="21"/>
                    </w:rPr>
                    <w:t>本项目不属于</w:t>
                  </w:r>
                  <w:r>
                    <w:rPr>
                      <w:rFonts w:hint="eastAsia" w:hAnsi="宋体"/>
                      <w:color w:val="000000"/>
                      <w:kern w:val="0"/>
                      <w:szCs w:val="21"/>
                    </w:rPr>
                    <w:t>《产业结构调整指导目录（20</w:t>
                  </w:r>
                  <w:r>
                    <w:rPr>
                      <w:rFonts w:hint="eastAsia" w:hAnsi="宋体"/>
                      <w:color w:val="0D0D0D"/>
                      <w:kern w:val="0"/>
                      <w:szCs w:val="21"/>
                    </w:rPr>
                    <w:t>19年本）》鼓励类、限制类和</w:t>
                  </w:r>
                  <w:r>
                    <w:rPr>
                      <w:rFonts w:hint="eastAsia" w:hAnsi="宋体"/>
                      <w:color w:val="000000"/>
                      <w:kern w:val="0"/>
                      <w:szCs w:val="21"/>
                    </w:rPr>
                    <w:t>淘汰类，视为允许类，本项目符合国家和地方产业政策</w:t>
                  </w:r>
                </w:p>
              </w:tc>
              <w:tc>
                <w:tcPr>
                  <w:tcW w:w="935" w:type="dxa"/>
                  <w:vAlign w:val="center"/>
                </w:tcPr>
                <w:p>
                  <w:pPr>
                    <w:autoSpaceDE w:val="0"/>
                    <w:autoSpaceDN w:val="0"/>
                    <w:spacing w:line="360" w:lineRule="auto"/>
                    <w:jc w:val="center"/>
                    <w:rPr>
                      <w:rFonts w:hAnsi="宋体"/>
                      <w:color w:val="000000"/>
                      <w:kern w:val="0"/>
                      <w:szCs w:val="21"/>
                    </w:rPr>
                  </w:pPr>
                  <w:r>
                    <w:rPr>
                      <w:rFonts w:hAnsi="宋体"/>
                      <w:color w:val="000000"/>
                      <w:kern w:val="0"/>
                      <w:szCs w:val="21"/>
                    </w:rPr>
                    <w:t>相符</w:t>
                  </w:r>
                </w:p>
              </w:tc>
            </w:tr>
          </w:tbl>
          <w:p>
            <w:pPr>
              <w:spacing w:line="360" w:lineRule="auto"/>
              <w:ind w:firstLine="480" w:firstLineChars="200"/>
              <w:rPr>
                <w:sz w:val="28"/>
                <w:szCs w:val="28"/>
              </w:rPr>
            </w:pPr>
            <w:r>
              <w:rPr>
                <w:rFonts w:hint="eastAsia"/>
                <w:color w:val="000000"/>
                <w:sz w:val="24"/>
              </w:rPr>
              <w:t>综上所述，本项目建设满足生态保护红线、环境质量底线、资源利用上线，且不在环境准入负面清单中，符合“三线一单”环保要求。</w:t>
            </w:r>
          </w:p>
          <w:p>
            <w:pPr>
              <w:autoSpaceDE w:val="0"/>
              <w:autoSpaceDN w:val="0"/>
              <w:adjustRightInd w:val="0"/>
              <w:spacing w:line="360" w:lineRule="auto"/>
              <w:ind w:firstLine="422" w:firstLineChars="200"/>
              <w:jc w:val="left"/>
              <w:rPr>
                <w:rFonts w:hAnsi="宋体"/>
                <w:b/>
                <w:color w:val="000000"/>
                <w:kern w:val="0"/>
                <w:sz w:val="24"/>
              </w:rPr>
            </w:pPr>
            <w:r>
              <w:rPr>
                <w:rFonts w:hint="eastAsia"/>
                <w:b/>
                <w:color w:val="000000"/>
              </w:rPr>
              <w:t>3、</w:t>
            </w:r>
            <w:r>
              <w:rPr>
                <w:rFonts w:hint="eastAsia"/>
                <w:b/>
                <w:bCs/>
                <w:sz w:val="24"/>
              </w:rPr>
              <w:t>与</w:t>
            </w:r>
            <w:r>
              <w:rPr>
                <w:rFonts w:hint="eastAsia" w:hAnsi="宋体"/>
                <w:b/>
                <w:color w:val="000000"/>
                <w:kern w:val="0"/>
                <w:sz w:val="24"/>
              </w:rPr>
              <w:t>《中共安徽省委安徽省人民政府关于全面打造水清岸绿产业优美丽长江（安徽）经济带的实施意见（升级版）》（皖发〔</w:t>
            </w:r>
            <w:r>
              <w:rPr>
                <w:rFonts w:hAnsi="宋体"/>
                <w:b/>
                <w:color w:val="000000"/>
                <w:kern w:val="0"/>
                <w:sz w:val="24"/>
              </w:rPr>
              <w:t>2021</w:t>
            </w:r>
            <w:r>
              <w:rPr>
                <w:rFonts w:hint="eastAsia" w:hAnsi="宋体"/>
                <w:b/>
                <w:color w:val="000000"/>
                <w:kern w:val="0"/>
                <w:sz w:val="24"/>
              </w:rPr>
              <w:t>〕</w:t>
            </w:r>
            <w:r>
              <w:rPr>
                <w:rFonts w:hAnsi="宋体"/>
                <w:b/>
                <w:color w:val="000000"/>
                <w:kern w:val="0"/>
                <w:sz w:val="24"/>
              </w:rPr>
              <w:t xml:space="preserve">19 </w:t>
            </w:r>
            <w:r>
              <w:rPr>
                <w:rFonts w:hint="eastAsia" w:hAnsi="宋体"/>
                <w:b/>
                <w:color w:val="000000"/>
                <w:kern w:val="0"/>
                <w:sz w:val="24"/>
              </w:rPr>
              <w:t>号）相符性分析</w:t>
            </w:r>
          </w:p>
          <w:p>
            <w:pPr>
              <w:autoSpaceDE w:val="0"/>
              <w:autoSpaceDN w:val="0"/>
              <w:adjustRightInd w:val="0"/>
              <w:spacing w:line="360" w:lineRule="auto"/>
              <w:ind w:firstLine="480" w:firstLineChars="200"/>
              <w:jc w:val="left"/>
              <w:rPr>
                <w:color w:val="000000"/>
                <w:sz w:val="24"/>
              </w:rPr>
            </w:pPr>
            <w:r>
              <w:rPr>
                <w:color w:val="000000"/>
                <w:sz w:val="24"/>
              </w:rPr>
              <w:t>2021</w:t>
            </w:r>
            <w:r>
              <w:rPr>
                <w:rFonts w:hint="eastAsia"/>
                <w:color w:val="000000"/>
                <w:sz w:val="24"/>
              </w:rPr>
              <w:t>年</w:t>
            </w:r>
            <w:r>
              <w:rPr>
                <w:color w:val="000000"/>
                <w:sz w:val="24"/>
              </w:rPr>
              <w:t>8</w:t>
            </w:r>
            <w:r>
              <w:rPr>
                <w:rFonts w:hint="eastAsia"/>
                <w:color w:val="000000"/>
                <w:sz w:val="24"/>
              </w:rPr>
              <w:t>月</w:t>
            </w:r>
            <w:r>
              <w:rPr>
                <w:color w:val="000000"/>
                <w:sz w:val="24"/>
              </w:rPr>
              <w:t>9</w:t>
            </w:r>
            <w:r>
              <w:rPr>
                <w:rFonts w:hint="eastAsia"/>
                <w:color w:val="000000"/>
                <w:sz w:val="24"/>
              </w:rPr>
              <w:t>日中共安徽省委、省政府印发了《关于打造水清岸绿产业优美丽长江（安徽）经济带的实施意见（升级版）》。《意见》指出了打造水更清、岸更绿、天更蓝色和产业更优的美丽长江</w:t>
            </w:r>
            <w:r>
              <w:rPr>
                <w:color w:val="000000"/>
                <w:sz w:val="24"/>
              </w:rPr>
              <w:t>(</w:t>
            </w:r>
            <w:r>
              <w:rPr>
                <w:rFonts w:hint="eastAsia"/>
                <w:color w:val="000000"/>
                <w:sz w:val="24"/>
              </w:rPr>
              <w:t>安徽</w:t>
            </w:r>
            <w:r>
              <w:rPr>
                <w:color w:val="000000"/>
                <w:sz w:val="24"/>
              </w:rPr>
              <w:t>)</w:t>
            </w:r>
            <w:r>
              <w:rPr>
                <w:rFonts w:hint="eastAsia"/>
                <w:color w:val="000000"/>
                <w:sz w:val="24"/>
              </w:rPr>
              <w:t>经济带的思路目标。筑牢</w:t>
            </w:r>
            <w:r>
              <w:rPr>
                <w:color w:val="000000"/>
                <w:sz w:val="24"/>
              </w:rPr>
              <w:t>1</w:t>
            </w:r>
            <w:r>
              <w:rPr>
                <w:rFonts w:hint="eastAsia"/>
                <w:color w:val="000000"/>
                <w:sz w:val="24"/>
              </w:rPr>
              <w:t>公里、</w:t>
            </w:r>
            <w:r>
              <w:rPr>
                <w:color w:val="000000"/>
                <w:sz w:val="24"/>
              </w:rPr>
              <w:t>5</w:t>
            </w:r>
            <w:r>
              <w:rPr>
                <w:rFonts w:hint="eastAsia"/>
                <w:color w:val="000000"/>
                <w:sz w:val="24"/>
              </w:rPr>
              <w:t>公里、</w:t>
            </w:r>
            <w:r>
              <w:rPr>
                <w:color w:val="000000"/>
                <w:sz w:val="24"/>
              </w:rPr>
              <w:t>15</w:t>
            </w:r>
            <w:r>
              <w:rPr>
                <w:rFonts w:hint="eastAsia"/>
                <w:color w:val="000000"/>
                <w:sz w:val="24"/>
              </w:rPr>
              <w:t>公里“三道防线”：</w:t>
            </w:r>
          </w:p>
          <w:p>
            <w:pPr>
              <w:autoSpaceDE w:val="0"/>
              <w:autoSpaceDN w:val="0"/>
              <w:adjustRightInd w:val="0"/>
              <w:spacing w:line="360" w:lineRule="auto"/>
              <w:ind w:firstLine="480" w:firstLineChars="200"/>
              <w:jc w:val="left"/>
              <w:rPr>
                <w:color w:val="000000"/>
                <w:sz w:val="24"/>
              </w:rPr>
            </w:pPr>
            <w:r>
              <w:rPr>
                <w:rFonts w:hint="eastAsia"/>
                <w:color w:val="000000"/>
                <w:sz w:val="24"/>
              </w:rPr>
              <w:t>——沿江</w:t>
            </w:r>
            <w:r>
              <w:rPr>
                <w:color w:val="000000"/>
                <w:sz w:val="24"/>
              </w:rPr>
              <w:t>1</w:t>
            </w:r>
            <w:r>
              <w:rPr>
                <w:rFonts w:hint="eastAsia"/>
                <w:color w:val="000000"/>
                <w:sz w:val="24"/>
              </w:rPr>
              <w:t>公里范围内“五个达标”得到巩固。长江干流及主要支流国家考核断面水质全面实现达标，优良比例达</w:t>
            </w:r>
            <w:r>
              <w:rPr>
                <w:color w:val="000000"/>
                <w:sz w:val="24"/>
              </w:rPr>
              <w:t>100</w:t>
            </w:r>
            <w:r>
              <w:rPr>
                <w:rFonts w:hint="eastAsia"/>
                <w:color w:val="000000"/>
                <w:sz w:val="24"/>
              </w:rPr>
              <w:t>％。长江干流</w:t>
            </w:r>
            <w:r>
              <w:rPr>
                <w:color w:val="000000"/>
                <w:sz w:val="24"/>
              </w:rPr>
              <w:t>40</w:t>
            </w:r>
            <w:r>
              <w:rPr>
                <w:rFonts w:hint="eastAsia"/>
                <w:color w:val="000000"/>
                <w:sz w:val="24"/>
              </w:rPr>
              <w:t>个水功能区水质全部稳定达标，水质达标率</w:t>
            </w:r>
            <w:r>
              <w:rPr>
                <w:color w:val="000000"/>
                <w:sz w:val="24"/>
              </w:rPr>
              <w:t>100%</w:t>
            </w:r>
            <w:r>
              <w:rPr>
                <w:rFonts w:hint="eastAsia"/>
                <w:color w:val="000000"/>
                <w:sz w:val="24"/>
              </w:rPr>
              <w:t>，湿地全面保护。沿江</w:t>
            </w:r>
            <w:r>
              <w:rPr>
                <w:color w:val="000000"/>
                <w:sz w:val="24"/>
              </w:rPr>
              <w:t>5</w:t>
            </w:r>
            <w:r>
              <w:rPr>
                <w:rFonts w:hint="eastAsia"/>
                <w:color w:val="000000"/>
                <w:sz w:val="24"/>
              </w:rPr>
              <w:t>市细颗粒物（</w:t>
            </w:r>
            <w:r>
              <w:rPr>
                <w:color w:val="000000"/>
                <w:sz w:val="24"/>
              </w:rPr>
              <w:t>PM2.5)</w:t>
            </w:r>
            <w:r>
              <w:rPr>
                <w:rFonts w:hint="eastAsia"/>
                <w:color w:val="000000"/>
                <w:sz w:val="24"/>
              </w:rPr>
              <w:t>指标国家考核要求全面达标。应绿尽绿全面达标，宜林地段绿化率达</w:t>
            </w:r>
            <w:r>
              <w:rPr>
                <w:color w:val="000000"/>
                <w:sz w:val="24"/>
              </w:rPr>
              <w:t>100</w:t>
            </w:r>
            <w:r>
              <w:rPr>
                <w:rFonts w:hint="eastAsia"/>
                <w:color w:val="000000"/>
                <w:sz w:val="24"/>
              </w:rPr>
              <w:t>％。不符合环保和安全要求的重化工、重污染企业，全部依法搬迁实现达标。</w:t>
            </w:r>
          </w:p>
          <w:p>
            <w:pPr>
              <w:autoSpaceDE w:val="0"/>
              <w:autoSpaceDN w:val="0"/>
              <w:adjustRightInd w:val="0"/>
              <w:spacing w:line="360" w:lineRule="auto"/>
              <w:ind w:firstLine="480" w:firstLineChars="200"/>
              <w:jc w:val="left"/>
              <w:rPr>
                <w:color w:val="000000"/>
                <w:sz w:val="24"/>
              </w:rPr>
            </w:pPr>
            <w:r>
              <w:rPr>
                <w:rFonts w:hint="eastAsia"/>
                <w:color w:val="000000"/>
                <w:sz w:val="24"/>
              </w:rPr>
              <w:t>——沿江</w:t>
            </w:r>
            <w:r>
              <w:rPr>
                <w:color w:val="000000"/>
                <w:sz w:val="24"/>
              </w:rPr>
              <w:t>5</w:t>
            </w:r>
            <w:r>
              <w:rPr>
                <w:rFonts w:hint="eastAsia"/>
                <w:color w:val="000000"/>
                <w:sz w:val="24"/>
              </w:rPr>
              <w:t>公里范围内“五个一律”得到坚持。畜禽养殖和“三网”水产养殖问题一律整改到位，实现畜禽养殖废弃物资源化利用。</w:t>
            </w:r>
            <w:r>
              <w:rPr>
                <w:color w:val="000000"/>
                <w:sz w:val="24"/>
              </w:rPr>
              <w:t>25</w:t>
            </w:r>
            <w:r>
              <w:rPr>
                <w:rFonts w:hint="eastAsia"/>
                <w:color w:val="000000"/>
                <w:sz w:val="24"/>
              </w:rPr>
              <w:t>度以上坡耕地一律依法依规退耕还林还草，实现植被全覆盖。在建重化工项目一律对标评估，环保和安全不能达标的全部暂停建设，依法依规整改或搬迁。现有重化工企业一律实施提标改造，达不到最新环保和安全要求的，依法依规搬迁或转型。“散乱污”企业一律依法依规处置，坚决关停取缔一批、整改提升一批、搬迁入园一批。</w:t>
            </w:r>
          </w:p>
          <w:p>
            <w:pPr>
              <w:autoSpaceDE w:val="0"/>
              <w:autoSpaceDN w:val="0"/>
              <w:adjustRightInd w:val="0"/>
              <w:spacing w:line="360" w:lineRule="auto"/>
              <w:ind w:firstLine="480" w:firstLineChars="200"/>
              <w:jc w:val="left"/>
              <w:rPr>
                <w:color w:val="000000"/>
                <w:sz w:val="24"/>
              </w:rPr>
            </w:pPr>
            <w:r>
              <w:rPr>
                <w:rFonts w:hint="eastAsia"/>
                <w:color w:val="000000"/>
                <w:sz w:val="24"/>
              </w:rPr>
              <w:t>——沿江</w:t>
            </w:r>
            <w:r>
              <w:rPr>
                <w:color w:val="000000"/>
                <w:sz w:val="24"/>
              </w:rPr>
              <w:t>15</w:t>
            </w:r>
            <w:r>
              <w:rPr>
                <w:rFonts w:hint="eastAsia"/>
                <w:color w:val="000000"/>
                <w:sz w:val="24"/>
              </w:rPr>
              <w:t>公里范围内“五个合规”得到提升。现有污水处理厂出水水质全面合规，全部达到一级</w:t>
            </w:r>
            <w:r>
              <w:rPr>
                <w:color w:val="000000"/>
                <w:sz w:val="24"/>
              </w:rPr>
              <w:t>A</w:t>
            </w:r>
            <w:r>
              <w:rPr>
                <w:rFonts w:hint="eastAsia"/>
                <w:color w:val="000000"/>
                <w:sz w:val="24"/>
              </w:rPr>
              <w:t>排放标准，设区市污泥无害化处置率达到</w:t>
            </w:r>
            <w:r>
              <w:rPr>
                <w:color w:val="000000"/>
                <w:sz w:val="24"/>
              </w:rPr>
              <w:t>95</w:t>
            </w:r>
            <w:r>
              <w:rPr>
                <w:rFonts w:hint="eastAsia"/>
                <w:color w:val="000000"/>
                <w:sz w:val="24"/>
              </w:rPr>
              <w:t>％以上。城市黑臭水体治理全面合规，透明度、溶解氧、氧化还原电位、氨氮等指标和周边群众满意度达到国家规定要求，实现长制久清。规模畜禽养殖场粪污处理设施装配排放合规，粪污处理设施装配率达</w:t>
            </w:r>
            <w:r>
              <w:rPr>
                <w:color w:val="000000"/>
                <w:sz w:val="24"/>
              </w:rPr>
              <w:t>100%</w:t>
            </w:r>
            <w:r>
              <w:rPr>
                <w:rFonts w:hint="eastAsia"/>
                <w:color w:val="000000"/>
                <w:sz w:val="24"/>
              </w:rPr>
              <w:t>，畜禽粪污综合利用率达</w:t>
            </w:r>
            <w:r>
              <w:rPr>
                <w:color w:val="000000"/>
                <w:sz w:val="24"/>
              </w:rPr>
              <w:t>85</w:t>
            </w:r>
            <w:r>
              <w:rPr>
                <w:rFonts w:hint="eastAsia"/>
                <w:color w:val="000000"/>
                <w:sz w:val="24"/>
              </w:rPr>
              <w:t>％以上。新建项目全部合规，环保和安全达标，工艺技术和装备水平行业先进，产品处于产业链、价值链中高端。工业园区优化整合全面合规，不合规的园区全部整治清理，打造主业突出、特色鲜明、竞争力强、绿色发展的产业集聚区。</w:t>
            </w:r>
          </w:p>
          <w:p>
            <w:pPr>
              <w:autoSpaceDE w:val="0"/>
              <w:autoSpaceDN w:val="0"/>
              <w:adjustRightInd w:val="0"/>
              <w:spacing w:line="360" w:lineRule="auto"/>
              <w:ind w:firstLine="480" w:firstLineChars="200"/>
              <w:jc w:val="left"/>
              <w:rPr>
                <w:b/>
                <w:bCs/>
                <w:color w:val="000000"/>
                <w:sz w:val="24"/>
              </w:rPr>
            </w:pPr>
            <w:r>
              <w:rPr>
                <w:sz w:val="24"/>
              </w:rPr>
              <w:t>本项目</w:t>
            </w:r>
            <w:r>
              <w:rPr>
                <w:color w:val="auto"/>
                <w:sz w:val="24"/>
              </w:rPr>
              <w:t>距离长江</w:t>
            </w:r>
            <w:r>
              <w:rPr>
                <w:rFonts w:hint="eastAsia"/>
                <w:color w:val="auto"/>
                <w:sz w:val="24"/>
                <w:lang w:val="en-US" w:eastAsia="zh-CN"/>
              </w:rPr>
              <w:t>2.4</w:t>
            </w:r>
            <w:r>
              <w:rPr>
                <w:color w:val="auto"/>
                <w:sz w:val="24"/>
              </w:rPr>
              <w:t>公里</w:t>
            </w:r>
            <w:r>
              <w:rPr>
                <w:rFonts w:hint="eastAsia"/>
                <w:color w:val="000000"/>
                <w:sz w:val="24"/>
              </w:rPr>
              <w:t>，位于《意见》中“三道防线”在1公里范围之外、</w:t>
            </w:r>
            <w:r>
              <w:rPr>
                <w:color w:val="000000"/>
                <w:sz w:val="24"/>
              </w:rPr>
              <w:t>5</w:t>
            </w:r>
            <w:r>
              <w:rPr>
                <w:rFonts w:hint="eastAsia"/>
                <w:color w:val="000000"/>
                <w:sz w:val="24"/>
              </w:rPr>
              <w:t>公里范围之内。项目建成后将按照环保和安全有关要求进行生产，环保和安全能够确保达标，工艺技术和装备水平行业先进，项目产品为机制砂生产。项目建成后将严格按照省委、省政府提出的全面落实打造水清、岸绿、产业优的美丽长江（安徽）经济带的重要精神，严格管理，不断加强大气、水环境保护与治理，提高环境风险防控和环境监测能力，为实现水清、岸绿、产业优的美丽长江做出企业应有的努力。符合《中共安徽省委安徽省人民政府关于全面打造水清岸绿产业优美丽长江（安徽）经济带的实施意见（升级版）》（皖发〔</w:t>
            </w:r>
            <w:r>
              <w:rPr>
                <w:color w:val="000000"/>
                <w:sz w:val="24"/>
              </w:rPr>
              <w:t>2021</w:t>
            </w:r>
            <w:r>
              <w:rPr>
                <w:rFonts w:hint="eastAsia"/>
                <w:color w:val="000000"/>
                <w:sz w:val="24"/>
              </w:rPr>
              <w:t>〕</w:t>
            </w:r>
            <w:r>
              <w:rPr>
                <w:color w:val="000000"/>
                <w:sz w:val="24"/>
              </w:rPr>
              <w:t>19</w:t>
            </w:r>
            <w:r>
              <w:rPr>
                <w:rFonts w:hint="eastAsia"/>
                <w:color w:val="000000"/>
                <w:sz w:val="24"/>
              </w:rPr>
              <w:t>号）的有关精神。</w:t>
            </w:r>
          </w:p>
          <w:p>
            <w:pPr>
              <w:spacing w:line="340" w:lineRule="auto"/>
              <w:rPr>
                <w:rFonts w:hint="eastAsia"/>
                <w:b/>
                <w:color w:val="000000"/>
                <w:sz w:val="24"/>
              </w:rPr>
            </w:pPr>
            <w:r>
              <w:rPr>
                <w:rFonts w:hint="eastAsia"/>
                <w:b/>
                <w:color w:val="000000"/>
                <w:sz w:val="24"/>
              </w:rPr>
              <w:t>4、与《中华人民共和国长江保护法》相符性分析</w:t>
            </w:r>
          </w:p>
          <w:p>
            <w:pPr>
              <w:autoSpaceDE w:val="0"/>
              <w:autoSpaceDN w:val="0"/>
              <w:spacing w:before="120" w:beforeLines="50"/>
              <w:ind w:firstLine="482" w:firstLineChars="200"/>
              <w:jc w:val="center"/>
              <w:rPr>
                <w:rFonts w:hint="eastAsia" w:ascii="Times New Roman" w:hAnsi="宋体" w:cs="Times New Roman"/>
                <w:b/>
                <w:color w:val="000000"/>
                <w:kern w:val="0"/>
                <w:sz w:val="24"/>
              </w:rPr>
            </w:pPr>
            <w:r>
              <w:rPr>
                <w:rFonts w:hint="eastAsia" w:ascii="Times New Roman" w:hAnsi="宋体" w:cs="Times New Roman"/>
                <w:b/>
                <w:color w:val="000000"/>
                <w:kern w:val="0"/>
                <w:sz w:val="24"/>
              </w:rPr>
              <w:t>表 1-4 与《中华人民共和国长江保护法》要求相符性分析</w:t>
            </w:r>
          </w:p>
          <w:tbl>
            <w:tblPr>
              <w:tblStyle w:val="26"/>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38"/>
              <w:gridCol w:w="4406"/>
              <w:gridCol w:w="1886"/>
              <w:gridCol w:w="72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435" w:type="dxa"/>
                  <w:vAlign w:val="center"/>
                </w:tcPr>
                <w:p>
                  <w:pPr>
                    <w:autoSpaceDE w:val="0"/>
                    <w:autoSpaceDN w:val="0"/>
                    <w:spacing w:line="360" w:lineRule="auto"/>
                    <w:jc w:val="center"/>
                    <w:rPr>
                      <w:rFonts w:hAnsi="宋体"/>
                      <w:b/>
                      <w:color w:val="000000"/>
                      <w:kern w:val="0"/>
                      <w:szCs w:val="21"/>
                    </w:rPr>
                  </w:pPr>
                  <w:r>
                    <w:rPr>
                      <w:rFonts w:hAnsi="宋体"/>
                      <w:b/>
                      <w:color w:val="000000"/>
                      <w:kern w:val="0"/>
                      <w:szCs w:val="21"/>
                    </w:rPr>
                    <w:t>序号</w:t>
                  </w:r>
                </w:p>
              </w:tc>
              <w:tc>
                <w:tcPr>
                  <w:tcW w:w="4380" w:type="dxa"/>
                  <w:vAlign w:val="center"/>
                </w:tcPr>
                <w:p>
                  <w:pPr>
                    <w:autoSpaceDE w:val="0"/>
                    <w:autoSpaceDN w:val="0"/>
                    <w:spacing w:line="360" w:lineRule="auto"/>
                    <w:jc w:val="center"/>
                    <w:rPr>
                      <w:rFonts w:hint="default" w:hAnsi="宋体" w:eastAsia="宋体"/>
                      <w:b/>
                      <w:color w:val="000000"/>
                      <w:kern w:val="0"/>
                      <w:szCs w:val="21"/>
                      <w:lang w:val="en-US" w:eastAsia="zh-CN"/>
                    </w:rPr>
                  </w:pPr>
                  <w:r>
                    <w:rPr>
                      <w:rFonts w:hint="eastAsia" w:hAnsi="宋体"/>
                      <w:b/>
                      <w:color w:val="000000"/>
                      <w:kern w:val="0"/>
                      <w:szCs w:val="21"/>
                      <w:lang w:val="en-US" w:eastAsia="zh-CN"/>
                    </w:rPr>
                    <w:t>文件要求</w:t>
                  </w:r>
                </w:p>
              </w:tc>
              <w:tc>
                <w:tcPr>
                  <w:tcW w:w="1875" w:type="dxa"/>
                  <w:vAlign w:val="center"/>
                </w:tcPr>
                <w:p>
                  <w:pPr>
                    <w:autoSpaceDE w:val="0"/>
                    <w:autoSpaceDN w:val="0"/>
                    <w:spacing w:line="360" w:lineRule="auto"/>
                    <w:jc w:val="center"/>
                    <w:rPr>
                      <w:rFonts w:hAnsi="宋体"/>
                      <w:b/>
                      <w:color w:val="000000"/>
                      <w:kern w:val="0"/>
                      <w:szCs w:val="21"/>
                    </w:rPr>
                  </w:pPr>
                  <w:r>
                    <w:rPr>
                      <w:rFonts w:hint="eastAsia" w:hAnsi="宋体"/>
                      <w:b/>
                      <w:color w:val="000000"/>
                      <w:kern w:val="0"/>
                      <w:szCs w:val="21"/>
                    </w:rPr>
                    <w:t>本项目相符性分析</w:t>
                  </w:r>
                </w:p>
              </w:tc>
              <w:tc>
                <w:tcPr>
                  <w:tcW w:w="720" w:type="dxa"/>
                  <w:vAlign w:val="center"/>
                </w:tcPr>
                <w:p>
                  <w:pPr>
                    <w:autoSpaceDE w:val="0"/>
                    <w:autoSpaceDN w:val="0"/>
                    <w:spacing w:line="360" w:lineRule="auto"/>
                    <w:jc w:val="center"/>
                    <w:rPr>
                      <w:rFonts w:hAnsi="宋体"/>
                      <w:b/>
                      <w:color w:val="000000"/>
                      <w:kern w:val="0"/>
                      <w:szCs w:val="21"/>
                    </w:rPr>
                  </w:pPr>
                  <w:r>
                    <w:rPr>
                      <w:rFonts w:hAnsi="宋体"/>
                      <w:b/>
                      <w:color w:val="000000"/>
                      <w:kern w:val="0"/>
                      <w:szCs w:val="21"/>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15" w:hRule="atLeast"/>
              </w:trPr>
              <w:tc>
                <w:tcPr>
                  <w:tcW w:w="435" w:type="dxa"/>
                  <w:vAlign w:val="center"/>
                </w:tcPr>
                <w:p>
                  <w:pPr>
                    <w:autoSpaceDE w:val="0"/>
                    <w:autoSpaceDN w:val="0"/>
                    <w:jc w:val="center"/>
                    <w:rPr>
                      <w:rFonts w:hAnsi="宋体"/>
                      <w:color w:val="000000"/>
                      <w:kern w:val="0"/>
                      <w:szCs w:val="21"/>
                    </w:rPr>
                  </w:pPr>
                  <w:r>
                    <w:rPr>
                      <w:rFonts w:hint="eastAsia" w:hAnsi="宋体"/>
                      <w:color w:val="000000"/>
                      <w:kern w:val="0"/>
                      <w:szCs w:val="21"/>
                    </w:rPr>
                    <w:t>1</w:t>
                  </w:r>
                </w:p>
              </w:tc>
              <w:tc>
                <w:tcPr>
                  <w:tcW w:w="4380" w:type="dxa"/>
                  <w:vAlign w:val="center"/>
                </w:tcPr>
                <w:p>
                  <w:pPr>
                    <w:autoSpaceDE w:val="0"/>
                    <w:autoSpaceDN w:val="0"/>
                    <w:jc w:val="center"/>
                    <w:rPr>
                      <w:rFonts w:hint="eastAsia" w:hAnsi="宋体"/>
                      <w:color w:val="000000"/>
                      <w:kern w:val="0"/>
                      <w:szCs w:val="21"/>
                    </w:rPr>
                  </w:pPr>
                  <w:r>
                    <w:rPr>
                      <w:rFonts w:hint="eastAsia" w:hAnsi="宋体"/>
                      <w:color w:val="000000"/>
                      <w:kern w:val="0"/>
                      <w:szCs w:val="21"/>
                    </w:rPr>
                    <w:t>第二十六条 国家对长江流域河湖岸线实施</w:t>
                  </w:r>
                </w:p>
                <w:p>
                  <w:pPr>
                    <w:autoSpaceDE w:val="0"/>
                    <w:autoSpaceDN w:val="0"/>
                    <w:jc w:val="center"/>
                    <w:rPr>
                      <w:rFonts w:hint="eastAsia" w:hAnsi="宋体"/>
                      <w:color w:val="000000"/>
                      <w:kern w:val="0"/>
                      <w:szCs w:val="21"/>
                    </w:rPr>
                  </w:pPr>
                  <w:r>
                    <w:rPr>
                      <w:rFonts w:hint="eastAsia" w:hAnsi="宋体"/>
                      <w:color w:val="000000"/>
                      <w:kern w:val="0"/>
                      <w:szCs w:val="21"/>
                    </w:rPr>
                    <w:t>特殊管制。国家长江流域协调机制统筹协调</w:t>
                  </w:r>
                </w:p>
                <w:p>
                  <w:pPr>
                    <w:autoSpaceDE w:val="0"/>
                    <w:autoSpaceDN w:val="0"/>
                    <w:jc w:val="center"/>
                    <w:rPr>
                      <w:rFonts w:hint="eastAsia" w:hAnsi="宋体"/>
                      <w:color w:val="000000"/>
                      <w:kern w:val="0"/>
                      <w:szCs w:val="21"/>
                    </w:rPr>
                  </w:pPr>
                  <w:r>
                    <w:rPr>
                      <w:rFonts w:hint="eastAsia" w:hAnsi="宋体"/>
                      <w:color w:val="000000"/>
                      <w:kern w:val="0"/>
                      <w:szCs w:val="21"/>
                    </w:rPr>
                    <w:t>国务院自然资源、水行政、生态环境、住房</w:t>
                  </w:r>
                </w:p>
                <w:p>
                  <w:pPr>
                    <w:autoSpaceDE w:val="0"/>
                    <w:autoSpaceDN w:val="0"/>
                    <w:jc w:val="center"/>
                    <w:rPr>
                      <w:rFonts w:hint="eastAsia" w:hAnsi="宋体"/>
                      <w:color w:val="000000"/>
                      <w:kern w:val="0"/>
                      <w:szCs w:val="21"/>
                    </w:rPr>
                  </w:pPr>
                  <w:r>
                    <w:rPr>
                      <w:rFonts w:hint="eastAsia" w:hAnsi="宋体"/>
                      <w:color w:val="000000"/>
                      <w:kern w:val="0"/>
                      <w:szCs w:val="21"/>
                    </w:rPr>
                    <w:t>和城乡建设、农业农村、交通运输、林业和</w:t>
                  </w:r>
                </w:p>
                <w:p>
                  <w:pPr>
                    <w:autoSpaceDE w:val="0"/>
                    <w:autoSpaceDN w:val="0"/>
                    <w:jc w:val="center"/>
                    <w:rPr>
                      <w:rFonts w:hint="eastAsia" w:hAnsi="宋体"/>
                      <w:color w:val="000000"/>
                      <w:kern w:val="0"/>
                      <w:szCs w:val="21"/>
                    </w:rPr>
                  </w:pPr>
                  <w:r>
                    <w:rPr>
                      <w:rFonts w:hint="eastAsia" w:hAnsi="宋体"/>
                      <w:color w:val="000000"/>
                      <w:kern w:val="0"/>
                      <w:szCs w:val="21"/>
                    </w:rPr>
                    <w:t>草原等部门和长江流域省级人民政府划定河</w:t>
                  </w:r>
                </w:p>
                <w:p>
                  <w:pPr>
                    <w:autoSpaceDE w:val="0"/>
                    <w:autoSpaceDN w:val="0"/>
                    <w:jc w:val="center"/>
                    <w:rPr>
                      <w:rFonts w:hint="eastAsia" w:hAnsi="宋体"/>
                      <w:color w:val="000000"/>
                      <w:kern w:val="0"/>
                      <w:szCs w:val="21"/>
                    </w:rPr>
                  </w:pPr>
                  <w:r>
                    <w:rPr>
                      <w:rFonts w:hint="eastAsia" w:hAnsi="宋体"/>
                      <w:color w:val="000000"/>
                      <w:kern w:val="0"/>
                      <w:szCs w:val="21"/>
                    </w:rPr>
                    <w:t>湖岸线保护范围，制定河湖岸线保护规划，</w:t>
                  </w:r>
                </w:p>
                <w:p>
                  <w:pPr>
                    <w:autoSpaceDE w:val="0"/>
                    <w:autoSpaceDN w:val="0"/>
                    <w:jc w:val="center"/>
                    <w:rPr>
                      <w:rFonts w:hint="eastAsia" w:hAnsi="宋体"/>
                      <w:color w:val="000000"/>
                      <w:kern w:val="0"/>
                      <w:szCs w:val="21"/>
                    </w:rPr>
                  </w:pPr>
                  <w:r>
                    <w:rPr>
                      <w:rFonts w:hint="eastAsia" w:hAnsi="宋体"/>
                      <w:color w:val="000000"/>
                      <w:kern w:val="0"/>
                      <w:szCs w:val="21"/>
                    </w:rPr>
                    <w:t>严格控制岸线开发建设，促进岸线合理高效</w:t>
                  </w:r>
                </w:p>
                <w:p>
                  <w:pPr>
                    <w:autoSpaceDE w:val="0"/>
                    <w:autoSpaceDN w:val="0"/>
                    <w:jc w:val="center"/>
                    <w:rPr>
                      <w:rFonts w:hint="eastAsia" w:hAnsi="宋体"/>
                      <w:color w:val="000000"/>
                      <w:kern w:val="0"/>
                      <w:szCs w:val="21"/>
                    </w:rPr>
                  </w:pPr>
                  <w:r>
                    <w:rPr>
                      <w:rFonts w:hint="eastAsia" w:hAnsi="宋体"/>
                      <w:color w:val="000000"/>
                      <w:kern w:val="0"/>
                      <w:szCs w:val="21"/>
                    </w:rPr>
                    <w:t>利用。</w:t>
                  </w:r>
                </w:p>
                <w:p>
                  <w:pPr>
                    <w:autoSpaceDE w:val="0"/>
                    <w:autoSpaceDN w:val="0"/>
                    <w:jc w:val="center"/>
                    <w:rPr>
                      <w:rFonts w:hint="eastAsia" w:hAnsi="宋体"/>
                      <w:color w:val="000000"/>
                      <w:kern w:val="0"/>
                      <w:szCs w:val="21"/>
                    </w:rPr>
                  </w:pPr>
                  <w:r>
                    <w:rPr>
                      <w:rFonts w:hint="eastAsia" w:hAnsi="宋体"/>
                      <w:color w:val="000000"/>
                      <w:kern w:val="0"/>
                      <w:szCs w:val="21"/>
                    </w:rPr>
                    <w:t>禁止在长江干支流岸线一公里范围内新建、</w:t>
                  </w:r>
                </w:p>
                <w:p>
                  <w:pPr>
                    <w:autoSpaceDE w:val="0"/>
                    <w:autoSpaceDN w:val="0"/>
                    <w:jc w:val="center"/>
                    <w:rPr>
                      <w:rFonts w:hint="eastAsia" w:hAnsi="宋体"/>
                      <w:color w:val="000000"/>
                      <w:kern w:val="0"/>
                      <w:szCs w:val="21"/>
                    </w:rPr>
                  </w:pPr>
                  <w:r>
                    <w:rPr>
                      <w:rFonts w:hint="eastAsia" w:hAnsi="宋体"/>
                      <w:color w:val="000000"/>
                      <w:kern w:val="0"/>
                      <w:szCs w:val="21"/>
                    </w:rPr>
                    <w:t>扩建化工园区和化工项目。</w:t>
                  </w:r>
                </w:p>
                <w:p>
                  <w:pPr>
                    <w:autoSpaceDE w:val="0"/>
                    <w:autoSpaceDN w:val="0"/>
                    <w:jc w:val="center"/>
                    <w:rPr>
                      <w:rFonts w:hint="eastAsia" w:hAnsi="宋体"/>
                      <w:color w:val="000000"/>
                      <w:kern w:val="0"/>
                      <w:szCs w:val="21"/>
                    </w:rPr>
                  </w:pPr>
                  <w:r>
                    <w:rPr>
                      <w:rFonts w:hint="eastAsia" w:hAnsi="宋体"/>
                      <w:color w:val="000000"/>
                      <w:kern w:val="0"/>
                      <w:szCs w:val="21"/>
                    </w:rPr>
                    <w:t>禁止在长江干流岸线三公里范围内和重要支</w:t>
                  </w:r>
                </w:p>
                <w:p>
                  <w:pPr>
                    <w:autoSpaceDE w:val="0"/>
                    <w:autoSpaceDN w:val="0"/>
                    <w:jc w:val="center"/>
                    <w:rPr>
                      <w:rFonts w:hint="eastAsia" w:hAnsi="宋体"/>
                      <w:color w:val="000000"/>
                      <w:kern w:val="0"/>
                      <w:szCs w:val="21"/>
                    </w:rPr>
                  </w:pPr>
                  <w:r>
                    <w:rPr>
                      <w:rFonts w:hint="eastAsia" w:hAnsi="宋体"/>
                      <w:color w:val="000000"/>
                      <w:kern w:val="0"/>
                      <w:szCs w:val="21"/>
                    </w:rPr>
                    <w:t>流岸线一公里范围内新建、改建、扩建尾矿</w:t>
                  </w:r>
                </w:p>
                <w:p>
                  <w:pPr>
                    <w:autoSpaceDE w:val="0"/>
                    <w:autoSpaceDN w:val="0"/>
                    <w:jc w:val="center"/>
                    <w:rPr>
                      <w:rFonts w:hint="eastAsia" w:hAnsi="宋体"/>
                      <w:color w:val="000000"/>
                      <w:kern w:val="0"/>
                      <w:szCs w:val="21"/>
                    </w:rPr>
                  </w:pPr>
                  <w:r>
                    <w:rPr>
                      <w:rFonts w:hint="eastAsia" w:hAnsi="宋体"/>
                      <w:color w:val="000000"/>
                      <w:kern w:val="0"/>
                      <w:szCs w:val="21"/>
                    </w:rPr>
                    <w:t>库；但是以提升安全、生态环境保护水平为</w:t>
                  </w:r>
                </w:p>
                <w:p>
                  <w:pPr>
                    <w:autoSpaceDE w:val="0"/>
                    <w:autoSpaceDN w:val="0"/>
                    <w:jc w:val="center"/>
                    <w:rPr>
                      <w:rFonts w:hAnsi="宋体"/>
                      <w:color w:val="000000"/>
                      <w:kern w:val="0"/>
                      <w:szCs w:val="21"/>
                    </w:rPr>
                  </w:pPr>
                  <w:r>
                    <w:rPr>
                      <w:rFonts w:hint="eastAsia" w:hAnsi="宋体"/>
                      <w:color w:val="000000"/>
                      <w:kern w:val="0"/>
                      <w:szCs w:val="21"/>
                    </w:rPr>
                    <w:t>目的的改建除外</w:t>
                  </w:r>
                </w:p>
              </w:tc>
              <w:tc>
                <w:tcPr>
                  <w:tcW w:w="1875" w:type="dxa"/>
                  <w:vAlign w:val="center"/>
                </w:tcPr>
                <w:p>
                  <w:pPr>
                    <w:autoSpaceDE w:val="0"/>
                    <w:autoSpaceDN w:val="0"/>
                    <w:jc w:val="center"/>
                    <w:rPr>
                      <w:rFonts w:hAnsi="宋体"/>
                      <w:color w:val="0D0D0D" w:themeColor="text1" w:themeTint="F2"/>
                      <w:kern w:val="0"/>
                      <w:szCs w:val="21"/>
                      <w14:textFill>
                        <w14:solidFill>
                          <w14:schemeClr w14:val="tx1">
                            <w14:lumMod w14:val="95000"/>
                            <w14:lumOff w14:val="5000"/>
                          </w14:schemeClr>
                        </w14:solidFill>
                      </w14:textFill>
                    </w:rPr>
                  </w:pPr>
                  <w:r>
                    <w:rPr>
                      <w:rFonts w:hint="eastAsia" w:ascii="Times New Roman" w:hAnsi="宋体" w:cs="Times New Roman"/>
                      <w:color w:val="000000"/>
                      <w:kern w:val="0"/>
                      <w:szCs w:val="21"/>
                    </w:rPr>
                    <w:t>本项目位于</w:t>
                  </w:r>
                  <w:r>
                    <w:rPr>
                      <w:rFonts w:hint="default" w:ascii="Times New Roman" w:hAnsi="宋体" w:cs="Times New Roman"/>
                      <w:color w:val="000000"/>
                      <w:kern w:val="0"/>
                      <w:szCs w:val="21"/>
                    </w:rPr>
                    <w:t>三山区经济开发区春洲路2号</w:t>
                  </w:r>
                  <w:r>
                    <w:rPr>
                      <w:rFonts w:hint="eastAsia" w:ascii="Times New Roman" w:hAnsi="宋体" w:cs="Times New Roman"/>
                      <w:color w:val="000000"/>
                      <w:kern w:val="0"/>
                      <w:szCs w:val="21"/>
                    </w:rPr>
                    <w:t>，距离长江约</w:t>
                  </w:r>
                  <w:r>
                    <w:rPr>
                      <w:rFonts w:hint="eastAsia" w:ascii="Times New Roman" w:hAnsi="宋体" w:cs="Times New Roman"/>
                      <w:color w:val="000000"/>
                      <w:kern w:val="0"/>
                      <w:szCs w:val="21"/>
                      <w:lang w:val="en-US" w:eastAsia="zh-CN"/>
                    </w:rPr>
                    <w:t>2.4公里</w:t>
                  </w:r>
                  <w:r>
                    <w:rPr>
                      <w:rFonts w:hint="eastAsia" w:ascii="Times New Roman" w:hAnsi="宋体" w:cs="Times New Roman"/>
                      <w:color w:val="000000"/>
                      <w:kern w:val="0"/>
                      <w:szCs w:val="21"/>
                    </w:rPr>
                    <w:t>，</w:t>
                  </w:r>
                  <w:r>
                    <w:rPr>
                      <w:rFonts w:hint="eastAsia" w:ascii="Times New Roman" w:hAnsi="宋体" w:cs="Times New Roman"/>
                      <w:color w:val="000000"/>
                      <w:kern w:val="0"/>
                      <w:szCs w:val="21"/>
                      <w:lang w:val="en-US" w:eastAsia="zh-CN"/>
                    </w:rPr>
                    <w:t>属于长江干流岸线三公里范围内，但本项目不属于尾矿库的项目</w:t>
                  </w:r>
                </w:p>
              </w:tc>
              <w:tc>
                <w:tcPr>
                  <w:tcW w:w="720" w:type="dxa"/>
                  <w:vAlign w:val="center"/>
                </w:tcPr>
                <w:p>
                  <w:pPr>
                    <w:autoSpaceDE w:val="0"/>
                    <w:autoSpaceDN w:val="0"/>
                    <w:spacing w:line="360" w:lineRule="auto"/>
                    <w:jc w:val="center"/>
                    <w:rPr>
                      <w:rFonts w:hAnsi="宋体"/>
                      <w:color w:val="000000"/>
                      <w:kern w:val="0"/>
                      <w:szCs w:val="21"/>
                    </w:rPr>
                  </w:pPr>
                  <w:r>
                    <w:rPr>
                      <w:rFonts w:hAnsi="宋体"/>
                      <w:color w:val="000000"/>
                      <w:kern w:val="0"/>
                      <w:szCs w:val="21"/>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95" w:hRule="atLeast"/>
              </w:trPr>
              <w:tc>
                <w:tcPr>
                  <w:tcW w:w="435" w:type="dxa"/>
                  <w:vAlign w:val="center"/>
                </w:tcPr>
                <w:p>
                  <w:pPr>
                    <w:autoSpaceDE w:val="0"/>
                    <w:autoSpaceDN w:val="0"/>
                    <w:jc w:val="center"/>
                    <w:rPr>
                      <w:rFonts w:hAnsi="宋体"/>
                      <w:color w:val="000000"/>
                      <w:kern w:val="0"/>
                      <w:szCs w:val="21"/>
                    </w:rPr>
                  </w:pPr>
                  <w:r>
                    <w:rPr>
                      <w:rFonts w:hint="eastAsia" w:hAnsi="宋体"/>
                      <w:color w:val="000000"/>
                      <w:kern w:val="0"/>
                      <w:szCs w:val="21"/>
                    </w:rPr>
                    <w:t>2</w:t>
                  </w:r>
                </w:p>
              </w:tc>
              <w:tc>
                <w:tcPr>
                  <w:tcW w:w="4380" w:type="dxa"/>
                  <w:vAlign w:val="center"/>
                </w:tcPr>
                <w:p>
                  <w:pPr>
                    <w:autoSpaceDE w:val="0"/>
                    <w:autoSpaceDN w:val="0"/>
                    <w:jc w:val="center"/>
                    <w:rPr>
                      <w:rFonts w:hint="eastAsia" w:hAnsi="宋体"/>
                      <w:color w:val="000000"/>
                      <w:kern w:val="0"/>
                      <w:szCs w:val="21"/>
                    </w:rPr>
                  </w:pPr>
                  <w:r>
                    <w:rPr>
                      <w:rFonts w:hint="eastAsia" w:hAnsi="宋体"/>
                      <w:color w:val="000000"/>
                      <w:kern w:val="0"/>
                      <w:szCs w:val="21"/>
                    </w:rPr>
                    <w:t>第六十六条 长江流域县级以上地方人民政</w:t>
                  </w:r>
                </w:p>
                <w:p>
                  <w:pPr>
                    <w:autoSpaceDE w:val="0"/>
                    <w:autoSpaceDN w:val="0"/>
                    <w:jc w:val="center"/>
                    <w:rPr>
                      <w:rFonts w:hint="eastAsia" w:hAnsi="宋体"/>
                      <w:color w:val="000000"/>
                      <w:kern w:val="0"/>
                      <w:szCs w:val="21"/>
                    </w:rPr>
                  </w:pPr>
                  <w:r>
                    <w:rPr>
                      <w:rFonts w:hint="eastAsia" w:hAnsi="宋体"/>
                      <w:color w:val="000000"/>
                      <w:kern w:val="0"/>
                      <w:szCs w:val="21"/>
                    </w:rPr>
                    <w:t>府应当推动钢铁、石油、化工、有色金属、</w:t>
                  </w:r>
                </w:p>
                <w:p>
                  <w:pPr>
                    <w:autoSpaceDE w:val="0"/>
                    <w:autoSpaceDN w:val="0"/>
                    <w:jc w:val="center"/>
                    <w:rPr>
                      <w:rFonts w:hint="eastAsia" w:hAnsi="宋体"/>
                      <w:color w:val="000000"/>
                      <w:kern w:val="0"/>
                      <w:szCs w:val="21"/>
                    </w:rPr>
                  </w:pPr>
                  <w:r>
                    <w:rPr>
                      <w:rFonts w:hint="eastAsia" w:hAnsi="宋体"/>
                      <w:color w:val="000000"/>
                      <w:kern w:val="0"/>
                      <w:szCs w:val="21"/>
                    </w:rPr>
                    <w:t>建材、船舶等产业升级改造，提升技术装备</w:t>
                  </w:r>
                </w:p>
                <w:p>
                  <w:pPr>
                    <w:autoSpaceDE w:val="0"/>
                    <w:autoSpaceDN w:val="0"/>
                    <w:jc w:val="center"/>
                    <w:rPr>
                      <w:rFonts w:hint="eastAsia" w:hAnsi="宋体"/>
                      <w:color w:val="000000"/>
                      <w:kern w:val="0"/>
                      <w:szCs w:val="21"/>
                    </w:rPr>
                  </w:pPr>
                  <w:r>
                    <w:rPr>
                      <w:rFonts w:hint="eastAsia" w:hAnsi="宋体"/>
                      <w:color w:val="000000"/>
                      <w:kern w:val="0"/>
                      <w:szCs w:val="21"/>
                    </w:rPr>
                    <w:t>水平；推动造纸、制革、电镀、印染、有色</w:t>
                  </w:r>
                </w:p>
                <w:p>
                  <w:pPr>
                    <w:autoSpaceDE w:val="0"/>
                    <w:autoSpaceDN w:val="0"/>
                    <w:jc w:val="center"/>
                    <w:rPr>
                      <w:rFonts w:hint="eastAsia" w:hAnsi="宋体"/>
                      <w:color w:val="000000"/>
                      <w:kern w:val="0"/>
                      <w:szCs w:val="21"/>
                    </w:rPr>
                  </w:pPr>
                  <w:r>
                    <w:rPr>
                      <w:rFonts w:hint="eastAsia" w:hAnsi="宋体"/>
                      <w:color w:val="000000"/>
                      <w:kern w:val="0"/>
                      <w:szCs w:val="21"/>
                    </w:rPr>
                    <w:t>金属、农药、氮肥、焦化、原料药制造等企</w:t>
                  </w:r>
                </w:p>
                <w:p>
                  <w:pPr>
                    <w:autoSpaceDE w:val="0"/>
                    <w:autoSpaceDN w:val="0"/>
                    <w:jc w:val="center"/>
                    <w:rPr>
                      <w:rFonts w:hint="eastAsia" w:hAnsi="宋体"/>
                      <w:color w:val="000000"/>
                      <w:kern w:val="0"/>
                      <w:szCs w:val="21"/>
                    </w:rPr>
                  </w:pPr>
                  <w:r>
                    <w:rPr>
                      <w:rFonts w:hint="eastAsia" w:hAnsi="宋体"/>
                      <w:color w:val="000000"/>
                      <w:kern w:val="0"/>
                      <w:szCs w:val="21"/>
                    </w:rPr>
                    <w:t>业实施清洁化改造。企业应当通过技术创新</w:t>
                  </w:r>
                </w:p>
                <w:p>
                  <w:pPr>
                    <w:autoSpaceDE w:val="0"/>
                    <w:autoSpaceDN w:val="0"/>
                    <w:jc w:val="center"/>
                    <w:rPr>
                      <w:rFonts w:hAnsi="宋体"/>
                      <w:color w:val="000000"/>
                      <w:kern w:val="0"/>
                      <w:szCs w:val="21"/>
                    </w:rPr>
                  </w:pPr>
                  <w:r>
                    <w:rPr>
                      <w:rFonts w:hint="eastAsia" w:hAnsi="宋体"/>
                      <w:color w:val="000000"/>
                      <w:kern w:val="0"/>
                      <w:szCs w:val="21"/>
                    </w:rPr>
                    <w:t>减少资源消耗和污染物排放</w:t>
                  </w:r>
                </w:p>
              </w:tc>
              <w:tc>
                <w:tcPr>
                  <w:tcW w:w="1875" w:type="dxa"/>
                  <w:vAlign w:val="center"/>
                </w:tcPr>
                <w:p>
                  <w:pPr>
                    <w:autoSpaceDE w:val="0"/>
                    <w:autoSpaceDN w:val="0"/>
                    <w:jc w:val="center"/>
                    <w:rPr>
                      <w:color w:val="000000"/>
                      <w:szCs w:val="16"/>
                    </w:rPr>
                  </w:pPr>
                  <w:r>
                    <w:rPr>
                      <w:rFonts w:hint="eastAsia" w:ascii="Times New Roman" w:hAnsi="宋体" w:cs="Times New Roman"/>
                      <w:color w:val="000000"/>
                      <w:kern w:val="0"/>
                      <w:szCs w:val="21"/>
                    </w:rPr>
                    <w:t>企业通过技术创新</w:t>
                  </w:r>
                  <w:r>
                    <w:rPr>
                      <w:rFonts w:hint="default" w:ascii="Times New Roman" w:hAnsi="宋体" w:cs="Times New Roman"/>
                      <w:color w:val="000000"/>
                      <w:kern w:val="0"/>
                      <w:szCs w:val="21"/>
                    </w:rPr>
                    <w:t>减少资源消耗和污染物排放</w:t>
                  </w:r>
                </w:p>
              </w:tc>
              <w:tc>
                <w:tcPr>
                  <w:tcW w:w="720" w:type="dxa"/>
                  <w:vAlign w:val="center"/>
                </w:tcPr>
                <w:p>
                  <w:pPr>
                    <w:autoSpaceDE w:val="0"/>
                    <w:autoSpaceDN w:val="0"/>
                    <w:spacing w:line="360" w:lineRule="auto"/>
                    <w:jc w:val="center"/>
                    <w:rPr>
                      <w:rFonts w:hAnsi="宋体"/>
                      <w:color w:val="000000"/>
                      <w:kern w:val="0"/>
                      <w:szCs w:val="21"/>
                    </w:rPr>
                  </w:pPr>
                  <w:r>
                    <w:rPr>
                      <w:rFonts w:hAnsi="宋体"/>
                      <w:color w:val="000000"/>
                      <w:kern w:val="0"/>
                      <w:szCs w:val="21"/>
                    </w:rPr>
                    <w:t>相符</w:t>
                  </w:r>
                </w:p>
              </w:tc>
            </w:tr>
          </w:tbl>
          <w:p>
            <w:pPr>
              <w:autoSpaceDE w:val="0"/>
              <w:autoSpaceDN w:val="0"/>
              <w:adjustRightInd w:val="0"/>
              <w:spacing w:line="360" w:lineRule="auto"/>
              <w:ind w:firstLine="480" w:firstLineChars="200"/>
              <w:jc w:val="left"/>
              <w:rPr>
                <w:rFonts w:hint="eastAsia" w:ascii="Times New Roman" w:hAnsi="Times New Roman" w:cs="Times New Roman"/>
                <w:color w:val="000000"/>
                <w:sz w:val="24"/>
              </w:rPr>
            </w:pPr>
            <w:r>
              <w:rPr>
                <w:rFonts w:hint="eastAsia" w:ascii="Times New Roman" w:hAnsi="Times New Roman" w:cs="Times New Roman"/>
                <w:color w:val="000000"/>
                <w:sz w:val="24"/>
              </w:rPr>
              <w:t>由上表可知，本项目的建设与《中华人民共和国长江保护法》中要</w:t>
            </w:r>
          </w:p>
          <w:p>
            <w:pPr>
              <w:autoSpaceDE w:val="0"/>
              <w:autoSpaceDN w:val="0"/>
              <w:adjustRightInd w:val="0"/>
              <w:spacing w:line="360" w:lineRule="auto"/>
              <w:jc w:val="left"/>
              <w:rPr>
                <w:rFonts w:hint="eastAsia" w:ascii="Times New Roman" w:hAnsi="Times New Roman" w:cs="Times New Roman"/>
                <w:color w:val="000000"/>
                <w:sz w:val="24"/>
              </w:rPr>
            </w:pPr>
            <w:r>
              <w:rPr>
                <w:rFonts w:hint="eastAsia" w:ascii="Times New Roman" w:hAnsi="Times New Roman" w:cs="Times New Roman"/>
                <w:color w:val="000000"/>
                <w:sz w:val="24"/>
              </w:rPr>
              <w:t>求相符。</w:t>
            </w:r>
          </w:p>
          <w:p>
            <w:pPr>
              <w:spacing w:line="340" w:lineRule="auto"/>
              <w:rPr>
                <w:rFonts w:hint="eastAsia"/>
                <w:b/>
                <w:color w:val="000000"/>
                <w:sz w:val="24"/>
              </w:rPr>
            </w:pPr>
            <w:r>
              <w:rPr>
                <w:rFonts w:hint="eastAsia"/>
                <w:b/>
                <w:color w:val="000000"/>
                <w:sz w:val="24"/>
              </w:rPr>
              <w:t>5、与《长江经济带发展负面清单指南（试行）》相符性分析</w:t>
            </w:r>
          </w:p>
          <w:p>
            <w:pPr>
              <w:spacing w:line="340" w:lineRule="auto"/>
              <w:jc w:val="center"/>
              <w:rPr>
                <w:rFonts w:hint="eastAsia"/>
                <w:b/>
                <w:color w:val="000000"/>
                <w:sz w:val="24"/>
              </w:rPr>
            </w:pPr>
            <w:r>
              <w:rPr>
                <w:rFonts w:hint="eastAsia"/>
                <w:b/>
                <w:color w:val="000000"/>
                <w:sz w:val="24"/>
              </w:rPr>
              <w:t>表 1-5 “长江经济带发展负面清单指南（试行）”符合性分析一览表</w:t>
            </w:r>
          </w:p>
          <w:tbl>
            <w:tblPr>
              <w:tblStyle w:val="26"/>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68"/>
              <w:gridCol w:w="4089"/>
              <w:gridCol w:w="2399"/>
              <w:gridCol w:w="49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465" w:type="dxa"/>
                  <w:vAlign w:val="center"/>
                </w:tcPr>
                <w:p>
                  <w:pPr>
                    <w:autoSpaceDE w:val="0"/>
                    <w:autoSpaceDN w:val="0"/>
                    <w:spacing w:line="360" w:lineRule="auto"/>
                    <w:jc w:val="both"/>
                    <w:rPr>
                      <w:rFonts w:ascii="Times New Roman" w:hAnsi="宋体" w:eastAsia="宋体" w:cs="Times New Roman"/>
                      <w:b/>
                      <w:color w:val="000000"/>
                      <w:kern w:val="0"/>
                      <w:sz w:val="21"/>
                      <w:szCs w:val="21"/>
                      <w:lang w:val="en-US" w:eastAsia="zh-CN" w:bidi="ar-SA"/>
                    </w:rPr>
                  </w:pPr>
                  <w:r>
                    <w:rPr>
                      <w:rFonts w:hAnsi="宋体"/>
                      <w:b/>
                      <w:color w:val="000000"/>
                      <w:kern w:val="0"/>
                      <w:szCs w:val="21"/>
                    </w:rPr>
                    <w:t>序号</w:t>
                  </w:r>
                </w:p>
              </w:tc>
              <w:tc>
                <w:tcPr>
                  <w:tcW w:w="4065" w:type="dxa"/>
                  <w:vAlign w:val="center"/>
                </w:tcPr>
                <w:p>
                  <w:pPr>
                    <w:autoSpaceDE w:val="0"/>
                    <w:autoSpaceDN w:val="0"/>
                    <w:spacing w:line="360" w:lineRule="auto"/>
                    <w:jc w:val="center"/>
                    <w:rPr>
                      <w:rFonts w:hint="default" w:ascii="Times New Roman" w:hAnsi="宋体" w:eastAsia="宋体" w:cs="Times New Roman"/>
                      <w:b/>
                      <w:color w:val="000000"/>
                      <w:kern w:val="0"/>
                      <w:sz w:val="21"/>
                      <w:szCs w:val="21"/>
                      <w:lang w:val="en-US" w:eastAsia="zh-CN" w:bidi="ar-SA"/>
                    </w:rPr>
                  </w:pPr>
                  <w:r>
                    <w:rPr>
                      <w:rFonts w:hint="eastAsia" w:hAnsi="宋体"/>
                      <w:b/>
                      <w:color w:val="000000"/>
                      <w:kern w:val="0"/>
                      <w:szCs w:val="21"/>
                      <w:lang w:val="en-US" w:eastAsia="zh-CN"/>
                    </w:rPr>
                    <w:t>文件要求</w:t>
                  </w:r>
                </w:p>
              </w:tc>
              <w:tc>
                <w:tcPr>
                  <w:tcW w:w="2385" w:type="dxa"/>
                  <w:vAlign w:val="center"/>
                </w:tcPr>
                <w:p>
                  <w:pPr>
                    <w:autoSpaceDE w:val="0"/>
                    <w:autoSpaceDN w:val="0"/>
                    <w:spacing w:line="360" w:lineRule="auto"/>
                    <w:jc w:val="center"/>
                    <w:rPr>
                      <w:rFonts w:ascii="Times New Roman" w:hAnsi="宋体" w:eastAsia="宋体" w:cs="Times New Roman"/>
                      <w:b/>
                      <w:color w:val="000000"/>
                      <w:kern w:val="0"/>
                      <w:sz w:val="21"/>
                      <w:szCs w:val="21"/>
                      <w:lang w:val="en-US" w:eastAsia="zh-CN" w:bidi="ar-SA"/>
                    </w:rPr>
                  </w:pPr>
                  <w:r>
                    <w:rPr>
                      <w:rFonts w:hint="eastAsia" w:hAnsi="宋体"/>
                      <w:b/>
                      <w:color w:val="000000"/>
                      <w:kern w:val="0"/>
                      <w:szCs w:val="21"/>
                    </w:rPr>
                    <w:t>本项目相符性分析</w:t>
                  </w:r>
                </w:p>
              </w:tc>
              <w:tc>
                <w:tcPr>
                  <w:tcW w:w="495" w:type="dxa"/>
                  <w:vAlign w:val="center"/>
                </w:tcPr>
                <w:p>
                  <w:pPr>
                    <w:autoSpaceDE w:val="0"/>
                    <w:autoSpaceDN w:val="0"/>
                    <w:spacing w:line="360" w:lineRule="auto"/>
                    <w:jc w:val="center"/>
                    <w:rPr>
                      <w:rFonts w:ascii="Times New Roman" w:hAnsi="宋体" w:eastAsia="宋体" w:cs="Times New Roman"/>
                      <w:b/>
                      <w:color w:val="000000"/>
                      <w:kern w:val="0"/>
                      <w:sz w:val="21"/>
                      <w:szCs w:val="21"/>
                      <w:lang w:val="en-US" w:eastAsia="zh-CN" w:bidi="ar-SA"/>
                    </w:rPr>
                  </w:pPr>
                  <w:r>
                    <w:rPr>
                      <w:rFonts w:hAnsi="宋体"/>
                      <w:b/>
                      <w:color w:val="000000"/>
                      <w:kern w:val="0"/>
                      <w:szCs w:val="21"/>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15" w:hRule="atLeast"/>
              </w:trPr>
              <w:tc>
                <w:tcPr>
                  <w:tcW w:w="465" w:type="dxa"/>
                  <w:vAlign w:val="center"/>
                </w:tcPr>
                <w:p>
                  <w:pPr>
                    <w:autoSpaceDE w:val="0"/>
                    <w:autoSpaceDN w:val="0"/>
                    <w:jc w:val="center"/>
                    <w:rPr>
                      <w:rFonts w:hAnsi="宋体"/>
                      <w:color w:val="000000"/>
                      <w:kern w:val="0"/>
                      <w:szCs w:val="21"/>
                    </w:rPr>
                  </w:pPr>
                  <w:r>
                    <w:rPr>
                      <w:rFonts w:hint="eastAsia" w:hAnsi="宋体"/>
                      <w:color w:val="000000"/>
                      <w:kern w:val="0"/>
                      <w:szCs w:val="21"/>
                    </w:rPr>
                    <w:t>1</w:t>
                  </w:r>
                </w:p>
              </w:tc>
              <w:tc>
                <w:tcPr>
                  <w:tcW w:w="4065" w:type="dxa"/>
                  <w:vAlign w:val="center"/>
                </w:tcPr>
                <w:p>
                  <w:pPr>
                    <w:autoSpaceDE w:val="0"/>
                    <w:autoSpaceDN w:val="0"/>
                    <w:jc w:val="center"/>
                    <w:rPr>
                      <w:rFonts w:hAnsi="宋体"/>
                      <w:color w:val="000000"/>
                      <w:kern w:val="0"/>
                      <w:szCs w:val="21"/>
                    </w:rPr>
                  </w:pPr>
                  <w:r>
                    <w:rPr>
                      <w:rFonts w:hint="eastAsia" w:hAnsi="宋体"/>
                      <w:color w:val="000000"/>
                      <w:kern w:val="0"/>
                      <w:szCs w:val="21"/>
                    </w:rPr>
                    <w:t>禁止建设不符合全国和省级港口布局规划以及港口总体现划的码头项目，禁止建设不符合《长江干线过江通道布局规划》的过长江通道项目</w:t>
                  </w:r>
                </w:p>
              </w:tc>
              <w:tc>
                <w:tcPr>
                  <w:tcW w:w="2385" w:type="dxa"/>
                  <w:vAlign w:val="center"/>
                </w:tcPr>
                <w:p>
                  <w:pPr>
                    <w:autoSpaceDE w:val="0"/>
                    <w:autoSpaceDN w:val="0"/>
                    <w:jc w:val="center"/>
                    <w:rPr>
                      <w:rFonts w:hAnsi="宋体"/>
                      <w:color w:val="0D0D0D" w:themeColor="text1" w:themeTint="F2"/>
                      <w:kern w:val="0"/>
                      <w:szCs w:val="21"/>
                      <w14:textFill>
                        <w14:solidFill>
                          <w14:schemeClr w14:val="tx1">
                            <w14:lumMod w14:val="95000"/>
                            <w14:lumOff w14:val="5000"/>
                          </w14:schemeClr>
                        </w14:solidFill>
                      </w14:textFill>
                    </w:rPr>
                  </w:pPr>
                  <w:r>
                    <w:rPr>
                      <w:rFonts w:hint="eastAsia" w:hAnsi="宋体"/>
                      <w:color w:val="0D0D0D" w:themeColor="text1" w:themeTint="F2"/>
                      <w:kern w:val="0"/>
                      <w:szCs w:val="21"/>
                      <w14:textFill>
                        <w14:solidFill>
                          <w14:schemeClr w14:val="tx1">
                            <w14:lumMod w14:val="95000"/>
                            <w14:lumOff w14:val="5000"/>
                          </w14:schemeClr>
                        </w14:solidFill>
                      </w14:textFill>
                    </w:rPr>
                    <w:t>本项目不属于码头项目和过长江通道项目</w:t>
                  </w:r>
                </w:p>
              </w:tc>
              <w:tc>
                <w:tcPr>
                  <w:tcW w:w="495" w:type="dxa"/>
                  <w:vAlign w:val="center"/>
                </w:tcPr>
                <w:p>
                  <w:pPr>
                    <w:autoSpaceDE w:val="0"/>
                    <w:autoSpaceDN w:val="0"/>
                    <w:spacing w:line="360" w:lineRule="auto"/>
                    <w:jc w:val="center"/>
                    <w:rPr>
                      <w:rFonts w:hAnsi="宋体"/>
                      <w:color w:val="000000"/>
                      <w:kern w:val="0"/>
                      <w:szCs w:val="21"/>
                    </w:rPr>
                  </w:pPr>
                  <w:r>
                    <w:rPr>
                      <w:rFonts w:hAnsi="宋体"/>
                      <w:color w:val="000000"/>
                      <w:kern w:val="0"/>
                      <w:szCs w:val="21"/>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95" w:hRule="atLeast"/>
              </w:trPr>
              <w:tc>
                <w:tcPr>
                  <w:tcW w:w="465" w:type="dxa"/>
                  <w:vAlign w:val="center"/>
                </w:tcPr>
                <w:p>
                  <w:pPr>
                    <w:autoSpaceDE w:val="0"/>
                    <w:autoSpaceDN w:val="0"/>
                    <w:jc w:val="center"/>
                    <w:rPr>
                      <w:rFonts w:hAnsi="宋体"/>
                      <w:color w:val="000000"/>
                      <w:kern w:val="0"/>
                      <w:szCs w:val="21"/>
                    </w:rPr>
                  </w:pPr>
                  <w:r>
                    <w:rPr>
                      <w:rFonts w:hint="eastAsia" w:hAnsi="宋体"/>
                      <w:color w:val="000000"/>
                      <w:kern w:val="0"/>
                      <w:szCs w:val="21"/>
                    </w:rPr>
                    <w:t>2</w:t>
                  </w:r>
                </w:p>
              </w:tc>
              <w:tc>
                <w:tcPr>
                  <w:tcW w:w="4065" w:type="dxa"/>
                  <w:vAlign w:val="center"/>
                </w:tcPr>
                <w:p>
                  <w:pPr>
                    <w:autoSpaceDE w:val="0"/>
                    <w:autoSpaceDN w:val="0"/>
                    <w:jc w:val="center"/>
                    <w:rPr>
                      <w:rFonts w:hint="eastAsia" w:hAnsi="宋体"/>
                      <w:color w:val="000000"/>
                      <w:kern w:val="0"/>
                      <w:szCs w:val="21"/>
                    </w:rPr>
                  </w:pPr>
                  <w:r>
                    <w:rPr>
                      <w:rFonts w:hint="eastAsia" w:hAnsi="宋体"/>
                      <w:color w:val="000000"/>
                      <w:kern w:val="0"/>
                      <w:szCs w:val="21"/>
                    </w:rPr>
                    <w:t>禁止在自然保护区核心区、缓冲区的岸线</w:t>
                  </w:r>
                </w:p>
                <w:p>
                  <w:pPr>
                    <w:autoSpaceDE w:val="0"/>
                    <w:autoSpaceDN w:val="0"/>
                    <w:jc w:val="center"/>
                    <w:rPr>
                      <w:rFonts w:hAnsi="宋体"/>
                      <w:color w:val="000000"/>
                      <w:kern w:val="0"/>
                      <w:szCs w:val="21"/>
                    </w:rPr>
                  </w:pPr>
                  <w:r>
                    <w:rPr>
                      <w:rFonts w:hint="eastAsia" w:hAnsi="宋体"/>
                      <w:color w:val="000000"/>
                      <w:kern w:val="0"/>
                      <w:szCs w:val="21"/>
                    </w:rPr>
                    <w:t>和河段范围内投资建设旅游和生产经营项目。禁止在风景名胜区核心景区的岸线和河段范围内投资建设与风景名胜资源保护无关的项目</w:t>
                  </w:r>
                </w:p>
              </w:tc>
              <w:tc>
                <w:tcPr>
                  <w:tcW w:w="2385" w:type="dxa"/>
                  <w:vAlign w:val="center"/>
                </w:tcPr>
                <w:p>
                  <w:pPr>
                    <w:autoSpaceDE w:val="0"/>
                    <w:autoSpaceDN w:val="0"/>
                    <w:jc w:val="center"/>
                    <w:rPr>
                      <w:color w:val="000000"/>
                      <w:szCs w:val="16"/>
                    </w:rPr>
                  </w:pPr>
                  <w:r>
                    <w:rPr>
                      <w:rFonts w:hint="eastAsia"/>
                      <w:color w:val="000000"/>
                      <w:szCs w:val="16"/>
                    </w:rPr>
                    <w:t>本项目不在自然保护区核心区、缓冲区的岸线和河段范围内和风景名胜区核心景区的岸线和河段范围内</w:t>
                  </w:r>
                </w:p>
              </w:tc>
              <w:tc>
                <w:tcPr>
                  <w:tcW w:w="495" w:type="dxa"/>
                  <w:vAlign w:val="center"/>
                </w:tcPr>
                <w:p>
                  <w:pPr>
                    <w:autoSpaceDE w:val="0"/>
                    <w:autoSpaceDN w:val="0"/>
                    <w:spacing w:line="360" w:lineRule="auto"/>
                    <w:jc w:val="center"/>
                    <w:rPr>
                      <w:rFonts w:hAnsi="宋体"/>
                      <w:color w:val="000000"/>
                      <w:kern w:val="0"/>
                      <w:szCs w:val="21"/>
                    </w:rPr>
                  </w:pPr>
                  <w:r>
                    <w:rPr>
                      <w:rFonts w:hAnsi="宋体"/>
                      <w:color w:val="000000"/>
                      <w:kern w:val="0"/>
                      <w:szCs w:val="21"/>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95" w:hRule="atLeast"/>
              </w:trPr>
              <w:tc>
                <w:tcPr>
                  <w:tcW w:w="465" w:type="dxa"/>
                  <w:vAlign w:val="center"/>
                </w:tcPr>
                <w:p>
                  <w:pPr>
                    <w:autoSpaceDE w:val="0"/>
                    <w:autoSpaceDN w:val="0"/>
                    <w:jc w:val="center"/>
                    <w:rPr>
                      <w:rFonts w:hint="eastAsia" w:hAnsi="宋体" w:eastAsia="宋体"/>
                      <w:color w:val="000000"/>
                      <w:kern w:val="0"/>
                      <w:szCs w:val="21"/>
                      <w:lang w:val="en-US" w:eastAsia="zh-CN"/>
                    </w:rPr>
                  </w:pPr>
                  <w:r>
                    <w:rPr>
                      <w:rFonts w:hint="eastAsia" w:hAnsi="宋体"/>
                      <w:color w:val="000000"/>
                      <w:kern w:val="0"/>
                      <w:szCs w:val="21"/>
                      <w:lang w:val="en-US" w:eastAsia="zh-CN"/>
                    </w:rPr>
                    <w:t>3</w:t>
                  </w:r>
                </w:p>
              </w:tc>
              <w:tc>
                <w:tcPr>
                  <w:tcW w:w="4065" w:type="dxa"/>
                  <w:vAlign w:val="center"/>
                </w:tcPr>
                <w:p>
                  <w:pPr>
                    <w:autoSpaceDE w:val="0"/>
                    <w:autoSpaceDN w:val="0"/>
                    <w:jc w:val="center"/>
                    <w:rPr>
                      <w:rFonts w:hAnsi="宋体"/>
                      <w:color w:val="000000"/>
                      <w:kern w:val="0"/>
                      <w:szCs w:val="21"/>
                    </w:rPr>
                  </w:pPr>
                  <w:r>
                    <w:rPr>
                      <w:rFonts w:hint="eastAsia" w:hAnsi="宋体"/>
                      <w:color w:val="000000"/>
                      <w:kern w:val="0"/>
                      <w:szCs w:val="21"/>
                    </w:rPr>
                    <w:t>禁止在饮用水水源一级保护区的岸线和河段范围内新建、改建、扩建与供水设施和保护水源无关的项目，以及网箱养殖、旅游等可能污染饮用水水体的投资建设项目。禁止在饮用水水源二级保护区的岸线和河段范围内新建、改建、扩建排放污染物的投资建设项目</w:t>
                  </w:r>
                </w:p>
              </w:tc>
              <w:tc>
                <w:tcPr>
                  <w:tcW w:w="2385" w:type="dxa"/>
                  <w:vAlign w:val="center"/>
                </w:tcPr>
                <w:p>
                  <w:pPr>
                    <w:autoSpaceDE w:val="0"/>
                    <w:autoSpaceDN w:val="0"/>
                    <w:jc w:val="center"/>
                    <w:rPr>
                      <w:color w:val="000000"/>
                      <w:szCs w:val="16"/>
                    </w:rPr>
                  </w:pPr>
                  <w:r>
                    <w:rPr>
                      <w:rFonts w:hint="eastAsia"/>
                      <w:color w:val="000000"/>
                      <w:szCs w:val="16"/>
                    </w:rPr>
                    <w:t>本项目不在饮用水水源一级保护区的岸线和河段范围内和饮用水水源二级保护区的岸线和河段范围内</w:t>
                  </w:r>
                </w:p>
              </w:tc>
              <w:tc>
                <w:tcPr>
                  <w:tcW w:w="495" w:type="dxa"/>
                  <w:vAlign w:val="center"/>
                </w:tcPr>
                <w:p>
                  <w:pPr>
                    <w:autoSpaceDE w:val="0"/>
                    <w:autoSpaceDN w:val="0"/>
                    <w:spacing w:line="360" w:lineRule="auto"/>
                    <w:jc w:val="center"/>
                    <w:rPr>
                      <w:rFonts w:ascii="Times New Roman" w:hAnsi="宋体" w:eastAsia="宋体" w:cs="Times New Roman"/>
                      <w:color w:val="000000"/>
                      <w:kern w:val="0"/>
                      <w:sz w:val="21"/>
                      <w:szCs w:val="21"/>
                      <w:lang w:val="en-US" w:eastAsia="zh-CN" w:bidi="ar-SA"/>
                    </w:rPr>
                  </w:pPr>
                  <w:r>
                    <w:rPr>
                      <w:rFonts w:hAnsi="宋体"/>
                      <w:color w:val="000000"/>
                      <w:kern w:val="0"/>
                      <w:szCs w:val="21"/>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95" w:hRule="atLeast"/>
              </w:trPr>
              <w:tc>
                <w:tcPr>
                  <w:tcW w:w="465" w:type="dxa"/>
                  <w:vAlign w:val="center"/>
                </w:tcPr>
                <w:p>
                  <w:pPr>
                    <w:autoSpaceDE w:val="0"/>
                    <w:autoSpaceDN w:val="0"/>
                    <w:jc w:val="center"/>
                    <w:rPr>
                      <w:rFonts w:hint="eastAsia" w:hAnsi="宋体" w:eastAsia="宋体"/>
                      <w:color w:val="000000"/>
                      <w:kern w:val="0"/>
                      <w:szCs w:val="21"/>
                      <w:lang w:val="en-US" w:eastAsia="zh-CN"/>
                    </w:rPr>
                  </w:pPr>
                  <w:r>
                    <w:rPr>
                      <w:rFonts w:hint="eastAsia" w:hAnsi="宋体"/>
                      <w:color w:val="000000"/>
                      <w:kern w:val="0"/>
                      <w:szCs w:val="21"/>
                      <w:lang w:val="en-US" w:eastAsia="zh-CN"/>
                    </w:rPr>
                    <w:t>4</w:t>
                  </w:r>
                </w:p>
              </w:tc>
              <w:tc>
                <w:tcPr>
                  <w:tcW w:w="4065" w:type="dxa"/>
                  <w:vAlign w:val="center"/>
                </w:tcPr>
                <w:p>
                  <w:pPr>
                    <w:autoSpaceDE w:val="0"/>
                    <w:autoSpaceDN w:val="0"/>
                    <w:jc w:val="center"/>
                    <w:rPr>
                      <w:rFonts w:hAnsi="宋体"/>
                      <w:color w:val="000000"/>
                      <w:kern w:val="0"/>
                      <w:szCs w:val="21"/>
                    </w:rPr>
                  </w:pPr>
                  <w:r>
                    <w:rPr>
                      <w:rFonts w:hint="eastAsia" w:hAnsi="宋体"/>
                      <w:color w:val="000000"/>
                      <w:kern w:val="0"/>
                      <w:szCs w:val="21"/>
                    </w:rPr>
                    <w:t>禁止在水产种质资源保护区的岸线和河段范围内新建排污口，以及围湖造田、围海造地或围填海等投资建设项目。禁止在国家湿地公园的岸线和河段范围内挖沙、采矿，以及任何不符合主体功能定位的投资建设项目</w:t>
                  </w:r>
                </w:p>
              </w:tc>
              <w:tc>
                <w:tcPr>
                  <w:tcW w:w="2385" w:type="dxa"/>
                  <w:vAlign w:val="center"/>
                </w:tcPr>
                <w:p>
                  <w:pPr>
                    <w:autoSpaceDE w:val="0"/>
                    <w:autoSpaceDN w:val="0"/>
                    <w:jc w:val="center"/>
                    <w:rPr>
                      <w:color w:val="000000"/>
                      <w:szCs w:val="16"/>
                    </w:rPr>
                  </w:pPr>
                  <w:r>
                    <w:rPr>
                      <w:rFonts w:hint="eastAsia"/>
                      <w:color w:val="000000"/>
                      <w:szCs w:val="16"/>
                    </w:rPr>
                    <w:t>本项目不在水产种质资源保护区的岸线和河段范围内和国家湿地公园的岸线和河段范围内</w:t>
                  </w:r>
                </w:p>
              </w:tc>
              <w:tc>
                <w:tcPr>
                  <w:tcW w:w="495" w:type="dxa"/>
                  <w:vAlign w:val="center"/>
                </w:tcPr>
                <w:p>
                  <w:pPr>
                    <w:autoSpaceDE w:val="0"/>
                    <w:autoSpaceDN w:val="0"/>
                    <w:spacing w:line="360" w:lineRule="auto"/>
                    <w:jc w:val="center"/>
                    <w:rPr>
                      <w:rFonts w:ascii="Times New Roman" w:hAnsi="宋体" w:eastAsia="宋体" w:cs="Times New Roman"/>
                      <w:color w:val="000000"/>
                      <w:kern w:val="0"/>
                      <w:sz w:val="21"/>
                      <w:szCs w:val="21"/>
                      <w:lang w:val="en-US" w:eastAsia="zh-CN" w:bidi="ar-SA"/>
                    </w:rPr>
                  </w:pPr>
                  <w:r>
                    <w:rPr>
                      <w:rFonts w:hAnsi="宋体"/>
                      <w:color w:val="000000"/>
                      <w:kern w:val="0"/>
                      <w:szCs w:val="21"/>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95" w:hRule="atLeast"/>
              </w:trPr>
              <w:tc>
                <w:tcPr>
                  <w:tcW w:w="465" w:type="dxa"/>
                  <w:vAlign w:val="center"/>
                </w:tcPr>
                <w:p>
                  <w:pPr>
                    <w:autoSpaceDE w:val="0"/>
                    <w:autoSpaceDN w:val="0"/>
                    <w:jc w:val="center"/>
                    <w:rPr>
                      <w:rFonts w:hint="eastAsia" w:hAnsi="宋体" w:eastAsia="宋体"/>
                      <w:color w:val="000000"/>
                      <w:kern w:val="0"/>
                      <w:szCs w:val="21"/>
                      <w:lang w:val="en-US" w:eastAsia="zh-CN"/>
                    </w:rPr>
                  </w:pPr>
                  <w:r>
                    <w:rPr>
                      <w:rFonts w:hint="eastAsia" w:hAnsi="宋体"/>
                      <w:color w:val="000000"/>
                      <w:kern w:val="0"/>
                      <w:szCs w:val="21"/>
                      <w:lang w:val="en-US" w:eastAsia="zh-CN"/>
                    </w:rPr>
                    <w:t>5</w:t>
                  </w:r>
                </w:p>
              </w:tc>
              <w:tc>
                <w:tcPr>
                  <w:tcW w:w="4065" w:type="dxa"/>
                  <w:vAlign w:val="center"/>
                </w:tcPr>
                <w:p>
                  <w:pPr>
                    <w:autoSpaceDE w:val="0"/>
                    <w:autoSpaceDN w:val="0"/>
                    <w:jc w:val="center"/>
                    <w:rPr>
                      <w:rFonts w:hint="eastAsia" w:hAnsi="宋体"/>
                      <w:color w:val="000000"/>
                      <w:kern w:val="0"/>
                      <w:szCs w:val="21"/>
                    </w:rPr>
                  </w:pPr>
                  <w:r>
                    <w:rPr>
                      <w:rFonts w:hint="eastAsia" w:hAnsi="宋体"/>
                      <w:color w:val="000000"/>
                      <w:kern w:val="0"/>
                      <w:szCs w:val="21"/>
                    </w:rPr>
                    <w:t>禁止在《长江岸线保护和开发利用总体规</w:t>
                  </w:r>
                </w:p>
                <w:p>
                  <w:pPr>
                    <w:autoSpaceDE w:val="0"/>
                    <w:autoSpaceDN w:val="0"/>
                    <w:jc w:val="center"/>
                    <w:rPr>
                      <w:rFonts w:hint="eastAsia" w:hAnsi="宋体"/>
                      <w:color w:val="000000"/>
                      <w:kern w:val="0"/>
                      <w:szCs w:val="21"/>
                    </w:rPr>
                  </w:pPr>
                  <w:r>
                    <w:rPr>
                      <w:rFonts w:hint="eastAsia" w:hAnsi="宋体"/>
                      <w:color w:val="000000"/>
                      <w:kern w:val="0"/>
                      <w:szCs w:val="21"/>
                    </w:rPr>
                    <w:t>划》划定的岸线保护区内投资建设除保障</w:t>
                  </w:r>
                </w:p>
                <w:p>
                  <w:pPr>
                    <w:autoSpaceDE w:val="0"/>
                    <w:autoSpaceDN w:val="0"/>
                    <w:jc w:val="center"/>
                    <w:rPr>
                      <w:rFonts w:hint="eastAsia" w:hAnsi="宋体"/>
                      <w:color w:val="000000"/>
                      <w:kern w:val="0"/>
                      <w:szCs w:val="21"/>
                    </w:rPr>
                  </w:pPr>
                  <w:r>
                    <w:rPr>
                      <w:rFonts w:hint="eastAsia" w:hAnsi="宋体"/>
                      <w:color w:val="000000"/>
                      <w:kern w:val="0"/>
                      <w:szCs w:val="21"/>
                    </w:rPr>
                    <w:t>防洪安全、河势稳定、供水安全以及保护</w:t>
                  </w:r>
                </w:p>
                <w:p>
                  <w:pPr>
                    <w:autoSpaceDE w:val="0"/>
                    <w:autoSpaceDN w:val="0"/>
                    <w:jc w:val="center"/>
                    <w:rPr>
                      <w:rFonts w:hAnsi="宋体"/>
                      <w:color w:val="000000"/>
                      <w:kern w:val="0"/>
                      <w:szCs w:val="21"/>
                    </w:rPr>
                  </w:pPr>
                  <w:r>
                    <w:rPr>
                      <w:rFonts w:hint="eastAsia" w:hAnsi="宋体"/>
                      <w:color w:val="000000"/>
                      <w:kern w:val="0"/>
                      <w:szCs w:val="21"/>
                    </w:rPr>
                    <w:t>生态环境、已建重要枢纽工程以外的项目，禁止在岸线保留区内投资建设除保障防洪安全、河势稳定、供水安全、航道稳定以及保护生态环境以外的项目。禁止在《全国重要江河湖泊水功能区划》划定的河段保护区、保留区内投资建设不利于水资源及自然生态保护的项目</w:t>
                  </w:r>
                </w:p>
              </w:tc>
              <w:tc>
                <w:tcPr>
                  <w:tcW w:w="2385" w:type="dxa"/>
                  <w:vAlign w:val="center"/>
                </w:tcPr>
                <w:p>
                  <w:pPr>
                    <w:autoSpaceDE w:val="0"/>
                    <w:autoSpaceDN w:val="0"/>
                    <w:jc w:val="center"/>
                    <w:rPr>
                      <w:color w:val="000000"/>
                      <w:szCs w:val="16"/>
                    </w:rPr>
                  </w:pPr>
                  <w:r>
                    <w:rPr>
                      <w:rFonts w:hint="eastAsia"/>
                      <w:color w:val="000000"/>
                      <w:szCs w:val="16"/>
                    </w:rPr>
                    <w:t>本项目不在《长江岸线保护和开发利用总体规划》划定的岸线保护区内和《全国重要江河湖泊水功能区划》划定的河段保护区、保留区内</w:t>
                  </w:r>
                </w:p>
              </w:tc>
              <w:tc>
                <w:tcPr>
                  <w:tcW w:w="495" w:type="dxa"/>
                  <w:vAlign w:val="center"/>
                </w:tcPr>
                <w:p>
                  <w:pPr>
                    <w:autoSpaceDE w:val="0"/>
                    <w:autoSpaceDN w:val="0"/>
                    <w:spacing w:line="360" w:lineRule="auto"/>
                    <w:jc w:val="center"/>
                    <w:rPr>
                      <w:rFonts w:ascii="Times New Roman" w:hAnsi="宋体" w:eastAsia="宋体" w:cs="Times New Roman"/>
                      <w:color w:val="000000"/>
                      <w:kern w:val="0"/>
                      <w:sz w:val="21"/>
                      <w:szCs w:val="21"/>
                      <w:lang w:val="en-US" w:eastAsia="zh-CN" w:bidi="ar-SA"/>
                    </w:rPr>
                  </w:pPr>
                  <w:r>
                    <w:rPr>
                      <w:rFonts w:hAnsi="宋体"/>
                      <w:color w:val="000000"/>
                      <w:kern w:val="0"/>
                      <w:szCs w:val="21"/>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95" w:hRule="atLeast"/>
              </w:trPr>
              <w:tc>
                <w:tcPr>
                  <w:tcW w:w="465" w:type="dxa"/>
                  <w:vAlign w:val="center"/>
                </w:tcPr>
                <w:p>
                  <w:pPr>
                    <w:autoSpaceDE w:val="0"/>
                    <w:autoSpaceDN w:val="0"/>
                    <w:jc w:val="center"/>
                    <w:rPr>
                      <w:rFonts w:hint="eastAsia" w:hAnsi="宋体" w:eastAsia="宋体"/>
                      <w:color w:val="000000"/>
                      <w:kern w:val="0"/>
                      <w:szCs w:val="21"/>
                      <w:lang w:val="en-US" w:eastAsia="zh-CN"/>
                    </w:rPr>
                  </w:pPr>
                  <w:r>
                    <w:rPr>
                      <w:rFonts w:hint="eastAsia" w:hAnsi="宋体"/>
                      <w:color w:val="000000"/>
                      <w:kern w:val="0"/>
                      <w:szCs w:val="21"/>
                      <w:lang w:val="en-US" w:eastAsia="zh-CN"/>
                    </w:rPr>
                    <w:t>6</w:t>
                  </w:r>
                </w:p>
              </w:tc>
              <w:tc>
                <w:tcPr>
                  <w:tcW w:w="4065" w:type="dxa"/>
                  <w:vAlign w:val="center"/>
                </w:tcPr>
                <w:p>
                  <w:pPr>
                    <w:autoSpaceDE w:val="0"/>
                    <w:autoSpaceDN w:val="0"/>
                    <w:jc w:val="center"/>
                    <w:rPr>
                      <w:rFonts w:hAnsi="宋体"/>
                      <w:color w:val="000000"/>
                      <w:kern w:val="0"/>
                      <w:szCs w:val="21"/>
                    </w:rPr>
                  </w:pPr>
                  <w:r>
                    <w:rPr>
                      <w:rFonts w:hint="eastAsia" w:hAnsi="宋体"/>
                      <w:color w:val="000000"/>
                      <w:kern w:val="0"/>
                      <w:szCs w:val="21"/>
                    </w:rPr>
                    <w:t>禁止在生态保护红线和永久基本农田范围内投资建设除国家重大战略资源勘查项目、生态保护修复和环境治理项目、重大基础设施项目、军事国防项目以及农牧民基本生产生活等必要的民生项目以外的项目</w:t>
                  </w:r>
                </w:p>
              </w:tc>
              <w:tc>
                <w:tcPr>
                  <w:tcW w:w="2385" w:type="dxa"/>
                  <w:vAlign w:val="center"/>
                </w:tcPr>
                <w:p>
                  <w:pPr>
                    <w:autoSpaceDE w:val="0"/>
                    <w:autoSpaceDN w:val="0"/>
                    <w:jc w:val="center"/>
                    <w:rPr>
                      <w:color w:val="000000"/>
                      <w:szCs w:val="16"/>
                    </w:rPr>
                  </w:pPr>
                  <w:r>
                    <w:rPr>
                      <w:rFonts w:hint="eastAsia"/>
                      <w:color w:val="000000"/>
                      <w:szCs w:val="16"/>
                    </w:rPr>
                    <w:t>本项目不在生态保护红线和永久基本农田范围内</w:t>
                  </w:r>
                </w:p>
              </w:tc>
              <w:tc>
                <w:tcPr>
                  <w:tcW w:w="495" w:type="dxa"/>
                  <w:vAlign w:val="center"/>
                </w:tcPr>
                <w:p>
                  <w:pPr>
                    <w:autoSpaceDE w:val="0"/>
                    <w:autoSpaceDN w:val="0"/>
                    <w:spacing w:line="360" w:lineRule="auto"/>
                    <w:jc w:val="center"/>
                    <w:rPr>
                      <w:rFonts w:ascii="Times New Roman" w:hAnsi="宋体" w:eastAsia="宋体" w:cs="Times New Roman"/>
                      <w:color w:val="000000"/>
                      <w:kern w:val="0"/>
                      <w:sz w:val="21"/>
                      <w:szCs w:val="21"/>
                      <w:lang w:val="en-US" w:eastAsia="zh-CN" w:bidi="ar-SA"/>
                    </w:rPr>
                  </w:pPr>
                  <w:r>
                    <w:rPr>
                      <w:rFonts w:hAnsi="宋体"/>
                      <w:color w:val="000000"/>
                      <w:kern w:val="0"/>
                      <w:szCs w:val="21"/>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95" w:hRule="atLeast"/>
              </w:trPr>
              <w:tc>
                <w:tcPr>
                  <w:tcW w:w="465" w:type="dxa"/>
                  <w:vAlign w:val="center"/>
                </w:tcPr>
                <w:p>
                  <w:pPr>
                    <w:autoSpaceDE w:val="0"/>
                    <w:autoSpaceDN w:val="0"/>
                    <w:jc w:val="center"/>
                    <w:rPr>
                      <w:rFonts w:hint="eastAsia" w:hAnsi="宋体" w:eastAsia="宋体"/>
                      <w:color w:val="000000"/>
                      <w:kern w:val="0"/>
                      <w:szCs w:val="21"/>
                      <w:lang w:val="en-US" w:eastAsia="zh-CN"/>
                    </w:rPr>
                  </w:pPr>
                  <w:r>
                    <w:rPr>
                      <w:rFonts w:hint="eastAsia" w:hAnsi="宋体"/>
                      <w:color w:val="000000"/>
                      <w:kern w:val="0"/>
                      <w:szCs w:val="21"/>
                      <w:lang w:val="en-US" w:eastAsia="zh-CN"/>
                    </w:rPr>
                    <w:t>7</w:t>
                  </w:r>
                </w:p>
              </w:tc>
              <w:tc>
                <w:tcPr>
                  <w:tcW w:w="4065" w:type="dxa"/>
                  <w:vAlign w:val="center"/>
                </w:tcPr>
                <w:p>
                  <w:pPr>
                    <w:autoSpaceDE w:val="0"/>
                    <w:autoSpaceDN w:val="0"/>
                    <w:jc w:val="center"/>
                    <w:rPr>
                      <w:rFonts w:hint="eastAsia" w:hAnsi="宋体"/>
                      <w:color w:val="000000"/>
                      <w:kern w:val="0"/>
                      <w:szCs w:val="21"/>
                    </w:rPr>
                  </w:pPr>
                  <w:r>
                    <w:rPr>
                      <w:rFonts w:hint="eastAsia" w:hAnsi="宋体"/>
                      <w:color w:val="000000"/>
                      <w:kern w:val="0"/>
                      <w:szCs w:val="21"/>
                    </w:rPr>
                    <w:t>禁止在长江干流岸线三公里范围内和重要支流岸线一公里范围内新建、改建、扩建尾矿库；但是以提升安全、生态环境保护水平为目的的改建除外</w:t>
                  </w:r>
                </w:p>
              </w:tc>
              <w:tc>
                <w:tcPr>
                  <w:tcW w:w="2385" w:type="dxa"/>
                  <w:vAlign w:val="center"/>
                </w:tcPr>
                <w:p>
                  <w:pPr>
                    <w:autoSpaceDE w:val="0"/>
                    <w:autoSpaceDN w:val="0"/>
                    <w:jc w:val="center"/>
                    <w:rPr>
                      <w:rFonts w:hint="default" w:eastAsia="宋体"/>
                      <w:color w:val="000000"/>
                      <w:szCs w:val="16"/>
                      <w:lang w:val="en-US" w:eastAsia="zh-CN"/>
                    </w:rPr>
                  </w:pPr>
                  <w:r>
                    <w:rPr>
                      <w:rFonts w:hint="eastAsia"/>
                      <w:color w:val="000000"/>
                      <w:szCs w:val="16"/>
                    </w:rPr>
                    <w:t>本项目</w:t>
                  </w:r>
                  <w:r>
                    <w:rPr>
                      <w:rFonts w:hint="eastAsia"/>
                      <w:color w:val="000000"/>
                      <w:szCs w:val="16"/>
                      <w:lang w:val="en-US" w:eastAsia="zh-CN"/>
                    </w:rPr>
                    <w:t>不属于尾矿库</w:t>
                  </w:r>
                </w:p>
              </w:tc>
              <w:tc>
                <w:tcPr>
                  <w:tcW w:w="495" w:type="dxa"/>
                  <w:vAlign w:val="center"/>
                </w:tcPr>
                <w:p>
                  <w:pPr>
                    <w:autoSpaceDE w:val="0"/>
                    <w:autoSpaceDN w:val="0"/>
                    <w:spacing w:line="360" w:lineRule="auto"/>
                    <w:jc w:val="center"/>
                    <w:rPr>
                      <w:rFonts w:ascii="Times New Roman" w:hAnsi="宋体" w:eastAsia="宋体" w:cs="Times New Roman"/>
                      <w:color w:val="000000"/>
                      <w:kern w:val="0"/>
                      <w:sz w:val="21"/>
                      <w:szCs w:val="21"/>
                      <w:lang w:val="en-US" w:eastAsia="zh-CN" w:bidi="ar-SA"/>
                    </w:rPr>
                  </w:pPr>
                  <w:r>
                    <w:rPr>
                      <w:rFonts w:hAnsi="宋体"/>
                      <w:color w:val="000000"/>
                      <w:kern w:val="0"/>
                      <w:szCs w:val="21"/>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95" w:hRule="atLeast"/>
              </w:trPr>
              <w:tc>
                <w:tcPr>
                  <w:tcW w:w="465" w:type="dxa"/>
                  <w:vAlign w:val="center"/>
                </w:tcPr>
                <w:p>
                  <w:pPr>
                    <w:autoSpaceDE w:val="0"/>
                    <w:autoSpaceDN w:val="0"/>
                    <w:jc w:val="center"/>
                    <w:rPr>
                      <w:rFonts w:hint="eastAsia" w:hAnsi="宋体" w:eastAsia="宋体"/>
                      <w:color w:val="000000"/>
                      <w:kern w:val="0"/>
                      <w:szCs w:val="21"/>
                      <w:lang w:val="en-US" w:eastAsia="zh-CN"/>
                    </w:rPr>
                  </w:pPr>
                  <w:r>
                    <w:rPr>
                      <w:rFonts w:hint="eastAsia" w:hAnsi="宋体"/>
                      <w:color w:val="000000"/>
                      <w:kern w:val="0"/>
                      <w:szCs w:val="21"/>
                      <w:lang w:val="en-US" w:eastAsia="zh-CN"/>
                    </w:rPr>
                    <w:t>8</w:t>
                  </w:r>
                </w:p>
              </w:tc>
              <w:tc>
                <w:tcPr>
                  <w:tcW w:w="4065" w:type="dxa"/>
                  <w:vAlign w:val="center"/>
                </w:tcPr>
                <w:p>
                  <w:pPr>
                    <w:autoSpaceDE w:val="0"/>
                    <w:autoSpaceDN w:val="0"/>
                    <w:jc w:val="center"/>
                    <w:rPr>
                      <w:rFonts w:hint="eastAsia" w:hAnsi="宋体"/>
                      <w:color w:val="000000"/>
                      <w:kern w:val="0"/>
                      <w:szCs w:val="21"/>
                    </w:rPr>
                  </w:pPr>
                  <w:r>
                    <w:rPr>
                      <w:rFonts w:hint="eastAsia" w:hAnsi="宋体"/>
                      <w:color w:val="000000"/>
                      <w:kern w:val="0"/>
                      <w:szCs w:val="21"/>
                    </w:rPr>
                    <w:t>禁止新建、扩建不符合国家石化、现代煤</w:t>
                  </w:r>
                </w:p>
                <w:p>
                  <w:pPr>
                    <w:autoSpaceDE w:val="0"/>
                    <w:autoSpaceDN w:val="0"/>
                    <w:jc w:val="center"/>
                    <w:rPr>
                      <w:rFonts w:hint="eastAsia" w:hAnsi="宋体"/>
                      <w:color w:val="000000"/>
                      <w:kern w:val="0"/>
                      <w:szCs w:val="21"/>
                    </w:rPr>
                  </w:pPr>
                  <w:r>
                    <w:rPr>
                      <w:rFonts w:hint="eastAsia" w:hAnsi="宋体"/>
                      <w:color w:val="000000"/>
                      <w:kern w:val="0"/>
                      <w:szCs w:val="21"/>
                    </w:rPr>
                    <w:t>化工等产业布局规划的项目</w:t>
                  </w:r>
                </w:p>
              </w:tc>
              <w:tc>
                <w:tcPr>
                  <w:tcW w:w="2385" w:type="dxa"/>
                  <w:vAlign w:val="center"/>
                </w:tcPr>
                <w:p>
                  <w:pPr>
                    <w:autoSpaceDE w:val="0"/>
                    <w:autoSpaceDN w:val="0"/>
                    <w:jc w:val="center"/>
                    <w:rPr>
                      <w:color w:val="000000"/>
                      <w:szCs w:val="16"/>
                    </w:rPr>
                  </w:pPr>
                  <w:r>
                    <w:rPr>
                      <w:rFonts w:hint="eastAsia"/>
                      <w:color w:val="000000"/>
                      <w:szCs w:val="16"/>
                    </w:rPr>
                    <w:t>本项目不属于石化、现代煤化工等项目</w:t>
                  </w:r>
                </w:p>
              </w:tc>
              <w:tc>
                <w:tcPr>
                  <w:tcW w:w="495" w:type="dxa"/>
                  <w:vAlign w:val="center"/>
                </w:tcPr>
                <w:p>
                  <w:pPr>
                    <w:autoSpaceDE w:val="0"/>
                    <w:autoSpaceDN w:val="0"/>
                    <w:spacing w:line="360" w:lineRule="auto"/>
                    <w:jc w:val="center"/>
                    <w:rPr>
                      <w:rFonts w:ascii="Times New Roman" w:hAnsi="宋体" w:eastAsia="宋体" w:cs="Times New Roman"/>
                      <w:color w:val="000000"/>
                      <w:kern w:val="0"/>
                      <w:sz w:val="21"/>
                      <w:szCs w:val="21"/>
                      <w:lang w:val="en-US" w:eastAsia="zh-CN" w:bidi="ar-SA"/>
                    </w:rPr>
                  </w:pPr>
                  <w:r>
                    <w:rPr>
                      <w:rFonts w:hAnsi="宋体"/>
                      <w:color w:val="000000"/>
                      <w:kern w:val="0"/>
                      <w:szCs w:val="21"/>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95" w:hRule="atLeast"/>
              </w:trPr>
              <w:tc>
                <w:tcPr>
                  <w:tcW w:w="465" w:type="dxa"/>
                  <w:vAlign w:val="center"/>
                </w:tcPr>
                <w:p>
                  <w:pPr>
                    <w:autoSpaceDE w:val="0"/>
                    <w:autoSpaceDN w:val="0"/>
                    <w:jc w:val="center"/>
                    <w:rPr>
                      <w:rFonts w:hint="eastAsia" w:hAnsi="宋体" w:eastAsia="宋体"/>
                      <w:color w:val="000000"/>
                      <w:kern w:val="0"/>
                      <w:szCs w:val="21"/>
                      <w:lang w:val="en-US" w:eastAsia="zh-CN"/>
                    </w:rPr>
                  </w:pPr>
                  <w:r>
                    <w:rPr>
                      <w:rFonts w:hint="eastAsia" w:hAnsi="宋体"/>
                      <w:color w:val="000000"/>
                      <w:kern w:val="0"/>
                      <w:szCs w:val="21"/>
                      <w:lang w:val="en-US" w:eastAsia="zh-CN"/>
                    </w:rPr>
                    <w:t>9</w:t>
                  </w:r>
                </w:p>
              </w:tc>
              <w:tc>
                <w:tcPr>
                  <w:tcW w:w="4065" w:type="dxa"/>
                  <w:vAlign w:val="center"/>
                </w:tcPr>
                <w:p>
                  <w:pPr>
                    <w:autoSpaceDE w:val="0"/>
                    <w:autoSpaceDN w:val="0"/>
                    <w:jc w:val="center"/>
                    <w:rPr>
                      <w:rFonts w:hint="eastAsia" w:hAnsi="宋体"/>
                      <w:color w:val="000000"/>
                      <w:kern w:val="0"/>
                      <w:szCs w:val="21"/>
                    </w:rPr>
                  </w:pPr>
                  <w:r>
                    <w:rPr>
                      <w:rFonts w:hint="eastAsia" w:hAnsi="宋体"/>
                      <w:color w:val="000000"/>
                      <w:kern w:val="0"/>
                      <w:szCs w:val="21"/>
                    </w:rPr>
                    <w:t>禁止新建、扩建法律法规和相关政策明令</w:t>
                  </w:r>
                </w:p>
                <w:p>
                  <w:pPr>
                    <w:autoSpaceDE w:val="0"/>
                    <w:autoSpaceDN w:val="0"/>
                    <w:jc w:val="center"/>
                    <w:rPr>
                      <w:rFonts w:hint="eastAsia" w:hAnsi="宋体"/>
                      <w:color w:val="000000"/>
                      <w:kern w:val="0"/>
                      <w:szCs w:val="21"/>
                    </w:rPr>
                  </w:pPr>
                  <w:r>
                    <w:rPr>
                      <w:rFonts w:hint="eastAsia" w:hAnsi="宋体"/>
                      <w:color w:val="000000"/>
                      <w:kern w:val="0"/>
                      <w:szCs w:val="21"/>
                    </w:rPr>
                    <w:t>禁止的落后产能项目</w:t>
                  </w:r>
                </w:p>
              </w:tc>
              <w:tc>
                <w:tcPr>
                  <w:tcW w:w="2385" w:type="dxa"/>
                  <w:vAlign w:val="center"/>
                </w:tcPr>
                <w:p>
                  <w:pPr>
                    <w:autoSpaceDE w:val="0"/>
                    <w:autoSpaceDN w:val="0"/>
                    <w:jc w:val="center"/>
                    <w:rPr>
                      <w:color w:val="000000"/>
                      <w:szCs w:val="16"/>
                    </w:rPr>
                  </w:pPr>
                  <w:r>
                    <w:rPr>
                      <w:rFonts w:hint="eastAsia"/>
                      <w:color w:val="000000"/>
                      <w:szCs w:val="16"/>
                    </w:rPr>
                    <w:t>对照《产业结构调整指导目录（2019 年本）》，本项目不属于鼓励类，也非限制类和淘汰类，为允许类，因此，本项目的建设符合国家的产业结构调整指导目录要求</w:t>
                  </w:r>
                </w:p>
              </w:tc>
              <w:tc>
                <w:tcPr>
                  <w:tcW w:w="495" w:type="dxa"/>
                  <w:vAlign w:val="center"/>
                </w:tcPr>
                <w:p>
                  <w:pPr>
                    <w:autoSpaceDE w:val="0"/>
                    <w:autoSpaceDN w:val="0"/>
                    <w:spacing w:line="360" w:lineRule="auto"/>
                    <w:jc w:val="center"/>
                    <w:rPr>
                      <w:rFonts w:ascii="Times New Roman" w:hAnsi="宋体" w:eastAsia="宋体" w:cs="Times New Roman"/>
                      <w:color w:val="000000"/>
                      <w:kern w:val="0"/>
                      <w:sz w:val="21"/>
                      <w:szCs w:val="21"/>
                      <w:lang w:val="en-US" w:eastAsia="zh-CN" w:bidi="ar-SA"/>
                    </w:rPr>
                  </w:pPr>
                  <w:r>
                    <w:rPr>
                      <w:rFonts w:hAnsi="宋体"/>
                      <w:color w:val="000000"/>
                      <w:kern w:val="0"/>
                      <w:szCs w:val="21"/>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95" w:hRule="atLeast"/>
              </w:trPr>
              <w:tc>
                <w:tcPr>
                  <w:tcW w:w="465" w:type="dxa"/>
                  <w:vAlign w:val="center"/>
                </w:tcPr>
                <w:p>
                  <w:pPr>
                    <w:autoSpaceDE w:val="0"/>
                    <w:autoSpaceDN w:val="0"/>
                    <w:jc w:val="center"/>
                    <w:rPr>
                      <w:rFonts w:hint="default" w:hAnsi="宋体" w:eastAsia="宋体"/>
                      <w:color w:val="000000"/>
                      <w:kern w:val="0"/>
                      <w:szCs w:val="21"/>
                      <w:lang w:val="en-US" w:eastAsia="zh-CN"/>
                    </w:rPr>
                  </w:pPr>
                  <w:r>
                    <w:rPr>
                      <w:rFonts w:hint="eastAsia" w:hAnsi="宋体"/>
                      <w:color w:val="000000"/>
                      <w:kern w:val="0"/>
                      <w:szCs w:val="21"/>
                      <w:lang w:val="en-US" w:eastAsia="zh-CN"/>
                    </w:rPr>
                    <w:t>10</w:t>
                  </w:r>
                </w:p>
              </w:tc>
              <w:tc>
                <w:tcPr>
                  <w:tcW w:w="4065" w:type="dxa"/>
                  <w:vAlign w:val="center"/>
                </w:tcPr>
                <w:p>
                  <w:pPr>
                    <w:autoSpaceDE w:val="0"/>
                    <w:autoSpaceDN w:val="0"/>
                    <w:jc w:val="center"/>
                    <w:rPr>
                      <w:rFonts w:hint="eastAsia" w:hAnsi="宋体"/>
                      <w:color w:val="000000"/>
                      <w:kern w:val="0"/>
                      <w:szCs w:val="21"/>
                    </w:rPr>
                  </w:pPr>
                  <w:r>
                    <w:rPr>
                      <w:rFonts w:hint="eastAsia" w:hAnsi="宋体"/>
                      <w:color w:val="000000"/>
                      <w:kern w:val="0"/>
                      <w:szCs w:val="21"/>
                    </w:rPr>
                    <w:t>禁止新建、扩建不符合国家产能置换要求</w:t>
                  </w:r>
                </w:p>
                <w:p>
                  <w:pPr>
                    <w:autoSpaceDE w:val="0"/>
                    <w:autoSpaceDN w:val="0"/>
                    <w:jc w:val="center"/>
                    <w:rPr>
                      <w:rFonts w:hint="eastAsia" w:hAnsi="宋体"/>
                      <w:color w:val="000000"/>
                      <w:kern w:val="0"/>
                      <w:szCs w:val="21"/>
                    </w:rPr>
                  </w:pPr>
                  <w:r>
                    <w:rPr>
                      <w:rFonts w:hint="eastAsia" w:hAnsi="宋体"/>
                      <w:color w:val="000000"/>
                      <w:kern w:val="0"/>
                      <w:szCs w:val="21"/>
                    </w:rPr>
                    <w:t>的严重过剩产能行业的项目</w:t>
                  </w:r>
                </w:p>
              </w:tc>
              <w:tc>
                <w:tcPr>
                  <w:tcW w:w="2385" w:type="dxa"/>
                  <w:vAlign w:val="center"/>
                </w:tcPr>
                <w:p>
                  <w:pPr>
                    <w:autoSpaceDE w:val="0"/>
                    <w:autoSpaceDN w:val="0"/>
                    <w:jc w:val="center"/>
                    <w:rPr>
                      <w:rFonts w:hint="eastAsia"/>
                      <w:color w:val="000000"/>
                      <w:szCs w:val="16"/>
                    </w:rPr>
                  </w:pPr>
                  <w:r>
                    <w:rPr>
                      <w:rFonts w:hint="eastAsia"/>
                      <w:color w:val="000000"/>
                      <w:szCs w:val="16"/>
                    </w:rPr>
                    <w:t>本项目不属于国家产能置换要求的严重过剩产能行业的项目</w:t>
                  </w:r>
                </w:p>
              </w:tc>
              <w:tc>
                <w:tcPr>
                  <w:tcW w:w="495" w:type="dxa"/>
                  <w:vAlign w:val="center"/>
                </w:tcPr>
                <w:p>
                  <w:pPr>
                    <w:autoSpaceDE w:val="0"/>
                    <w:autoSpaceDN w:val="0"/>
                    <w:spacing w:line="360" w:lineRule="auto"/>
                    <w:jc w:val="center"/>
                    <w:rPr>
                      <w:rFonts w:ascii="Times New Roman" w:hAnsi="宋体" w:eastAsia="宋体" w:cs="Times New Roman"/>
                      <w:color w:val="000000"/>
                      <w:kern w:val="0"/>
                      <w:sz w:val="21"/>
                      <w:szCs w:val="21"/>
                      <w:lang w:val="en-US" w:eastAsia="zh-CN" w:bidi="ar-SA"/>
                    </w:rPr>
                  </w:pPr>
                  <w:r>
                    <w:rPr>
                      <w:rFonts w:hAnsi="宋体"/>
                      <w:color w:val="000000"/>
                      <w:kern w:val="0"/>
                      <w:szCs w:val="21"/>
                    </w:rPr>
                    <w:t>相符</w:t>
                  </w:r>
                </w:p>
              </w:tc>
            </w:tr>
          </w:tbl>
          <w:p>
            <w:pPr>
              <w:spacing w:line="340" w:lineRule="auto"/>
              <w:rPr>
                <w:rFonts w:hint="eastAsia"/>
                <w:b/>
                <w:color w:val="000000"/>
                <w:sz w:val="24"/>
              </w:rPr>
            </w:pPr>
          </w:p>
          <w:p>
            <w:pPr>
              <w:spacing w:line="340" w:lineRule="auto"/>
              <w:rPr>
                <w:rFonts w:hint="eastAsia"/>
                <w:b/>
                <w:color w:val="000000"/>
                <w:sz w:val="24"/>
              </w:rPr>
            </w:pPr>
            <w:r>
              <w:rPr>
                <w:rFonts w:hint="eastAsia"/>
                <w:b/>
                <w:color w:val="000000"/>
                <w:sz w:val="24"/>
              </w:rPr>
              <w:t>6、与《安徽省2021 年应对气候变化和大气污染防治重点工作任务》</w:t>
            </w:r>
          </w:p>
          <w:p>
            <w:pPr>
              <w:spacing w:line="340" w:lineRule="auto"/>
              <w:rPr>
                <w:rFonts w:hint="eastAsia"/>
                <w:b/>
                <w:color w:val="000000"/>
                <w:sz w:val="24"/>
              </w:rPr>
            </w:pPr>
            <w:r>
              <w:rPr>
                <w:rFonts w:hint="eastAsia"/>
                <w:b/>
                <w:color w:val="000000"/>
                <w:sz w:val="24"/>
              </w:rPr>
              <w:t>相符性分析</w:t>
            </w:r>
          </w:p>
          <w:p>
            <w:pPr>
              <w:spacing w:line="340" w:lineRule="auto"/>
              <w:jc w:val="center"/>
              <w:rPr>
                <w:rFonts w:hint="eastAsia" w:ascii="Times New Roman" w:hAnsi="Times New Roman" w:cs="Times New Roman"/>
                <w:b/>
                <w:color w:val="000000"/>
                <w:sz w:val="24"/>
              </w:rPr>
            </w:pPr>
            <w:r>
              <w:rPr>
                <w:rFonts w:hint="eastAsia" w:ascii="Times New Roman" w:hAnsi="Times New Roman" w:cs="Times New Roman"/>
                <w:b/>
                <w:color w:val="000000"/>
                <w:sz w:val="24"/>
              </w:rPr>
              <w:t>表 1-6“安徽省 2021 年应对气候变化和大气污染防治重点工作任务”符合性分析一览表</w:t>
            </w:r>
          </w:p>
          <w:tbl>
            <w:tblPr>
              <w:tblStyle w:val="26"/>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38"/>
              <w:gridCol w:w="4315"/>
              <w:gridCol w:w="2248"/>
              <w:gridCol w:w="45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435" w:type="dxa"/>
                  <w:vAlign w:val="center"/>
                </w:tcPr>
                <w:p>
                  <w:pPr>
                    <w:autoSpaceDE w:val="0"/>
                    <w:autoSpaceDN w:val="0"/>
                    <w:spacing w:line="360" w:lineRule="auto"/>
                    <w:jc w:val="center"/>
                    <w:rPr>
                      <w:rFonts w:hAnsi="宋体"/>
                      <w:b/>
                      <w:color w:val="000000"/>
                      <w:kern w:val="0"/>
                      <w:szCs w:val="21"/>
                    </w:rPr>
                  </w:pPr>
                  <w:r>
                    <w:rPr>
                      <w:rFonts w:hAnsi="宋体"/>
                      <w:b/>
                      <w:color w:val="000000"/>
                      <w:kern w:val="0"/>
                      <w:szCs w:val="21"/>
                    </w:rPr>
                    <w:t>序号</w:t>
                  </w:r>
                </w:p>
              </w:tc>
              <w:tc>
                <w:tcPr>
                  <w:tcW w:w="4290" w:type="dxa"/>
                  <w:vAlign w:val="center"/>
                </w:tcPr>
                <w:p>
                  <w:pPr>
                    <w:autoSpaceDE w:val="0"/>
                    <w:autoSpaceDN w:val="0"/>
                    <w:spacing w:line="360" w:lineRule="auto"/>
                    <w:jc w:val="center"/>
                    <w:rPr>
                      <w:rFonts w:hint="default" w:hAnsi="宋体" w:eastAsia="宋体"/>
                      <w:b/>
                      <w:color w:val="000000"/>
                      <w:kern w:val="0"/>
                      <w:szCs w:val="21"/>
                      <w:lang w:val="en-US" w:eastAsia="zh-CN"/>
                    </w:rPr>
                  </w:pPr>
                  <w:r>
                    <w:rPr>
                      <w:rFonts w:hint="eastAsia" w:hAnsi="宋体"/>
                      <w:b/>
                      <w:color w:val="000000"/>
                      <w:kern w:val="0"/>
                      <w:szCs w:val="21"/>
                      <w:lang w:val="en-US" w:eastAsia="zh-CN"/>
                    </w:rPr>
                    <w:t>文件要求</w:t>
                  </w:r>
                </w:p>
              </w:tc>
              <w:tc>
                <w:tcPr>
                  <w:tcW w:w="2235" w:type="dxa"/>
                  <w:vAlign w:val="center"/>
                </w:tcPr>
                <w:p>
                  <w:pPr>
                    <w:autoSpaceDE w:val="0"/>
                    <w:autoSpaceDN w:val="0"/>
                    <w:spacing w:line="360" w:lineRule="auto"/>
                    <w:jc w:val="center"/>
                    <w:rPr>
                      <w:rFonts w:hAnsi="宋体"/>
                      <w:b/>
                      <w:color w:val="000000"/>
                      <w:kern w:val="0"/>
                      <w:szCs w:val="21"/>
                    </w:rPr>
                  </w:pPr>
                  <w:r>
                    <w:rPr>
                      <w:rFonts w:hint="eastAsia" w:hAnsi="宋体"/>
                      <w:b/>
                      <w:color w:val="000000"/>
                      <w:kern w:val="0"/>
                      <w:szCs w:val="21"/>
                    </w:rPr>
                    <w:t>本项目相符性分析</w:t>
                  </w:r>
                </w:p>
              </w:tc>
              <w:tc>
                <w:tcPr>
                  <w:tcW w:w="450" w:type="dxa"/>
                  <w:vAlign w:val="center"/>
                </w:tcPr>
                <w:p>
                  <w:pPr>
                    <w:autoSpaceDE w:val="0"/>
                    <w:autoSpaceDN w:val="0"/>
                    <w:spacing w:line="360" w:lineRule="auto"/>
                    <w:jc w:val="center"/>
                    <w:rPr>
                      <w:rFonts w:hAnsi="宋体"/>
                      <w:b/>
                      <w:color w:val="000000"/>
                      <w:kern w:val="0"/>
                      <w:szCs w:val="21"/>
                    </w:rPr>
                  </w:pPr>
                  <w:r>
                    <w:rPr>
                      <w:rFonts w:hAnsi="宋体"/>
                      <w:b/>
                      <w:color w:val="000000"/>
                      <w:kern w:val="0"/>
                      <w:szCs w:val="21"/>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15" w:hRule="atLeast"/>
              </w:trPr>
              <w:tc>
                <w:tcPr>
                  <w:tcW w:w="435" w:type="dxa"/>
                  <w:vAlign w:val="center"/>
                </w:tcPr>
                <w:p>
                  <w:pPr>
                    <w:autoSpaceDE w:val="0"/>
                    <w:autoSpaceDN w:val="0"/>
                    <w:jc w:val="center"/>
                    <w:rPr>
                      <w:rFonts w:hAnsi="宋体"/>
                      <w:color w:val="000000"/>
                      <w:kern w:val="0"/>
                      <w:szCs w:val="21"/>
                    </w:rPr>
                  </w:pPr>
                  <w:r>
                    <w:rPr>
                      <w:rFonts w:hint="eastAsia" w:hAnsi="宋体"/>
                      <w:color w:val="000000"/>
                      <w:kern w:val="0"/>
                      <w:szCs w:val="21"/>
                    </w:rPr>
                    <w:t>1</w:t>
                  </w:r>
                </w:p>
              </w:tc>
              <w:tc>
                <w:tcPr>
                  <w:tcW w:w="4290" w:type="dxa"/>
                  <w:vAlign w:val="center"/>
                </w:tcPr>
                <w:p>
                  <w:pPr>
                    <w:autoSpaceDE w:val="0"/>
                    <w:autoSpaceDN w:val="0"/>
                    <w:jc w:val="center"/>
                    <w:rPr>
                      <w:rFonts w:hint="eastAsia" w:hAnsi="宋体"/>
                      <w:color w:val="000000"/>
                      <w:kern w:val="0"/>
                      <w:szCs w:val="21"/>
                    </w:rPr>
                  </w:pPr>
                  <w:r>
                    <w:rPr>
                      <w:rFonts w:hint="eastAsia" w:hAnsi="宋体"/>
                      <w:color w:val="000000"/>
                      <w:kern w:val="0"/>
                      <w:szCs w:val="21"/>
                    </w:rPr>
                    <w:t>6.优化产业结构及布局。对标节能减排要求和碳达峰碳中和目标，坚决遏制高耗能高排放项目盲目发展。提高新建项目节能环保准入标准，加大落后和过剩产能压减力度。严格执行国家高耗能、高污染和高资源型行业准入条件，钢铁、水泥熟料、平板玻璃、焦化等新、扩建项目严格实施产能置换，未纳入国家规划的炼油、煤化工等项目不再新建。加快推动沿江地区制造业绿色发展，形成一批国内领先的绿色工厂、绿色产品、绿色园区、绿色供应链。以清洁生产一级水平为</w:t>
                  </w:r>
                </w:p>
                <w:p>
                  <w:pPr>
                    <w:autoSpaceDE w:val="0"/>
                    <w:autoSpaceDN w:val="0"/>
                    <w:jc w:val="center"/>
                    <w:rPr>
                      <w:rFonts w:hAnsi="宋体"/>
                      <w:color w:val="000000"/>
                      <w:kern w:val="0"/>
                      <w:szCs w:val="21"/>
                    </w:rPr>
                  </w:pPr>
                  <w:r>
                    <w:rPr>
                      <w:rFonts w:hint="eastAsia" w:hAnsi="宋体"/>
                      <w:color w:val="000000"/>
                      <w:kern w:val="0"/>
                      <w:szCs w:val="21"/>
                    </w:rPr>
                    <w:t>标杆，加快传统产业技术改造，推动我省长三角中心区内 8 市钢铁、石化、有色金属、建材、船舶、纺织印染、酿造等传统产业绿色转型。严格按照《产业结构调整指导目录》，支持发展先进产能，依法淘汰落后产能，建立“散乱污”企业动态管理机制，坚决杜绝“散乱污”企业异地转移，严防死灰复燃</w:t>
                  </w:r>
                </w:p>
              </w:tc>
              <w:tc>
                <w:tcPr>
                  <w:tcW w:w="2235" w:type="dxa"/>
                  <w:vAlign w:val="center"/>
                </w:tcPr>
                <w:p>
                  <w:pPr>
                    <w:autoSpaceDE w:val="0"/>
                    <w:autoSpaceDN w:val="0"/>
                    <w:jc w:val="center"/>
                    <w:rPr>
                      <w:rFonts w:hint="eastAsia" w:hAnsi="宋体"/>
                      <w:color w:val="0D0D0D" w:themeColor="text1" w:themeTint="F2"/>
                      <w:kern w:val="0"/>
                      <w:szCs w:val="21"/>
                      <w14:textFill>
                        <w14:solidFill>
                          <w14:schemeClr w14:val="tx1">
                            <w14:lumMod w14:val="95000"/>
                            <w14:lumOff w14:val="5000"/>
                          </w14:schemeClr>
                        </w14:solidFill>
                      </w14:textFill>
                    </w:rPr>
                  </w:pPr>
                  <w:r>
                    <w:rPr>
                      <w:rFonts w:hint="eastAsia" w:hAnsi="宋体"/>
                      <w:color w:val="0D0D0D" w:themeColor="text1" w:themeTint="F2"/>
                      <w:kern w:val="0"/>
                      <w:szCs w:val="21"/>
                      <w14:textFill>
                        <w14:solidFill>
                          <w14:schemeClr w14:val="tx1">
                            <w14:lumMod w14:val="95000"/>
                            <w14:lumOff w14:val="5000"/>
                          </w14:schemeClr>
                        </w14:solidFill>
                      </w14:textFill>
                    </w:rPr>
                    <w:t>对照《产业结构调整</w:t>
                  </w:r>
                </w:p>
                <w:p>
                  <w:pPr>
                    <w:autoSpaceDE w:val="0"/>
                    <w:autoSpaceDN w:val="0"/>
                    <w:jc w:val="center"/>
                    <w:rPr>
                      <w:rFonts w:hint="eastAsia" w:hAnsi="宋体"/>
                      <w:color w:val="0D0D0D" w:themeColor="text1" w:themeTint="F2"/>
                      <w:kern w:val="0"/>
                      <w:szCs w:val="21"/>
                      <w14:textFill>
                        <w14:solidFill>
                          <w14:schemeClr w14:val="tx1">
                            <w14:lumMod w14:val="95000"/>
                            <w14:lumOff w14:val="5000"/>
                          </w14:schemeClr>
                        </w14:solidFill>
                      </w14:textFill>
                    </w:rPr>
                  </w:pPr>
                  <w:r>
                    <w:rPr>
                      <w:rFonts w:hint="eastAsia" w:hAnsi="宋体"/>
                      <w:color w:val="0D0D0D" w:themeColor="text1" w:themeTint="F2"/>
                      <w:kern w:val="0"/>
                      <w:szCs w:val="21"/>
                      <w14:textFill>
                        <w14:solidFill>
                          <w14:schemeClr w14:val="tx1">
                            <w14:lumMod w14:val="95000"/>
                            <w14:lumOff w14:val="5000"/>
                          </w14:schemeClr>
                        </w14:solidFill>
                      </w14:textFill>
                    </w:rPr>
                    <w:t>指导目录（2019 年</w:t>
                  </w:r>
                </w:p>
                <w:p>
                  <w:pPr>
                    <w:autoSpaceDE w:val="0"/>
                    <w:autoSpaceDN w:val="0"/>
                    <w:jc w:val="center"/>
                    <w:rPr>
                      <w:rFonts w:hint="eastAsia" w:hAnsi="宋体"/>
                      <w:color w:val="0D0D0D" w:themeColor="text1" w:themeTint="F2"/>
                      <w:kern w:val="0"/>
                      <w:szCs w:val="21"/>
                      <w14:textFill>
                        <w14:solidFill>
                          <w14:schemeClr w14:val="tx1">
                            <w14:lumMod w14:val="95000"/>
                            <w14:lumOff w14:val="5000"/>
                          </w14:schemeClr>
                        </w14:solidFill>
                      </w14:textFill>
                    </w:rPr>
                  </w:pPr>
                  <w:r>
                    <w:rPr>
                      <w:rFonts w:hint="eastAsia" w:hAnsi="宋体"/>
                      <w:color w:val="0D0D0D" w:themeColor="text1" w:themeTint="F2"/>
                      <w:kern w:val="0"/>
                      <w:szCs w:val="21"/>
                      <w14:textFill>
                        <w14:solidFill>
                          <w14:schemeClr w14:val="tx1">
                            <w14:lumMod w14:val="95000"/>
                            <w14:lumOff w14:val="5000"/>
                          </w14:schemeClr>
                        </w14:solidFill>
                      </w14:textFill>
                    </w:rPr>
                    <w:t>本）》，本项目不属</w:t>
                  </w:r>
                </w:p>
                <w:p>
                  <w:pPr>
                    <w:autoSpaceDE w:val="0"/>
                    <w:autoSpaceDN w:val="0"/>
                    <w:jc w:val="center"/>
                    <w:rPr>
                      <w:rFonts w:hint="eastAsia" w:hAnsi="宋体"/>
                      <w:color w:val="0D0D0D" w:themeColor="text1" w:themeTint="F2"/>
                      <w:kern w:val="0"/>
                      <w:szCs w:val="21"/>
                      <w14:textFill>
                        <w14:solidFill>
                          <w14:schemeClr w14:val="tx1">
                            <w14:lumMod w14:val="95000"/>
                            <w14:lumOff w14:val="5000"/>
                          </w14:schemeClr>
                        </w14:solidFill>
                      </w14:textFill>
                    </w:rPr>
                  </w:pPr>
                  <w:r>
                    <w:rPr>
                      <w:rFonts w:hint="eastAsia" w:hAnsi="宋体"/>
                      <w:color w:val="0D0D0D" w:themeColor="text1" w:themeTint="F2"/>
                      <w:kern w:val="0"/>
                      <w:szCs w:val="21"/>
                      <w14:textFill>
                        <w14:solidFill>
                          <w14:schemeClr w14:val="tx1">
                            <w14:lumMod w14:val="95000"/>
                            <w14:lumOff w14:val="5000"/>
                          </w14:schemeClr>
                        </w14:solidFill>
                      </w14:textFill>
                    </w:rPr>
                    <w:t>于鼓励类，也非限制</w:t>
                  </w:r>
                </w:p>
                <w:p>
                  <w:pPr>
                    <w:autoSpaceDE w:val="0"/>
                    <w:autoSpaceDN w:val="0"/>
                    <w:jc w:val="center"/>
                    <w:rPr>
                      <w:rFonts w:hint="eastAsia" w:hAnsi="宋体"/>
                      <w:color w:val="0D0D0D" w:themeColor="text1" w:themeTint="F2"/>
                      <w:kern w:val="0"/>
                      <w:szCs w:val="21"/>
                      <w14:textFill>
                        <w14:solidFill>
                          <w14:schemeClr w14:val="tx1">
                            <w14:lumMod w14:val="95000"/>
                            <w14:lumOff w14:val="5000"/>
                          </w14:schemeClr>
                        </w14:solidFill>
                      </w14:textFill>
                    </w:rPr>
                  </w:pPr>
                  <w:r>
                    <w:rPr>
                      <w:rFonts w:hint="eastAsia" w:hAnsi="宋体"/>
                      <w:color w:val="0D0D0D" w:themeColor="text1" w:themeTint="F2"/>
                      <w:kern w:val="0"/>
                      <w:szCs w:val="21"/>
                      <w14:textFill>
                        <w14:solidFill>
                          <w14:schemeClr w14:val="tx1">
                            <w14:lumMod w14:val="95000"/>
                            <w14:lumOff w14:val="5000"/>
                          </w14:schemeClr>
                        </w14:solidFill>
                      </w14:textFill>
                    </w:rPr>
                    <w:t>类和淘汰类，为允许</w:t>
                  </w:r>
                </w:p>
                <w:p>
                  <w:pPr>
                    <w:autoSpaceDE w:val="0"/>
                    <w:autoSpaceDN w:val="0"/>
                    <w:jc w:val="center"/>
                    <w:rPr>
                      <w:rFonts w:hAnsi="宋体"/>
                      <w:color w:val="0D0D0D" w:themeColor="text1" w:themeTint="F2"/>
                      <w:kern w:val="0"/>
                      <w:szCs w:val="21"/>
                      <w14:textFill>
                        <w14:solidFill>
                          <w14:schemeClr w14:val="tx1">
                            <w14:lumMod w14:val="95000"/>
                            <w14:lumOff w14:val="5000"/>
                          </w14:schemeClr>
                        </w14:solidFill>
                      </w14:textFill>
                    </w:rPr>
                  </w:pPr>
                  <w:r>
                    <w:rPr>
                      <w:rFonts w:hint="eastAsia" w:hAnsi="宋体"/>
                      <w:color w:val="0D0D0D" w:themeColor="text1" w:themeTint="F2"/>
                      <w:kern w:val="0"/>
                      <w:szCs w:val="21"/>
                      <w14:textFill>
                        <w14:solidFill>
                          <w14:schemeClr w14:val="tx1">
                            <w14:lumMod w14:val="95000"/>
                            <w14:lumOff w14:val="5000"/>
                          </w14:schemeClr>
                        </w14:solidFill>
                      </w14:textFill>
                    </w:rPr>
                    <w:t>类</w:t>
                  </w:r>
                </w:p>
              </w:tc>
              <w:tc>
                <w:tcPr>
                  <w:tcW w:w="450" w:type="dxa"/>
                  <w:vAlign w:val="center"/>
                </w:tcPr>
                <w:p>
                  <w:pPr>
                    <w:autoSpaceDE w:val="0"/>
                    <w:autoSpaceDN w:val="0"/>
                    <w:spacing w:line="360" w:lineRule="auto"/>
                    <w:jc w:val="center"/>
                    <w:rPr>
                      <w:rFonts w:hAnsi="宋体"/>
                      <w:color w:val="000000"/>
                      <w:kern w:val="0"/>
                      <w:szCs w:val="21"/>
                    </w:rPr>
                  </w:pPr>
                  <w:r>
                    <w:rPr>
                      <w:rFonts w:hAnsi="宋体"/>
                      <w:color w:val="000000"/>
                      <w:kern w:val="0"/>
                      <w:szCs w:val="21"/>
                    </w:rPr>
                    <w:t>相符</w:t>
                  </w:r>
                </w:p>
              </w:tc>
            </w:tr>
          </w:tbl>
          <w:p>
            <w:pPr>
              <w:rPr>
                <w:rFonts w:hint="eastAsia"/>
                <w:b/>
                <w:color w:val="000000"/>
                <w:sz w:val="24"/>
              </w:rPr>
            </w:pPr>
          </w:p>
          <w:p>
            <w:pPr>
              <w:spacing w:line="340" w:lineRule="auto"/>
              <w:rPr>
                <w:rFonts w:hint="eastAsia" w:ascii="Times New Roman" w:hAnsi="Times New Roman" w:cs="Times New Roman"/>
                <w:b/>
                <w:color w:val="000000"/>
                <w:sz w:val="24"/>
              </w:rPr>
            </w:pPr>
            <w:r>
              <w:rPr>
                <w:rFonts w:hint="eastAsia" w:ascii="Times New Roman" w:hAnsi="Times New Roman" w:cs="Times New Roman"/>
                <w:b/>
                <w:color w:val="000000"/>
                <w:sz w:val="24"/>
                <w:lang w:val="en-US" w:eastAsia="zh-CN"/>
              </w:rPr>
              <w:t>7、</w:t>
            </w:r>
            <w:r>
              <w:rPr>
                <w:rFonts w:hint="eastAsia" w:ascii="Times New Roman" w:hAnsi="Times New Roman" w:cs="Times New Roman"/>
                <w:b/>
                <w:color w:val="000000"/>
                <w:sz w:val="24"/>
              </w:rPr>
              <w:t>与《安徽省生态环境厅关于印发加强高耗能、高排放项目生态环境源头防控的实施意见的通知》相符性分析</w:t>
            </w:r>
          </w:p>
          <w:p>
            <w:pPr>
              <w:spacing w:line="340" w:lineRule="auto"/>
              <w:jc w:val="center"/>
              <w:rPr>
                <w:rFonts w:hint="eastAsia" w:ascii="Times New Roman" w:hAnsi="Times New Roman" w:cs="Times New Roman"/>
                <w:b/>
                <w:color w:val="000000"/>
                <w:sz w:val="24"/>
              </w:rPr>
            </w:pPr>
            <w:r>
              <w:rPr>
                <w:rFonts w:hint="eastAsia" w:ascii="Times New Roman" w:hAnsi="Times New Roman" w:cs="Times New Roman"/>
                <w:b/>
                <w:color w:val="000000"/>
                <w:sz w:val="24"/>
              </w:rPr>
              <w:t>表 1-7“安徽省生态环境厅关于印发加强高耗能、高排放项目生态环境</w:t>
            </w:r>
          </w:p>
          <w:p>
            <w:pPr>
              <w:spacing w:line="340" w:lineRule="auto"/>
              <w:jc w:val="center"/>
              <w:rPr>
                <w:rFonts w:hint="eastAsia" w:ascii="Times New Roman" w:hAnsi="Times New Roman" w:cs="Times New Roman"/>
                <w:b/>
                <w:color w:val="000000"/>
                <w:sz w:val="24"/>
              </w:rPr>
            </w:pPr>
            <w:r>
              <w:rPr>
                <w:rFonts w:hint="eastAsia" w:ascii="Times New Roman" w:hAnsi="Times New Roman" w:cs="Times New Roman"/>
                <w:b/>
                <w:color w:val="000000"/>
                <w:sz w:val="24"/>
              </w:rPr>
              <w:t>源头防控的实施意见的通知”符合性分析一览表</w:t>
            </w:r>
          </w:p>
          <w:tbl>
            <w:tblPr>
              <w:tblStyle w:val="26"/>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38"/>
              <w:gridCol w:w="4315"/>
              <w:gridCol w:w="2248"/>
              <w:gridCol w:w="45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435" w:type="dxa"/>
                  <w:vAlign w:val="center"/>
                </w:tcPr>
                <w:p>
                  <w:pPr>
                    <w:autoSpaceDE w:val="0"/>
                    <w:autoSpaceDN w:val="0"/>
                    <w:spacing w:line="360" w:lineRule="auto"/>
                    <w:jc w:val="center"/>
                    <w:rPr>
                      <w:rFonts w:hAnsi="宋体"/>
                      <w:b/>
                      <w:color w:val="000000"/>
                      <w:kern w:val="0"/>
                      <w:szCs w:val="21"/>
                    </w:rPr>
                  </w:pPr>
                  <w:r>
                    <w:rPr>
                      <w:rFonts w:hAnsi="宋体"/>
                      <w:b/>
                      <w:color w:val="000000"/>
                      <w:kern w:val="0"/>
                      <w:szCs w:val="21"/>
                    </w:rPr>
                    <w:t>序号</w:t>
                  </w:r>
                </w:p>
              </w:tc>
              <w:tc>
                <w:tcPr>
                  <w:tcW w:w="4290" w:type="dxa"/>
                  <w:vAlign w:val="center"/>
                </w:tcPr>
                <w:p>
                  <w:pPr>
                    <w:autoSpaceDE w:val="0"/>
                    <w:autoSpaceDN w:val="0"/>
                    <w:spacing w:line="360" w:lineRule="auto"/>
                    <w:jc w:val="center"/>
                    <w:rPr>
                      <w:rFonts w:hint="default" w:hAnsi="宋体" w:eastAsia="宋体"/>
                      <w:b/>
                      <w:color w:val="000000"/>
                      <w:kern w:val="0"/>
                      <w:szCs w:val="21"/>
                      <w:lang w:val="en-US" w:eastAsia="zh-CN"/>
                    </w:rPr>
                  </w:pPr>
                  <w:r>
                    <w:rPr>
                      <w:rFonts w:hint="eastAsia" w:hAnsi="宋体"/>
                      <w:b/>
                      <w:color w:val="000000"/>
                      <w:kern w:val="0"/>
                      <w:szCs w:val="21"/>
                      <w:lang w:val="en-US" w:eastAsia="zh-CN"/>
                    </w:rPr>
                    <w:t>文件要求</w:t>
                  </w:r>
                </w:p>
              </w:tc>
              <w:tc>
                <w:tcPr>
                  <w:tcW w:w="2235" w:type="dxa"/>
                  <w:vAlign w:val="center"/>
                </w:tcPr>
                <w:p>
                  <w:pPr>
                    <w:autoSpaceDE w:val="0"/>
                    <w:autoSpaceDN w:val="0"/>
                    <w:spacing w:line="360" w:lineRule="auto"/>
                    <w:jc w:val="center"/>
                    <w:rPr>
                      <w:rFonts w:hAnsi="宋体"/>
                      <w:b/>
                      <w:color w:val="000000"/>
                      <w:kern w:val="0"/>
                      <w:szCs w:val="21"/>
                    </w:rPr>
                  </w:pPr>
                  <w:r>
                    <w:rPr>
                      <w:rFonts w:hint="eastAsia" w:hAnsi="宋体"/>
                      <w:b/>
                      <w:color w:val="000000"/>
                      <w:kern w:val="0"/>
                      <w:szCs w:val="21"/>
                    </w:rPr>
                    <w:t>本项目相符性分析</w:t>
                  </w:r>
                </w:p>
              </w:tc>
              <w:tc>
                <w:tcPr>
                  <w:tcW w:w="450" w:type="dxa"/>
                  <w:vAlign w:val="center"/>
                </w:tcPr>
                <w:p>
                  <w:pPr>
                    <w:autoSpaceDE w:val="0"/>
                    <w:autoSpaceDN w:val="0"/>
                    <w:spacing w:line="360" w:lineRule="auto"/>
                    <w:jc w:val="center"/>
                    <w:rPr>
                      <w:rFonts w:hAnsi="宋体"/>
                      <w:b/>
                      <w:color w:val="000000"/>
                      <w:kern w:val="0"/>
                      <w:szCs w:val="21"/>
                    </w:rPr>
                  </w:pPr>
                  <w:r>
                    <w:rPr>
                      <w:rFonts w:hAnsi="宋体"/>
                      <w:b/>
                      <w:color w:val="000000"/>
                      <w:kern w:val="0"/>
                      <w:szCs w:val="21"/>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15" w:hRule="atLeast"/>
              </w:trPr>
              <w:tc>
                <w:tcPr>
                  <w:tcW w:w="435" w:type="dxa"/>
                  <w:vAlign w:val="center"/>
                </w:tcPr>
                <w:p>
                  <w:pPr>
                    <w:autoSpaceDE w:val="0"/>
                    <w:autoSpaceDN w:val="0"/>
                    <w:jc w:val="center"/>
                    <w:rPr>
                      <w:rFonts w:hAnsi="宋体"/>
                      <w:color w:val="000000"/>
                      <w:kern w:val="0"/>
                      <w:szCs w:val="21"/>
                    </w:rPr>
                  </w:pPr>
                  <w:r>
                    <w:rPr>
                      <w:rFonts w:hint="eastAsia" w:hAnsi="宋体"/>
                      <w:color w:val="000000"/>
                      <w:kern w:val="0"/>
                      <w:szCs w:val="21"/>
                    </w:rPr>
                    <w:t>1</w:t>
                  </w:r>
                </w:p>
              </w:tc>
              <w:tc>
                <w:tcPr>
                  <w:tcW w:w="4290" w:type="dxa"/>
                  <w:vAlign w:val="center"/>
                </w:tcPr>
                <w:p>
                  <w:pPr>
                    <w:autoSpaceDE w:val="0"/>
                    <w:autoSpaceDN w:val="0"/>
                    <w:jc w:val="center"/>
                    <w:rPr>
                      <w:rFonts w:hint="eastAsia" w:ascii="Times New Roman" w:hAnsi="宋体" w:cs="Times New Roman"/>
                      <w:color w:val="000000"/>
                      <w:kern w:val="0"/>
                      <w:szCs w:val="21"/>
                    </w:rPr>
                  </w:pPr>
                  <w:r>
                    <w:rPr>
                      <w:rFonts w:hint="eastAsia" w:ascii="Times New Roman" w:hAnsi="宋体" w:cs="Times New Roman"/>
                      <w:color w:val="000000"/>
                      <w:kern w:val="0"/>
                      <w:szCs w:val="21"/>
                    </w:rPr>
                    <w:t>三、严格环境准入。各地不得受理钢铁、水泥、电解铝、平板玻璃、铸造等产能严重过剩行业新增产能项目的环评文件；对国家明令淘汰、禁止建设、不符合国家产业政策的项目环评文件，一律不批；沿江各市应按国家推长办《长江经济带发展负面清单指南（试行）》及我省实施细则要求，对合规园区外新建、扩建钢铁、石化、化工、焦化、建材、有色等“两高”项目的环评文件一律不批。新增主要污染物排放量的“两高”项目应按照生态环境部办公厅《关于加强重点行业建</w:t>
                  </w:r>
                </w:p>
                <w:p>
                  <w:pPr>
                    <w:autoSpaceDE w:val="0"/>
                    <w:autoSpaceDN w:val="0"/>
                    <w:jc w:val="center"/>
                    <w:rPr>
                      <w:rFonts w:hAnsi="宋体"/>
                      <w:color w:val="000000"/>
                      <w:kern w:val="0"/>
                      <w:szCs w:val="21"/>
                    </w:rPr>
                  </w:pPr>
                  <w:r>
                    <w:rPr>
                      <w:rFonts w:hint="eastAsia" w:ascii="Times New Roman" w:hAnsi="宋体" w:cs="Times New Roman"/>
                      <w:color w:val="000000"/>
                      <w:kern w:val="0"/>
                      <w:szCs w:val="21"/>
                    </w:rPr>
                    <w:t>设项目区域削减措施监督管理的通知》（环办环评〔2020〕36 号）要求，依据区域环境质量改善目标，制定配套区域污染物削减方案，采取有效的污染物区域削减措施，相应的减排措施应在项目投产前完成</w:t>
                  </w:r>
                </w:p>
              </w:tc>
              <w:tc>
                <w:tcPr>
                  <w:tcW w:w="2235" w:type="dxa"/>
                  <w:vAlign w:val="center"/>
                </w:tcPr>
                <w:p>
                  <w:pPr>
                    <w:rPr>
                      <w:rFonts w:hAnsi="宋体"/>
                      <w:color w:val="0D0D0D" w:themeColor="text1" w:themeTint="F2"/>
                      <w:kern w:val="0"/>
                      <w:szCs w:val="21"/>
                      <w14:textFill>
                        <w14:solidFill>
                          <w14:schemeClr w14:val="tx1">
                            <w14:lumMod w14:val="95000"/>
                            <w14:lumOff w14:val="5000"/>
                          </w14:schemeClr>
                        </w14:solidFill>
                      </w14:textFill>
                    </w:rPr>
                  </w:pPr>
                  <w:r>
                    <w:rPr>
                      <w:rFonts w:hint="eastAsia"/>
                    </w:rPr>
                    <w:t>本项目属于</w:t>
                  </w:r>
                  <w:r>
                    <w:rPr>
                      <w:rFonts w:hint="eastAsia"/>
                      <w:lang w:val="en-US" w:eastAsia="zh-CN"/>
                    </w:rPr>
                    <w:t>其他非金属矿物制品</w:t>
                  </w:r>
                  <w:r>
                    <w:rPr>
                      <w:rFonts w:hint="eastAsia"/>
                    </w:rPr>
                    <w:t>制造行业，不属于钢铁、水泥、电解铝、平板玻璃、铸造等产能严重过剩的行业，不属于钢铁、石化、化工、焦化、建材、有色等“两高”行业，对照《产业结构调整指导目录（2019 年本）》，本项目不属于鼓励类，也非限制类和淘汰类，为允许类项目</w:t>
                  </w:r>
                </w:p>
              </w:tc>
              <w:tc>
                <w:tcPr>
                  <w:tcW w:w="450" w:type="dxa"/>
                  <w:vAlign w:val="center"/>
                </w:tcPr>
                <w:p>
                  <w:pPr>
                    <w:autoSpaceDE w:val="0"/>
                    <w:autoSpaceDN w:val="0"/>
                    <w:spacing w:line="360" w:lineRule="auto"/>
                    <w:jc w:val="center"/>
                    <w:rPr>
                      <w:rFonts w:hAnsi="宋体"/>
                      <w:color w:val="000000"/>
                      <w:kern w:val="0"/>
                      <w:szCs w:val="21"/>
                    </w:rPr>
                  </w:pPr>
                  <w:r>
                    <w:rPr>
                      <w:rFonts w:hAnsi="宋体"/>
                      <w:color w:val="000000"/>
                      <w:kern w:val="0"/>
                      <w:szCs w:val="21"/>
                    </w:rPr>
                    <w:t>相符</w:t>
                  </w:r>
                </w:p>
              </w:tc>
            </w:tr>
          </w:tbl>
          <w:p>
            <w:pPr>
              <w:rPr>
                <w:rFonts w:cs="宋体"/>
                <w:kern w:val="0"/>
                <w:sz w:val="24"/>
              </w:rPr>
            </w:pPr>
          </w:p>
          <w:p>
            <w:pPr>
              <w:spacing w:line="340" w:lineRule="auto"/>
              <w:rPr>
                <w:rFonts w:hint="eastAsia" w:ascii="Times New Roman" w:hAnsi="Times New Roman" w:cs="Times New Roman"/>
                <w:b/>
                <w:color w:val="000000"/>
                <w:sz w:val="24"/>
              </w:rPr>
            </w:pPr>
            <w:r>
              <w:rPr>
                <w:rFonts w:hint="eastAsia" w:ascii="Times New Roman" w:hAnsi="Times New Roman" w:eastAsia="宋体" w:cs="Times New Roman"/>
                <w:b/>
                <w:color w:val="000000"/>
                <w:sz w:val="24"/>
                <w:lang w:val="en-US" w:eastAsia="zh-CN"/>
              </w:rPr>
              <w:t>9、与国家发展改革委等部门关于发布《高耗能行业重点领域能效标杆水平和基准水平（2021年版）》的通知</w:t>
            </w:r>
            <w:r>
              <w:rPr>
                <w:rFonts w:hint="eastAsia" w:ascii="Times New Roman" w:hAnsi="Times New Roman" w:cs="Times New Roman"/>
                <w:b/>
                <w:color w:val="000000"/>
                <w:sz w:val="24"/>
              </w:rPr>
              <w:t>相符性分析</w:t>
            </w:r>
          </w:p>
          <w:p>
            <w:pPr>
              <w:pStyle w:val="8"/>
              <w:spacing w:line="360" w:lineRule="auto"/>
              <w:ind w:firstLine="480" w:firstLineChars="20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为指导各地科学有序做好高耗能行业节能降碳技术改造，有效遏制“两高”项目盲目发展，国家发展改革委、工业和信息化部、生态环境部、国家市场监督管理总局和国家能源局联合印发了《关于发布(高耗能行业重点领域能效标杆水平和基准水平(2021年版))的通知》指出了高耗能行业的客观属性和重要作用，强调要突出标准引领作用、分类推动项目提效达标、限期分批改造升级和淘汰、完善相关配套支持政策，要求各地方坚持系统观念，尊重市场规律，细化工作要求，强化责任落实，稳妥有序推动节能降碳技术改造，切实避免“一刀切”管理和“运动式”减碳，确保产业链供应链稳定和经济社会平稳运行。</w:t>
            </w:r>
          </w:p>
          <w:p>
            <w:pPr>
              <w:pStyle w:val="8"/>
              <w:spacing w:line="360" w:lineRule="auto"/>
              <w:ind w:firstLine="480" w:firstLineChars="200"/>
              <w:rPr>
                <w:rFonts w:hint="eastAsia" w:eastAsia="宋体" w:cs="宋体"/>
                <w:kern w:val="0"/>
                <w:sz w:val="24"/>
                <w:lang w:val="en-US" w:eastAsia="zh-CN"/>
              </w:rPr>
            </w:pPr>
            <w:r>
              <w:rPr>
                <w:rFonts w:hint="eastAsia" w:ascii="Times New Roman" w:hAnsi="Times New Roman" w:eastAsia="宋体" w:cs="Times New Roman"/>
                <w:lang w:val="en-US" w:eastAsia="zh-CN"/>
              </w:rPr>
              <w:t>本项目属于其他非金属矿物制品制造行业，不属于钢铁、石化、化工、焦化、建材、有色等“两高”行业，对照《产业结构调整指导目录（2019 年本）》，本项目不属于鼓励类，也非限制类和淘汰类，为允许类项目</w:t>
            </w:r>
            <w:r>
              <w:rPr>
                <w:rFonts w:hint="eastAsia" w:cs="Times New Roman"/>
                <w:lang w:val="en-US" w:eastAsia="zh-CN"/>
              </w:rPr>
              <w:t>。</w:t>
            </w:r>
          </w:p>
        </w:tc>
      </w:tr>
    </w:tbl>
    <w:p>
      <w:pPr>
        <w:spacing w:line="360" w:lineRule="auto"/>
        <w:outlineLvl w:val="0"/>
        <w:rPr>
          <w:sz w:val="30"/>
        </w:rPr>
        <w:sectPr>
          <w:footerReference r:id="rId3" w:type="default"/>
          <w:pgSz w:w="11906" w:h="16838"/>
          <w:pgMar w:top="1701" w:right="1531" w:bottom="1701" w:left="1531" w:header="851" w:footer="1077" w:gutter="0"/>
          <w:pgNumType w:start="1"/>
          <w:cols w:space="720" w:num="1"/>
          <w:docGrid w:linePitch="312" w:charSpace="0"/>
        </w:sectPr>
      </w:pPr>
    </w:p>
    <w:p>
      <w:pPr>
        <w:pStyle w:val="24"/>
        <w:jc w:val="center"/>
        <w:outlineLvl w:val="0"/>
        <w:rPr>
          <w:rFonts w:ascii="Times New Roman" w:hAnsi="Times New Roman"/>
          <w:snapToGrid w:val="0"/>
          <w:sz w:val="30"/>
          <w:szCs w:val="30"/>
        </w:rPr>
      </w:pPr>
      <w:r>
        <w:rPr>
          <w:rFonts w:hint="eastAsia" w:ascii="Times New Roman" w:hAnsi="Times New Roman"/>
          <w:snapToGrid w:val="0"/>
          <w:sz w:val="30"/>
          <w:szCs w:val="30"/>
        </w:rPr>
        <w:t>二、建设项目工程分析</w:t>
      </w:r>
    </w:p>
    <w:tbl>
      <w:tblPr>
        <w:tblStyle w:val="26"/>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9"/>
        <w:gridCol w:w="793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785" w:hRule="atLeast"/>
          <w:jc w:val="center"/>
        </w:trPr>
        <w:tc>
          <w:tcPr>
            <w:tcW w:w="889" w:type="dxa"/>
            <w:vAlign w:val="center"/>
          </w:tcPr>
          <w:p>
            <w:pPr>
              <w:pStyle w:val="24"/>
              <w:adjustRightInd w:val="0"/>
              <w:snapToGrid w:val="0"/>
              <w:spacing w:before="0" w:beforeAutospacing="0" w:after="0" w:afterAutospacing="0"/>
              <w:jc w:val="center"/>
              <w:rPr>
                <w:rFonts w:ascii="Times New Roman" w:hAnsi="Times New Roman" w:cs="宋体"/>
                <w:sz w:val="21"/>
                <w:szCs w:val="21"/>
              </w:rPr>
            </w:pPr>
            <w:r>
              <w:rPr>
                <w:rFonts w:hint="eastAsia" w:ascii="Times New Roman" w:hAnsi="Times New Roman" w:cs="宋体"/>
                <w:szCs w:val="24"/>
              </w:rPr>
              <w:t>建设内容</w:t>
            </w:r>
          </w:p>
        </w:tc>
        <w:tc>
          <w:tcPr>
            <w:tcW w:w="7935" w:type="dxa"/>
          </w:tcPr>
          <w:p>
            <w:pPr>
              <w:spacing w:line="360" w:lineRule="auto"/>
              <w:ind w:firstLine="480" w:firstLineChars="200"/>
              <w:rPr>
                <w:rFonts w:hint="eastAsia" w:ascii="Times New Roman" w:hAnsi="Times New Roman" w:eastAsia="宋体" w:cs="Times New Roman"/>
                <w:kern w:val="0"/>
                <w:sz w:val="24"/>
                <w:szCs w:val="20"/>
                <w:lang w:val="en-US" w:eastAsia="zh-CN" w:bidi="ar-SA"/>
              </w:rPr>
            </w:pPr>
            <w:r>
              <w:rPr>
                <w:rFonts w:hint="eastAsia" w:ascii="Times New Roman" w:hAnsi="Times New Roman" w:eastAsia="宋体" w:cs="Times New Roman"/>
                <w:kern w:val="0"/>
                <w:sz w:val="24"/>
                <w:szCs w:val="20"/>
                <w:lang w:val="en-US" w:eastAsia="zh-CN" w:bidi="ar-SA"/>
              </w:rPr>
              <w:t>1、企业概况及项目背景</w:t>
            </w:r>
          </w:p>
          <w:p>
            <w:pPr>
              <w:pStyle w:val="8"/>
              <w:spacing w:line="360" w:lineRule="auto"/>
              <w:ind w:firstLine="480" w:firstLineChars="200"/>
              <w:rPr>
                <w:rFonts w:hint="eastAsia"/>
              </w:rPr>
            </w:pPr>
            <w:r>
              <w:rPr>
                <w:rFonts w:hint="eastAsia"/>
              </w:rPr>
              <w:t>芜湖新兴新材料产业园有限公司是新兴铸管股份有限公司的全资子公司，是新兴铸管股份有限公司最大的管配件生产基地之一，注册资本1亿元，经营范围主要是球铁管件及其他铸造制品的设计、生产、销售。</w:t>
            </w:r>
          </w:p>
          <w:p>
            <w:pPr>
              <w:pStyle w:val="31"/>
              <w:spacing w:line="360" w:lineRule="auto"/>
              <w:ind w:firstLine="480" w:firstLineChars="200"/>
              <w:jc w:val="both"/>
              <w:rPr>
                <w:rFonts w:hint="eastAsia"/>
              </w:rPr>
            </w:pPr>
            <w:r>
              <w:rPr>
                <w:rFonts w:hint="eastAsia"/>
              </w:rPr>
              <w:t>自建厂以来，新兴铸管股份有限公司没有设立砂库，只能通过供应商将自制水洗砂送货至在线的砂仓，</w:t>
            </w:r>
            <w:r>
              <w:rPr>
                <w:rFonts w:hint="eastAsia"/>
                <w:lang w:val="en-US" w:eastAsia="zh-CN"/>
              </w:rPr>
              <w:t>为保证</w:t>
            </w:r>
            <w:r>
              <w:rPr>
                <w:rFonts w:hint="default"/>
              </w:rPr>
              <w:t>新兴铸管股份有限公司</w:t>
            </w:r>
            <w:r>
              <w:rPr>
                <w:rFonts w:hint="eastAsia"/>
                <w:lang w:val="en-US" w:eastAsia="zh-CN"/>
              </w:rPr>
              <w:t>正常生产，</w:t>
            </w:r>
            <w:r>
              <w:rPr>
                <w:rFonts w:hint="default"/>
                <w:lang w:eastAsia="zh-CN"/>
              </w:rPr>
              <w:t>芜湖新兴新材料产业园有限公司</w:t>
            </w:r>
            <w:r>
              <w:rPr>
                <w:rFonts w:hint="default"/>
                <w:lang w:val="en-US" w:eastAsia="zh-CN"/>
              </w:rPr>
              <w:t>购买</w:t>
            </w:r>
            <w:r>
              <w:rPr>
                <w:rFonts w:hint="default"/>
                <w:lang w:eastAsia="zh-CN"/>
              </w:rPr>
              <w:t>安徽省芜湖市三山区经济开发区春洲路</w:t>
            </w:r>
            <w:r>
              <w:rPr>
                <w:rFonts w:hint="default" w:ascii="Times New Roman" w:hAnsi="Times New Roman" w:cs="Times New Roman"/>
                <w:lang w:eastAsia="zh-CN"/>
              </w:rPr>
              <w:t>2</w:t>
            </w:r>
            <w:r>
              <w:rPr>
                <w:rFonts w:hint="default"/>
                <w:lang w:eastAsia="zh-CN"/>
              </w:rPr>
              <w:t>号</w:t>
            </w:r>
            <w:r>
              <w:rPr>
                <w:rFonts w:hint="default"/>
              </w:rPr>
              <w:t>进行</w:t>
            </w:r>
            <w:r>
              <w:rPr>
                <w:rFonts w:hint="eastAsia"/>
                <w:lang w:val="en-US" w:eastAsia="zh-CN"/>
              </w:rPr>
              <w:t>原</w:t>
            </w:r>
            <w:r>
              <w:rPr>
                <w:rFonts w:hint="default"/>
              </w:rPr>
              <w:t>项</w:t>
            </w:r>
            <w:r>
              <w:rPr>
                <w:rFonts w:hint="default"/>
                <w:lang w:eastAsia="zh-CN"/>
              </w:rPr>
              <w:t>目</w:t>
            </w:r>
            <w:r>
              <w:rPr>
                <w:rFonts w:hint="default"/>
                <w:lang w:val="en-US" w:eastAsia="zh-CN"/>
              </w:rPr>
              <w:t>“</w:t>
            </w:r>
            <w:r>
              <w:rPr>
                <w:rFonts w:hint="default"/>
                <w:lang w:eastAsia="zh-CN"/>
              </w:rPr>
              <w:t>造型材料制品车间项目</w:t>
            </w:r>
            <w:r>
              <w:rPr>
                <w:rFonts w:hint="default"/>
                <w:lang w:val="en-US" w:eastAsia="zh-CN"/>
              </w:rPr>
              <w:t>”</w:t>
            </w:r>
            <w:r>
              <w:rPr>
                <w:rFonts w:hint="default"/>
                <w:lang w:eastAsia="zh-CN"/>
              </w:rPr>
              <w:t>建设</w:t>
            </w:r>
            <w:r>
              <w:rPr>
                <w:rFonts w:hint="default"/>
                <w:lang w:val="en-US" w:eastAsia="zh-CN"/>
              </w:rPr>
              <w:t>。</w:t>
            </w:r>
            <w:r>
              <w:rPr>
                <w:rFonts w:hint="default"/>
                <w:lang w:eastAsia="zh-CN"/>
              </w:rPr>
              <w:t>该项目</w:t>
            </w:r>
            <w:r>
              <w:rPr>
                <w:rFonts w:hint="eastAsia"/>
                <w:lang w:eastAsia="zh-CN"/>
              </w:rPr>
              <w:t>于</w:t>
            </w:r>
            <w:r>
              <w:rPr>
                <w:rFonts w:hint="eastAsia" w:ascii="Times New Roman" w:hAnsi="Times New Roman" w:cs="Times New Roman"/>
                <w:lang w:eastAsia="zh-CN"/>
              </w:rPr>
              <w:t>2019</w:t>
            </w:r>
            <w:r>
              <w:rPr>
                <w:rFonts w:hint="eastAsia"/>
                <w:lang w:eastAsia="zh-CN"/>
              </w:rPr>
              <w:t>年</w:t>
            </w:r>
            <w:r>
              <w:rPr>
                <w:rFonts w:hint="eastAsia" w:ascii="Times New Roman" w:hAnsi="Times New Roman" w:cs="Times New Roman"/>
                <w:lang w:eastAsia="zh-CN"/>
              </w:rPr>
              <w:t>12</w:t>
            </w:r>
            <w:r>
              <w:rPr>
                <w:rFonts w:hint="eastAsia"/>
                <w:lang w:eastAsia="zh-CN"/>
              </w:rPr>
              <w:t>月</w:t>
            </w:r>
            <w:r>
              <w:rPr>
                <w:rFonts w:hint="eastAsia" w:ascii="Times New Roman" w:hAnsi="Times New Roman" w:cs="Times New Roman"/>
                <w:lang w:eastAsia="zh-CN"/>
              </w:rPr>
              <w:t>25</w:t>
            </w:r>
            <w:r>
              <w:rPr>
                <w:rFonts w:hint="eastAsia"/>
                <w:lang w:eastAsia="zh-CN"/>
              </w:rPr>
              <w:t>日取得芜湖市三山区发展和改革委员会文件《关于同意芜湖新兴新材料产业园有限公司造型材料制品车间项目登记备案的通知》（三发改</w:t>
            </w:r>
            <w:r>
              <w:rPr>
                <w:rFonts w:hint="default" w:ascii="Times New Roman" w:hAnsi="Times New Roman" w:cs="Times New Roman"/>
                <w:lang w:eastAsia="zh-CN"/>
              </w:rPr>
              <w:t>[2019]149</w:t>
            </w:r>
            <w:r>
              <w:rPr>
                <w:rFonts w:hint="eastAsia"/>
                <w:lang w:eastAsia="zh-CN"/>
              </w:rPr>
              <w:t>）。</w:t>
            </w:r>
            <w:r>
              <w:rPr>
                <w:rFonts w:hint="eastAsia" w:ascii="Times New Roman" w:hAnsi="Times New Roman" w:cs="Times New Roman"/>
                <w:lang w:val="en-US" w:eastAsia="zh-CN"/>
              </w:rPr>
              <w:t>2020</w:t>
            </w:r>
            <w:r>
              <w:rPr>
                <w:rFonts w:hint="eastAsia" w:ascii="Times New Roman" w:hAnsi="Times New Roman" w:eastAsia="宋体" w:cs="Times New Roman"/>
                <w:color w:val="auto"/>
                <w:kern w:val="0"/>
                <w:sz w:val="24"/>
                <w:szCs w:val="20"/>
                <w:lang w:val="en-US" w:eastAsia="zh-CN" w:bidi="ar-SA"/>
              </w:rPr>
              <w:t>年</w:t>
            </w:r>
            <w:r>
              <w:rPr>
                <w:rFonts w:hint="eastAsia" w:ascii="Times New Roman" w:hAnsi="Times New Roman" w:cs="Times New Roman"/>
                <w:lang w:val="en-US" w:eastAsia="zh-CN"/>
              </w:rPr>
              <w:t>2</w:t>
            </w:r>
            <w:r>
              <w:rPr>
                <w:rFonts w:hint="eastAsia" w:ascii="Times New Roman" w:hAnsi="Times New Roman" w:eastAsia="宋体" w:cs="Times New Roman"/>
                <w:color w:val="auto"/>
                <w:kern w:val="0"/>
                <w:sz w:val="24"/>
                <w:szCs w:val="20"/>
                <w:lang w:val="en-US" w:eastAsia="zh-CN" w:bidi="ar-SA"/>
              </w:rPr>
              <w:t>月，委托安徽海智博天环保科技有限公司编制了《芜湖新兴新材料产业园有限公司造型材料制品车间项目环境影响报告表》，</w:t>
            </w:r>
            <w:r>
              <w:rPr>
                <w:rFonts w:hint="eastAsia" w:ascii="Times New Roman" w:hAnsi="Times New Roman" w:cs="Times New Roman"/>
                <w:lang w:val="en-US" w:eastAsia="zh-CN"/>
              </w:rPr>
              <w:t>2020</w:t>
            </w:r>
            <w:r>
              <w:rPr>
                <w:rFonts w:hint="eastAsia" w:ascii="Times New Roman" w:hAnsi="Times New Roman" w:eastAsia="宋体" w:cs="Times New Roman"/>
                <w:color w:val="auto"/>
                <w:kern w:val="0"/>
                <w:sz w:val="24"/>
                <w:szCs w:val="20"/>
                <w:lang w:val="en-US" w:eastAsia="zh-CN" w:bidi="ar-SA"/>
              </w:rPr>
              <w:t>年</w:t>
            </w:r>
            <w:r>
              <w:rPr>
                <w:rFonts w:hint="eastAsia" w:ascii="Times New Roman" w:hAnsi="Times New Roman" w:cs="Times New Roman"/>
                <w:lang w:val="en-US" w:eastAsia="zh-CN"/>
              </w:rPr>
              <w:t>3</w:t>
            </w:r>
            <w:r>
              <w:rPr>
                <w:rFonts w:hint="eastAsia" w:ascii="Times New Roman" w:hAnsi="Times New Roman" w:eastAsia="宋体" w:cs="Times New Roman"/>
                <w:color w:val="auto"/>
                <w:kern w:val="0"/>
                <w:sz w:val="24"/>
                <w:szCs w:val="20"/>
                <w:lang w:val="en-US" w:eastAsia="zh-CN" w:bidi="ar-SA"/>
              </w:rPr>
              <w:t>月</w:t>
            </w:r>
            <w:r>
              <w:rPr>
                <w:rFonts w:hint="eastAsia" w:ascii="Times New Roman" w:hAnsi="Times New Roman" w:cs="Times New Roman"/>
                <w:lang w:val="en-US" w:eastAsia="zh-CN"/>
              </w:rPr>
              <w:t>17</w:t>
            </w:r>
            <w:r>
              <w:rPr>
                <w:rFonts w:hint="eastAsia" w:ascii="Times New Roman" w:hAnsi="Times New Roman" w:eastAsia="宋体" w:cs="Times New Roman"/>
                <w:color w:val="auto"/>
                <w:kern w:val="0"/>
                <w:sz w:val="24"/>
                <w:szCs w:val="20"/>
                <w:lang w:val="en-US" w:eastAsia="zh-CN" w:bidi="ar-SA"/>
              </w:rPr>
              <w:t>日取得芜湖市生态环境局的审批意见（芜环评审</w:t>
            </w:r>
            <w:r>
              <w:rPr>
                <w:rFonts w:hint="eastAsia" w:ascii="Times New Roman" w:hAnsi="Times New Roman" w:cs="Times New Roman"/>
                <w:lang w:val="en-US" w:eastAsia="zh-CN"/>
              </w:rPr>
              <w:t>[2020]53</w:t>
            </w:r>
            <w:r>
              <w:rPr>
                <w:rFonts w:hint="eastAsia" w:ascii="Times New Roman" w:hAnsi="Times New Roman" w:eastAsia="宋体" w:cs="Times New Roman"/>
                <w:color w:val="auto"/>
                <w:kern w:val="0"/>
                <w:sz w:val="24"/>
                <w:szCs w:val="20"/>
                <w:lang w:val="en-US" w:eastAsia="zh-CN" w:bidi="ar-SA"/>
              </w:rPr>
              <w:t>号）。并于</w:t>
            </w:r>
            <w:r>
              <w:rPr>
                <w:rFonts w:hint="eastAsia" w:ascii="Times New Roman" w:hAnsi="Times New Roman" w:cs="Times New Roman"/>
                <w:lang w:val="en-US" w:eastAsia="zh-CN"/>
              </w:rPr>
              <w:t>2020</w:t>
            </w:r>
            <w:r>
              <w:rPr>
                <w:rFonts w:hint="eastAsia" w:ascii="Times New Roman" w:hAnsi="Times New Roman" w:eastAsia="宋体" w:cs="Times New Roman"/>
                <w:color w:val="auto"/>
                <w:kern w:val="0"/>
                <w:sz w:val="24"/>
                <w:szCs w:val="20"/>
                <w:lang w:val="en-US" w:eastAsia="zh-CN" w:bidi="ar-SA"/>
              </w:rPr>
              <w:t>年</w:t>
            </w:r>
            <w:r>
              <w:rPr>
                <w:rFonts w:hint="eastAsia" w:ascii="Times New Roman" w:hAnsi="Times New Roman" w:cs="Times New Roman"/>
                <w:lang w:val="en-US" w:eastAsia="zh-CN"/>
              </w:rPr>
              <w:t>10</w:t>
            </w:r>
            <w:r>
              <w:rPr>
                <w:rFonts w:hint="eastAsia" w:ascii="Times New Roman" w:hAnsi="Times New Roman" w:eastAsia="宋体" w:cs="Times New Roman"/>
                <w:color w:val="auto"/>
                <w:kern w:val="0"/>
                <w:sz w:val="24"/>
                <w:szCs w:val="20"/>
                <w:lang w:val="en-US" w:eastAsia="zh-CN" w:bidi="ar-SA"/>
              </w:rPr>
              <w:t>月通过环保验收。</w:t>
            </w:r>
          </w:p>
          <w:p>
            <w:pPr>
              <w:pStyle w:val="8"/>
              <w:spacing w:line="360" w:lineRule="auto"/>
              <w:ind w:firstLine="480" w:firstLineChars="200"/>
              <w:rPr>
                <w:rFonts w:hint="eastAsia"/>
              </w:rPr>
            </w:pPr>
            <w:r>
              <w:rPr>
                <w:rFonts w:hint="default"/>
                <w:lang w:val="en-US" w:eastAsia="zh-CN"/>
              </w:rPr>
              <w:t>为扩大产品规模，</w:t>
            </w:r>
            <w:r>
              <w:rPr>
                <w:rFonts w:hint="eastAsia"/>
                <w:lang w:val="en-US" w:eastAsia="zh-CN"/>
              </w:rPr>
              <w:t>芜湖新兴新材料产业园有限公司</w:t>
            </w:r>
            <w:r>
              <w:rPr>
                <w:rFonts w:hint="default"/>
                <w:lang w:val="en-US" w:eastAsia="zh-CN"/>
              </w:rPr>
              <w:t xml:space="preserve">计划购置国内最先进的生产设备建设一条涂衬造型材料砂生产线，淘汰原有老旧设备，另新增一条生产线，年产 </w:t>
            </w:r>
            <w:r>
              <w:rPr>
                <w:rFonts w:hint="default" w:ascii="Times New Roman" w:hAnsi="Times New Roman" w:eastAsia="宋体" w:cs="Times New Roman"/>
                <w:color w:val="000000"/>
                <w:kern w:val="0"/>
                <w:sz w:val="24"/>
                <w:szCs w:val="24"/>
                <w:lang w:val="en-US" w:eastAsia="zh-CN" w:bidi="ar-SA"/>
              </w:rPr>
              <w:t>13</w:t>
            </w:r>
            <w:r>
              <w:rPr>
                <w:rFonts w:hint="default"/>
                <w:lang w:val="en-US" w:eastAsia="zh-CN"/>
              </w:rPr>
              <w:t xml:space="preserve"> 万吨铸造用砂制品。</w:t>
            </w:r>
            <w:r>
              <w:rPr>
                <w:rFonts w:hint="eastAsia"/>
                <w:lang w:val="en-US" w:eastAsia="zh-CN"/>
              </w:rPr>
              <w:t>安徽芜湖三山经济开发区管委会经济发展局</w:t>
            </w:r>
            <w:r>
              <w:rPr>
                <w:rFonts w:hint="default"/>
                <w:lang w:val="en-US" w:eastAsia="zh-CN"/>
              </w:rPr>
              <w:t>于</w:t>
            </w:r>
            <w:r>
              <w:rPr>
                <w:rFonts w:hint="default" w:ascii="Times New Roman" w:hAnsi="Times New Roman" w:eastAsia="宋体" w:cs="Times New Roman"/>
                <w:color w:val="000000"/>
                <w:kern w:val="0"/>
                <w:sz w:val="24"/>
                <w:szCs w:val="24"/>
                <w:lang w:val="en-US" w:eastAsia="zh-CN" w:bidi="ar-SA"/>
              </w:rPr>
              <w:t>202</w:t>
            </w:r>
            <w:r>
              <w:rPr>
                <w:rFonts w:hint="eastAsia" w:ascii="Times New Roman" w:hAnsi="Times New Roman" w:eastAsia="宋体" w:cs="Times New Roman"/>
                <w:color w:val="000000"/>
                <w:kern w:val="0"/>
                <w:sz w:val="24"/>
                <w:szCs w:val="24"/>
                <w:lang w:val="en-US" w:eastAsia="zh-CN" w:bidi="ar-SA"/>
              </w:rPr>
              <w:t>1</w:t>
            </w:r>
            <w:r>
              <w:rPr>
                <w:rFonts w:hint="default"/>
                <w:lang w:val="en-US" w:eastAsia="zh-CN"/>
              </w:rPr>
              <w:t>年</w:t>
            </w:r>
            <w:r>
              <w:rPr>
                <w:rFonts w:hint="eastAsia" w:ascii="Times New Roman" w:hAnsi="Times New Roman" w:eastAsia="宋体" w:cs="Times New Roman"/>
                <w:color w:val="000000"/>
                <w:kern w:val="0"/>
                <w:sz w:val="24"/>
                <w:szCs w:val="24"/>
                <w:lang w:val="en-US" w:eastAsia="zh-CN" w:bidi="ar-SA"/>
              </w:rPr>
              <w:t>7</w:t>
            </w:r>
            <w:r>
              <w:rPr>
                <w:rFonts w:hint="default"/>
                <w:lang w:val="en-US" w:eastAsia="zh-CN"/>
              </w:rPr>
              <w:t>月</w:t>
            </w:r>
            <w:r>
              <w:rPr>
                <w:rFonts w:hint="eastAsia" w:ascii="Times New Roman" w:hAnsi="Times New Roman" w:eastAsia="宋体" w:cs="Times New Roman"/>
                <w:color w:val="000000"/>
                <w:kern w:val="0"/>
                <w:sz w:val="24"/>
                <w:szCs w:val="24"/>
                <w:lang w:val="en-US" w:eastAsia="zh-CN" w:bidi="ar-SA"/>
              </w:rPr>
              <w:t>19</w:t>
            </w:r>
            <w:r>
              <w:rPr>
                <w:rFonts w:hint="default"/>
                <w:lang w:val="en-US" w:eastAsia="zh-CN"/>
              </w:rPr>
              <w:t>日以</w:t>
            </w:r>
            <w:r>
              <w:rPr>
                <w:rFonts w:hint="eastAsia"/>
                <w:lang w:val="en-US" w:eastAsia="zh-CN"/>
              </w:rPr>
              <w:t>（三经发</w:t>
            </w:r>
            <w:r>
              <w:rPr>
                <w:rFonts w:hint="default" w:ascii="Times New Roman" w:hAnsi="Times New Roman" w:eastAsia="宋体" w:cs="Times New Roman"/>
                <w:color w:val="000000"/>
                <w:kern w:val="0"/>
                <w:sz w:val="24"/>
                <w:szCs w:val="24"/>
                <w:lang w:val="en-US" w:eastAsia="zh-CN" w:bidi="ar-SA"/>
              </w:rPr>
              <w:t>[202</w:t>
            </w:r>
            <w:r>
              <w:rPr>
                <w:rFonts w:hint="eastAsia" w:ascii="Times New Roman" w:hAnsi="Times New Roman" w:eastAsia="宋体" w:cs="Times New Roman"/>
                <w:color w:val="000000"/>
                <w:kern w:val="0"/>
                <w:sz w:val="24"/>
                <w:szCs w:val="24"/>
                <w:lang w:val="en-US" w:eastAsia="zh-CN" w:bidi="ar-SA"/>
              </w:rPr>
              <w:t>1</w:t>
            </w:r>
            <w:r>
              <w:rPr>
                <w:rFonts w:hint="default" w:ascii="Times New Roman" w:hAnsi="Times New Roman" w:eastAsia="宋体" w:cs="Times New Roman"/>
                <w:color w:val="000000"/>
                <w:kern w:val="0"/>
                <w:sz w:val="24"/>
                <w:szCs w:val="24"/>
                <w:lang w:val="en-US" w:eastAsia="zh-CN" w:bidi="ar-SA"/>
              </w:rPr>
              <w:t>]</w:t>
            </w:r>
            <w:r>
              <w:rPr>
                <w:rFonts w:hint="eastAsia" w:ascii="Times New Roman" w:hAnsi="Times New Roman" w:eastAsia="宋体" w:cs="Times New Roman"/>
                <w:color w:val="000000"/>
                <w:kern w:val="0"/>
                <w:sz w:val="24"/>
                <w:szCs w:val="24"/>
                <w:lang w:val="en-US" w:eastAsia="zh-CN" w:bidi="ar-SA"/>
              </w:rPr>
              <w:t>262</w:t>
            </w:r>
            <w:r>
              <w:rPr>
                <w:rFonts w:hint="default"/>
                <w:lang w:val="en-US" w:eastAsia="zh-CN"/>
              </w:rPr>
              <w:t>号文</w:t>
            </w:r>
            <w:r>
              <w:rPr>
                <w:rFonts w:hint="eastAsia"/>
                <w:lang w:val="en-US" w:eastAsia="zh-CN"/>
              </w:rPr>
              <w:t>）</w:t>
            </w:r>
            <w:r>
              <w:rPr>
                <w:rFonts w:hint="default"/>
                <w:lang w:val="en-US" w:eastAsia="zh-CN"/>
              </w:rPr>
              <w:t>对</w:t>
            </w:r>
            <w:r>
              <w:rPr>
                <w:rFonts w:hint="eastAsia"/>
                <w:lang w:val="en-US" w:eastAsia="zh-CN"/>
              </w:rPr>
              <w:t>芜湖新兴新材料产业园有限公司造型材料制品车间改扩建项目</w:t>
            </w:r>
            <w:r>
              <w:rPr>
                <w:rFonts w:hint="default"/>
                <w:lang w:val="en-US" w:eastAsia="zh-CN"/>
              </w:rPr>
              <w:t>予以登记备案。</w:t>
            </w:r>
          </w:p>
          <w:p>
            <w:pPr>
              <w:pStyle w:val="8"/>
              <w:spacing w:line="360" w:lineRule="auto"/>
              <w:ind w:firstLine="480" w:firstLineChars="200"/>
              <w:rPr>
                <w:rFonts w:hint="eastAsia"/>
              </w:rPr>
            </w:pPr>
            <w:r>
              <w:rPr>
                <w:rFonts w:hint="eastAsia"/>
              </w:rPr>
              <w:t>根据《建设项目环境保护管理条例》和《中华人民共和国环境影响评价法》中有关规定，该项目应进行环境影响评价。受建设单位委托，我公司承担了该项目的环境影响评价工作。本项目属于其它非金属矿物制品制造，根据《建设项目环境影响评价分类管理名录》（</w:t>
            </w:r>
            <w:r>
              <w:rPr>
                <w:rFonts w:hint="eastAsia" w:ascii="Times New Roman" w:hAnsi="Times New Roman" w:eastAsia="宋体" w:cs="Times New Roman"/>
                <w:color w:val="000000"/>
                <w:kern w:val="0"/>
                <w:sz w:val="24"/>
                <w:szCs w:val="24"/>
                <w:lang w:val="en-US" w:eastAsia="zh-CN" w:bidi="ar-SA"/>
              </w:rPr>
              <w:t>2021</w:t>
            </w:r>
            <w:r>
              <w:rPr>
                <w:rFonts w:hint="eastAsia"/>
              </w:rPr>
              <w:t xml:space="preserve"> 年版）属于“二十七、非金属矿物制品业</w:t>
            </w:r>
            <w:r>
              <w:rPr>
                <w:rFonts w:hint="eastAsia" w:ascii="Times New Roman" w:hAnsi="Times New Roman" w:eastAsia="宋体" w:cs="Times New Roman"/>
                <w:color w:val="000000"/>
                <w:kern w:val="0"/>
                <w:sz w:val="24"/>
                <w:szCs w:val="24"/>
                <w:lang w:val="en-US" w:eastAsia="zh-CN" w:bidi="ar-SA"/>
              </w:rPr>
              <w:t>30—60</w:t>
            </w:r>
            <w:r>
              <w:rPr>
                <w:rFonts w:hint="eastAsia"/>
              </w:rPr>
              <w:t>、石墨及其他非金属矿物制品制造</w:t>
            </w:r>
            <w:r>
              <w:rPr>
                <w:rFonts w:hint="eastAsia" w:ascii="Times New Roman" w:hAnsi="Times New Roman" w:eastAsia="宋体" w:cs="Times New Roman"/>
                <w:color w:val="000000"/>
                <w:kern w:val="0"/>
                <w:sz w:val="24"/>
                <w:szCs w:val="24"/>
                <w:lang w:val="en-US" w:eastAsia="zh-CN" w:bidi="ar-SA"/>
              </w:rPr>
              <w:t>309</w:t>
            </w:r>
            <w:r>
              <w:rPr>
                <w:rFonts w:hint="eastAsia"/>
              </w:rPr>
              <w:t>—其他”，应编制环境影响报告表。接受委托后，我公司组织有关技术人员进行现场踏勘、收集资料，依据国家有关法规文件和环境影响评价技术导则，编制该项目环境影响报告表。</w:t>
            </w:r>
          </w:p>
          <w:p>
            <w:pPr>
              <w:spacing w:line="360" w:lineRule="auto"/>
              <w:jc w:val="center"/>
              <w:rPr>
                <w:rFonts w:hint="eastAsia" w:ascii="Times New Roman" w:hAnsi="Times New Roman" w:eastAsia="宋体" w:cs="Times New Roman"/>
                <w:kern w:val="0"/>
                <w:sz w:val="24"/>
                <w:szCs w:val="20"/>
                <w:lang w:val="en-US" w:eastAsia="zh-CN" w:bidi="ar-SA"/>
              </w:rPr>
            </w:pPr>
            <w:r>
              <w:rPr>
                <w:rFonts w:hint="eastAsia" w:ascii="Times New Roman" w:hAnsi="Times New Roman" w:eastAsia="宋体" w:cs="Times New Roman"/>
                <w:b/>
                <w:bCs/>
                <w:kern w:val="0"/>
                <w:sz w:val="24"/>
                <w:szCs w:val="20"/>
                <w:lang w:val="en-US" w:eastAsia="zh-CN" w:bidi="ar-SA"/>
              </w:rPr>
              <w:t>表2-1 项目环境影响评价文件类别判定</w:t>
            </w:r>
          </w:p>
          <w:tbl>
            <w:tblPr>
              <w:tblStyle w:val="8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Layout w:type="fixed"/>
              <w:tblCellMar>
                <w:top w:w="0" w:type="dxa"/>
                <w:left w:w="0" w:type="dxa"/>
                <w:bottom w:w="0" w:type="dxa"/>
                <w:right w:w="0" w:type="dxa"/>
              </w:tblCellMar>
            </w:tblPr>
            <w:tblGrid>
              <w:gridCol w:w="486"/>
              <w:gridCol w:w="2010"/>
              <w:gridCol w:w="2451"/>
              <w:gridCol w:w="1638"/>
              <w:gridCol w:w="11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623" w:hRule="atLeast"/>
              </w:trPr>
              <w:tc>
                <w:tcPr>
                  <w:tcW w:w="2737" w:type="dxa"/>
                  <w:gridSpan w:val="2"/>
                  <w:tcBorders>
                    <w:left w:val="nil"/>
                    <w:bottom w:val="single" w:color="auto" w:sz="4" w:space="0"/>
                    <w:tl2br w:val="single" w:color="auto" w:sz="4" w:space="0"/>
                  </w:tcBorders>
                  <w:shd w:val="clear" w:color="auto" w:fill="FFFFFF" w:themeFill="background1"/>
                  <w:vAlign w:val="center"/>
                </w:tcPr>
                <w:p>
                  <w:pPr>
                    <w:pStyle w:val="54"/>
                    <w:spacing w:before="2" w:line="267" w:lineRule="exact"/>
                    <w:ind w:left="1241"/>
                    <w:rPr>
                      <w:rFonts w:hint="eastAsia"/>
                      <w:b/>
                      <w:bCs/>
                      <w:lang w:eastAsia="en-US"/>
                    </w:rPr>
                  </w:pPr>
                  <w:r>
                    <w:rPr>
                      <w:rFonts w:hint="eastAsia"/>
                      <w:b/>
                      <w:bCs/>
                      <w:lang w:eastAsia="en-US"/>
                    </w:rPr>
                    <w:t>环评类别</w:t>
                  </w:r>
                </w:p>
                <w:p>
                  <w:pPr>
                    <w:pStyle w:val="54"/>
                    <w:spacing w:line="267" w:lineRule="exact"/>
                    <w:ind w:left="215"/>
                    <w:jc w:val="left"/>
                    <w:rPr>
                      <w:rFonts w:hint="eastAsia"/>
                      <w:b/>
                      <w:bCs/>
                      <w:lang w:eastAsia="en-US"/>
                    </w:rPr>
                  </w:pPr>
                  <w:r>
                    <w:rPr>
                      <w:rFonts w:hint="eastAsia"/>
                      <w:b/>
                      <w:bCs/>
                      <w:lang w:eastAsia="en-US"/>
                    </w:rPr>
                    <w:t>项目类别</w:t>
                  </w:r>
                </w:p>
              </w:tc>
              <w:tc>
                <w:tcPr>
                  <w:tcW w:w="2688" w:type="dxa"/>
                  <w:tcBorders>
                    <w:bottom w:val="single" w:color="auto" w:sz="4" w:space="0"/>
                  </w:tcBorders>
                  <w:shd w:val="clear" w:color="auto" w:fill="FFFFFF" w:themeFill="background1"/>
                  <w:vAlign w:val="center"/>
                </w:tcPr>
                <w:p>
                  <w:pPr>
                    <w:pStyle w:val="54"/>
                    <w:spacing w:before="107"/>
                    <w:ind w:left="84" w:right="76"/>
                    <w:jc w:val="center"/>
                    <w:rPr>
                      <w:rFonts w:hint="eastAsia"/>
                      <w:b/>
                      <w:bCs/>
                      <w:lang w:eastAsia="en-US"/>
                    </w:rPr>
                  </w:pPr>
                  <w:r>
                    <w:rPr>
                      <w:rFonts w:hint="eastAsia"/>
                      <w:b/>
                      <w:bCs/>
                      <w:lang w:eastAsia="en-US"/>
                    </w:rPr>
                    <w:t>报告书</w:t>
                  </w:r>
                </w:p>
              </w:tc>
              <w:tc>
                <w:tcPr>
                  <w:tcW w:w="1796" w:type="dxa"/>
                  <w:tcBorders>
                    <w:bottom w:val="single" w:color="auto" w:sz="4" w:space="0"/>
                  </w:tcBorders>
                  <w:shd w:val="solid" w:color="A5A5A5" w:themeColor="background1" w:themeShade="A6" w:fill="FFFFFF" w:themeFill="background1"/>
                  <w:vAlign w:val="center"/>
                </w:tcPr>
                <w:p>
                  <w:pPr>
                    <w:pStyle w:val="54"/>
                    <w:spacing w:before="107"/>
                    <w:ind w:left="111" w:right="101"/>
                    <w:jc w:val="center"/>
                    <w:rPr>
                      <w:rFonts w:hint="eastAsia"/>
                      <w:b/>
                      <w:bCs/>
                      <w:lang w:eastAsia="en-US"/>
                    </w:rPr>
                  </w:pPr>
                  <w:r>
                    <w:rPr>
                      <w:rFonts w:hint="eastAsia"/>
                      <w:b/>
                      <w:bCs/>
                      <w:lang w:eastAsia="en-US"/>
                    </w:rPr>
                    <w:t>报告表</w:t>
                  </w:r>
                </w:p>
              </w:tc>
              <w:tc>
                <w:tcPr>
                  <w:tcW w:w="1233" w:type="dxa"/>
                  <w:tcBorders>
                    <w:bottom w:val="single" w:color="auto" w:sz="4" w:space="0"/>
                    <w:right w:val="nil"/>
                  </w:tcBorders>
                  <w:shd w:val="clear" w:color="auto" w:fill="FFFFFF" w:themeFill="background1"/>
                  <w:vAlign w:val="center"/>
                </w:tcPr>
                <w:p>
                  <w:pPr>
                    <w:pStyle w:val="54"/>
                    <w:spacing w:before="107"/>
                    <w:ind w:left="182" w:right="176"/>
                    <w:jc w:val="center"/>
                    <w:rPr>
                      <w:rFonts w:hint="eastAsia"/>
                      <w:b/>
                      <w:bCs/>
                      <w:lang w:eastAsia="en-US"/>
                    </w:rPr>
                  </w:pPr>
                  <w:r>
                    <w:rPr>
                      <w:rFonts w:hint="eastAsia"/>
                      <w:b/>
                      <w:bCs/>
                      <w:lang w:eastAsia="en-US"/>
                    </w:rPr>
                    <w:t>登记表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408" w:hRule="atLeast"/>
              </w:trPr>
              <w:tc>
                <w:tcPr>
                  <w:tcW w:w="8454" w:type="dxa"/>
                  <w:gridSpan w:val="5"/>
                  <w:tcBorders>
                    <w:left w:val="nil"/>
                    <w:right w:val="nil"/>
                  </w:tcBorders>
                  <w:shd w:val="clear" w:color="A5A5A5" w:themeColor="background1" w:themeShade="A6" w:fill="FFFFFF" w:themeFill="background1"/>
                  <w:vAlign w:val="center"/>
                </w:tcPr>
                <w:p>
                  <w:pPr>
                    <w:pStyle w:val="54"/>
                    <w:spacing w:before="1"/>
                    <w:ind w:left="106"/>
                    <w:jc w:val="left"/>
                    <w:rPr>
                      <w:rFonts w:hint="eastAsia"/>
                      <w:lang w:eastAsia="zh-CN"/>
                    </w:rPr>
                  </w:pPr>
                  <w:r>
                    <w:rPr>
                      <w:rFonts w:hint="eastAsia"/>
                      <w:lang w:eastAsia="zh-CN"/>
                    </w:rPr>
                    <w:t>二十七、非金属矿物制品业 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1652" w:hRule="atLeast"/>
              </w:trPr>
              <w:tc>
                <w:tcPr>
                  <w:tcW w:w="533" w:type="dxa"/>
                  <w:tcBorders>
                    <w:left w:val="nil"/>
                  </w:tcBorders>
                  <w:shd w:val="clear" w:color="auto" w:fill="FFFFFF" w:themeFill="background1"/>
                  <w:vAlign w:val="center"/>
                </w:tcPr>
                <w:p>
                  <w:pPr>
                    <w:pStyle w:val="54"/>
                    <w:spacing w:before="1"/>
                    <w:rPr>
                      <w:rFonts w:hint="eastAsia"/>
                      <w:lang w:eastAsia="en-US"/>
                    </w:rPr>
                  </w:pPr>
                  <w:r>
                    <w:rPr>
                      <w:rFonts w:hint="eastAsia"/>
                      <w:lang w:eastAsia="en-US"/>
                    </w:rPr>
                    <w:t>70</w:t>
                  </w:r>
                </w:p>
              </w:tc>
              <w:tc>
                <w:tcPr>
                  <w:tcW w:w="2204" w:type="dxa"/>
                  <w:shd w:val="clear" w:color="auto" w:fill="FFFFFF" w:themeFill="background1"/>
                  <w:vAlign w:val="center"/>
                </w:tcPr>
                <w:p>
                  <w:pPr>
                    <w:pStyle w:val="54"/>
                    <w:ind w:left="205"/>
                    <w:rPr>
                      <w:rFonts w:hint="eastAsia"/>
                      <w:lang w:eastAsia="en-US"/>
                    </w:rPr>
                  </w:pPr>
                  <w:r>
                    <w:rPr>
                      <w:rFonts w:hint="eastAsia"/>
                      <w:lang w:eastAsia="zh-CN"/>
                    </w:rPr>
                    <w:t>耐火材料制品制造308；石墨及其他非金 属矿物制品制造 309</w:t>
                  </w:r>
                </w:p>
              </w:tc>
              <w:tc>
                <w:tcPr>
                  <w:tcW w:w="2688" w:type="dxa"/>
                  <w:shd w:val="clear" w:color="auto" w:fill="FFFFFF" w:themeFill="background1"/>
                  <w:vAlign w:val="center"/>
                </w:tcPr>
                <w:p>
                  <w:pPr>
                    <w:pStyle w:val="54"/>
                    <w:spacing w:before="72"/>
                    <w:ind w:left="157"/>
                    <w:rPr>
                      <w:rFonts w:hint="eastAsia"/>
                      <w:lang w:eastAsia="zh-CN"/>
                    </w:rPr>
                  </w:pPr>
                  <w:r>
                    <w:rPr>
                      <w:rFonts w:hint="eastAsia"/>
                      <w:lang w:eastAsia="zh-CN"/>
                    </w:rPr>
                    <w:t>石棉制品；含焙烧的石墨、碳素制品</w:t>
                  </w:r>
                </w:p>
              </w:tc>
              <w:tc>
                <w:tcPr>
                  <w:tcW w:w="1796" w:type="dxa"/>
                  <w:shd w:val="solid" w:color="A5A5A5" w:themeColor="background1" w:themeShade="A6" w:fill="FFFFFF" w:themeFill="background1"/>
                  <w:vAlign w:val="center"/>
                </w:tcPr>
                <w:p>
                  <w:pPr>
                    <w:pStyle w:val="54"/>
                    <w:ind w:left="111" w:right="104"/>
                    <w:jc w:val="center"/>
                    <w:rPr>
                      <w:rFonts w:hint="eastAsia"/>
                      <w:lang w:eastAsia="zh-CN"/>
                    </w:rPr>
                  </w:pPr>
                  <w:r>
                    <w:rPr>
                      <w:rFonts w:hint="eastAsia"/>
                      <w:lang w:eastAsia="zh-CN"/>
                    </w:rPr>
                    <w:t>其他</w:t>
                  </w:r>
                </w:p>
              </w:tc>
              <w:tc>
                <w:tcPr>
                  <w:tcW w:w="1233" w:type="dxa"/>
                  <w:tcBorders>
                    <w:right w:val="nil"/>
                  </w:tcBorders>
                  <w:shd w:val="clear" w:color="auto" w:fill="FFFFFF" w:themeFill="background1"/>
                  <w:vAlign w:val="center"/>
                </w:tcPr>
                <w:p>
                  <w:pPr>
                    <w:pStyle w:val="54"/>
                    <w:ind w:left="11"/>
                    <w:jc w:val="center"/>
                    <w:rPr>
                      <w:rFonts w:hint="eastAsia"/>
                      <w:lang w:eastAsia="zh-CN"/>
                    </w:rPr>
                  </w:pPr>
                  <w:r>
                    <w:rPr>
                      <w:rFonts w:hint="eastAsia"/>
                      <w:lang w:eastAsia="zh-CN"/>
                    </w:rPr>
                    <w:t>/</w:t>
                  </w:r>
                </w:p>
              </w:tc>
            </w:tr>
          </w:tbl>
          <w:p>
            <w:pPr>
              <w:pStyle w:val="8"/>
              <w:spacing w:line="360" w:lineRule="auto"/>
              <w:rPr>
                <w:rFonts w:hint="eastAsia"/>
              </w:rPr>
            </w:pPr>
          </w:p>
          <w:p>
            <w:pPr>
              <w:pStyle w:val="8"/>
              <w:spacing w:line="360" w:lineRule="auto"/>
              <w:ind w:firstLine="480" w:firstLineChars="200"/>
              <w:rPr>
                <w:rFonts w:hint="eastAsia"/>
              </w:rPr>
            </w:pPr>
            <w:r>
              <w:rPr>
                <w:rFonts w:hint="eastAsia"/>
              </w:rPr>
              <w:t>本项目属于其它非金属矿物制品制造C</w:t>
            </w:r>
            <w:r>
              <w:rPr>
                <w:rFonts w:hint="eastAsia" w:ascii="Times New Roman" w:hAnsi="Times New Roman" w:eastAsia="宋体" w:cs="Times New Roman"/>
                <w:color w:val="000000"/>
                <w:kern w:val="0"/>
                <w:sz w:val="24"/>
                <w:szCs w:val="24"/>
                <w:lang w:val="en-US" w:eastAsia="zh-CN" w:bidi="ar-SA"/>
              </w:rPr>
              <w:t>3099</w:t>
            </w:r>
            <w:r>
              <w:rPr>
                <w:rFonts w:hint="eastAsia"/>
              </w:rPr>
              <w:t>，对照《固定污染源排污许可分类管理名录》（</w:t>
            </w:r>
            <w:r>
              <w:rPr>
                <w:rFonts w:hint="eastAsia" w:ascii="Times New Roman" w:hAnsi="Times New Roman" w:eastAsia="宋体" w:cs="Times New Roman"/>
                <w:color w:val="000000"/>
                <w:kern w:val="0"/>
                <w:sz w:val="24"/>
                <w:szCs w:val="24"/>
                <w:lang w:val="en-US" w:eastAsia="zh-CN" w:bidi="ar-SA"/>
              </w:rPr>
              <w:t>2019</w:t>
            </w:r>
            <w:r>
              <w:rPr>
                <w:rFonts w:hint="eastAsia"/>
              </w:rPr>
              <w:t>年版），本项目属于《名录》第二十五、非金属矿物制品业</w:t>
            </w:r>
            <w:r>
              <w:rPr>
                <w:rFonts w:hint="eastAsia"/>
                <w:lang w:val="en-US" w:eastAsia="zh-CN"/>
              </w:rPr>
              <w:t>30</w:t>
            </w:r>
            <w:r>
              <w:rPr>
                <w:rFonts w:hint="eastAsia"/>
              </w:rPr>
              <w:t>—</w:t>
            </w:r>
            <w:r>
              <w:rPr>
                <w:rFonts w:hint="eastAsia"/>
                <w:lang w:val="en-US" w:eastAsia="zh-CN"/>
              </w:rPr>
              <w:t xml:space="preserve">70石墨及其他非金属矿物制品制造309中其他非金属矿物制品制造 </w:t>
            </w:r>
            <w:r>
              <w:rPr>
                <w:rFonts w:hint="eastAsia" w:ascii="Times New Roman" w:hAnsi="Times New Roman" w:eastAsia="宋体" w:cs="Times New Roman"/>
                <w:color w:val="000000"/>
                <w:kern w:val="0"/>
                <w:sz w:val="24"/>
                <w:szCs w:val="24"/>
                <w:lang w:val="en-US" w:eastAsia="zh-CN" w:bidi="ar-SA"/>
              </w:rPr>
              <w:t>3099</w:t>
            </w:r>
            <w:r>
              <w:rPr>
                <w:rFonts w:hint="eastAsia"/>
              </w:rPr>
              <w:t>，属于登记管理。本单位已于2020年8月18日获得排污许可证（证书编号：</w:t>
            </w:r>
            <w:r>
              <w:rPr>
                <w:rFonts w:hint="eastAsia" w:ascii="Times New Roman" w:hAnsi="Times New Roman" w:eastAsia="宋体" w:cs="Times New Roman"/>
                <w:color w:val="000000"/>
                <w:kern w:val="0"/>
                <w:sz w:val="24"/>
                <w:szCs w:val="24"/>
                <w:lang w:val="en-US" w:eastAsia="zh-CN" w:bidi="ar-SA"/>
              </w:rPr>
              <w:t>91340208396840152L001U</w:t>
            </w:r>
            <w:r>
              <w:rPr>
                <w:rFonts w:hint="eastAsia"/>
              </w:rPr>
              <w:t>），承诺本项目投入运行并产生实际排污行为之前完成排污许可申报工作。</w:t>
            </w:r>
          </w:p>
          <w:p>
            <w:pPr>
              <w:spacing w:line="360" w:lineRule="auto"/>
              <w:jc w:val="center"/>
              <w:rPr>
                <w:rFonts w:hint="eastAsia" w:ascii="Times New Roman" w:hAnsi="Times New Roman" w:eastAsia="宋体" w:cs="Times New Roman"/>
                <w:b/>
                <w:bCs/>
                <w:kern w:val="0"/>
                <w:sz w:val="24"/>
                <w:szCs w:val="20"/>
                <w:lang w:val="en-US" w:eastAsia="zh-CN" w:bidi="ar-SA"/>
              </w:rPr>
            </w:pPr>
            <w:r>
              <w:rPr>
                <w:rFonts w:hint="eastAsia" w:ascii="Times New Roman" w:hAnsi="Times New Roman" w:eastAsia="宋体" w:cs="Times New Roman"/>
                <w:b/>
                <w:bCs/>
                <w:kern w:val="0"/>
                <w:sz w:val="24"/>
                <w:szCs w:val="20"/>
                <w:lang w:val="en-US" w:eastAsia="zh-CN" w:bidi="ar-SA"/>
              </w:rPr>
              <w:t>表2-2 项目固定污染源排污许可类别判定</w:t>
            </w:r>
          </w:p>
          <w:tbl>
            <w:tblPr>
              <w:tblStyle w:val="89"/>
              <w:tblW w:w="5000" w:type="pct"/>
              <w:jc w:val="center"/>
              <w:tblBorders>
                <w:top w:val="single" w:color="000000" w:sz="8" w:space="0"/>
                <w:left w:val="none" w:color="auto" w:sz="0" w:space="0"/>
                <w:bottom w:val="single" w:color="000000" w:sz="8" w:space="0"/>
                <w:right w:val="none" w:color="auto" w:sz="0" w:space="0"/>
                <w:insideH w:val="single" w:color="000000" w:sz="8" w:space="0"/>
                <w:insideV w:val="single" w:color="000000" w:sz="8" w:space="0"/>
              </w:tblBorders>
              <w:tblLayout w:type="fixed"/>
              <w:tblCellMar>
                <w:top w:w="0" w:type="dxa"/>
                <w:left w:w="0" w:type="dxa"/>
                <w:bottom w:w="0" w:type="dxa"/>
                <w:right w:w="0" w:type="dxa"/>
              </w:tblCellMar>
            </w:tblPr>
            <w:tblGrid>
              <w:gridCol w:w="527"/>
              <w:gridCol w:w="991"/>
              <w:gridCol w:w="2121"/>
              <w:gridCol w:w="2799"/>
              <w:gridCol w:w="1281"/>
            </w:tblGrid>
            <w:tr>
              <w:tblPrEx>
                <w:tblBorders>
                  <w:top w:val="single" w:color="000000" w:sz="8" w:space="0"/>
                  <w:left w:val="none" w:color="auto" w:sz="0" w:space="0"/>
                  <w:bottom w:val="single" w:color="000000" w:sz="8"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396" w:hRule="atLeast"/>
                <w:jc w:val="center"/>
              </w:trPr>
              <w:tc>
                <w:tcPr>
                  <w:tcW w:w="341" w:type="pct"/>
                  <w:shd w:val="clear" w:color="auto" w:fill="auto"/>
                  <w:vAlign w:val="center"/>
                </w:tcPr>
                <w:p>
                  <w:pPr>
                    <w:pStyle w:val="54"/>
                    <w:spacing w:before="0"/>
                    <w:rPr>
                      <w:rFonts w:hint="eastAsia"/>
                      <w:b/>
                      <w:bCs/>
                      <w:lang w:eastAsia="en-US"/>
                    </w:rPr>
                  </w:pPr>
                  <w:r>
                    <w:rPr>
                      <w:rFonts w:hint="eastAsia"/>
                      <w:b/>
                      <w:bCs/>
                      <w:lang w:eastAsia="en-US"/>
                    </w:rPr>
                    <w:t>序号</w:t>
                  </w:r>
                </w:p>
              </w:tc>
              <w:tc>
                <w:tcPr>
                  <w:tcW w:w="642" w:type="pct"/>
                  <w:shd w:val="clear" w:color="auto" w:fill="auto"/>
                  <w:vAlign w:val="center"/>
                </w:tcPr>
                <w:p>
                  <w:pPr>
                    <w:pStyle w:val="54"/>
                    <w:spacing w:before="0"/>
                    <w:rPr>
                      <w:rFonts w:hint="eastAsia"/>
                      <w:b/>
                      <w:bCs/>
                      <w:lang w:eastAsia="en-US"/>
                    </w:rPr>
                  </w:pPr>
                  <w:r>
                    <w:rPr>
                      <w:rFonts w:hint="eastAsia"/>
                      <w:b/>
                      <w:bCs/>
                      <w:lang w:eastAsia="en-US"/>
                    </w:rPr>
                    <w:t>行业类别</w:t>
                  </w:r>
                </w:p>
              </w:tc>
              <w:tc>
                <w:tcPr>
                  <w:tcW w:w="1374" w:type="pct"/>
                  <w:shd w:val="clear" w:color="auto" w:fill="auto"/>
                  <w:vAlign w:val="center"/>
                </w:tcPr>
                <w:p>
                  <w:pPr>
                    <w:pStyle w:val="54"/>
                    <w:spacing w:before="0"/>
                    <w:jc w:val="center"/>
                    <w:rPr>
                      <w:rFonts w:hint="eastAsia"/>
                      <w:b/>
                      <w:bCs/>
                      <w:lang w:eastAsia="en-US"/>
                    </w:rPr>
                  </w:pPr>
                  <w:r>
                    <w:rPr>
                      <w:rFonts w:hint="eastAsia"/>
                      <w:b/>
                      <w:bCs/>
                      <w:lang w:eastAsia="en-US"/>
                    </w:rPr>
                    <w:t>重点管理</w:t>
                  </w:r>
                </w:p>
              </w:tc>
              <w:tc>
                <w:tcPr>
                  <w:tcW w:w="1813" w:type="pct"/>
                  <w:shd w:val="clear" w:color="auto" w:fill="auto"/>
                  <w:vAlign w:val="center"/>
                </w:tcPr>
                <w:p>
                  <w:pPr>
                    <w:pStyle w:val="54"/>
                    <w:spacing w:before="0"/>
                    <w:jc w:val="center"/>
                    <w:rPr>
                      <w:rFonts w:hint="eastAsia"/>
                      <w:b/>
                      <w:bCs/>
                      <w:lang w:eastAsia="en-US"/>
                    </w:rPr>
                  </w:pPr>
                  <w:r>
                    <w:rPr>
                      <w:rFonts w:hint="eastAsia"/>
                      <w:b/>
                      <w:bCs/>
                      <w:lang w:eastAsia="en-US"/>
                    </w:rPr>
                    <w:t>简化管理</w:t>
                  </w:r>
                </w:p>
              </w:tc>
              <w:tc>
                <w:tcPr>
                  <w:tcW w:w="830" w:type="pct"/>
                  <w:shd w:val="clear" w:color="auto" w:fill="7E7E7E" w:themeFill="text1" w:themeFillTint="80"/>
                  <w:vAlign w:val="center"/>
                </w:tcPr>
                <w:p>
                  <w:pPr>
                    <w:pStyle w:val="54"/>
                    <w:spacing w:before="0"/>
                    <w:jc w:val="center"/>
                    <w:rPr>
                      <w:rFonts w:hint="eastAsia"/>
                      <w:lang w:eastAsia="en-US"/>
                    </w:rPr>
                  </w:pPr>
                  <w:r>
                    <w:rPr>
                      <w:rFonts w:hint="eastAsia"/>
                      <w:b/>
                      <w:bCs/>
                      <w:lang w:eastAsia="en-US"/>
                    </w:rPr>
                    <w:t>登记管理</w:t>
                  </w:r>
                </w:p>
              </w:tc>
            </w:tr>
            <w:tr>
              <w:tblPrEx>
                <w:tblBorders>
                  <w:top w:val="single" w:color="000000" w:sz="8" w:space="0"/>
                  <w:left w:val="none" w:color="auto" w:sz="0" w:space="0"/>
                  <w:bottom w:val="single" w:color="000000" w:sz="8"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396" w:hRule="atLeast"/>
                <w:jc w:val="center"/>
              </w:trPr>
              <w:tc>
                <w:tcPr>
                  <w:tcW w:w="10550" w:type="dxa"/>
                  <w:gridSpan w:val="5"/>
                  <w:shd w:val="clear" w:color="auto" w:fill="auto"/>
                  <w:vAlign w:val="center"/>
                </w:tcPr>
                <w:p>
                  <w:pPr>
                    <w:pStyle w:val="54"/>
                    <w:spacing w:before="0"/>
                    <w:jc w:val="left"/>
                    <w:rPr>
                      <w:rFonts w:hint="eastAsia"/>
                      <w:lang w:eastAsia="zh-CN"/>
                    </w:rPr>
                  </w:pPr>
                  <w:r>
                    <w:rPr>
                      <w:rFonts w:hint="eastAsia"/>
                      <w:lang w:eastAsia="zh-CN"/>
                    </w:rPr>
                    <w:t>二十五、非金属矿物制品业 30</w:t>
                  </w:r>
                </w:p>
              </w:tc>
            </w:tr>
            <w:tr>
              <w:tblPrEx>
                <w:tblBorders>
                  <w:top w:val="single" w:color="000000" w:sz="8" w:space="0"/>
                  <w:left w:val="none" w:color="auto" w:sz="0" w:space="0"/>
                  <w:bottom w:val="single" w:color="000000" w:sz="8"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2254" w:hRule="atLeast"/>
                <w:jc w:val="center"/>
              </w:trPr>
              <w:tc>
                <w:tcPr>
                  <w:tcW w:w="341" w:type="pct"/>
                  <w:shd w:val="clear" w:color="auto" w:fill="auto"/>
                  <w:vAlign w:val="center"/>
                </w:tcPr>
                <w:p>
                  <w:pPr>
                    <w:pStyle w:val="54"/>
                    <w:spacing w:before="0"/>
                    <w:rPr>
                      <w:rFonts w:hint="eastAsia"/>
                      <w:lang w:val="en-US" w:eastAsia="zh-CN"/>
                    </w:rPr>
                  </w:pPr>
                  <w:r>
                    <w:rPr>
                      <w:rFonts w:hint="eastAsia"/>
                      <w:lang w:val="en-US" w:eastAsia="zh-CN"/>
                    </w:rPr>
                    <w:t>70</w:t>
                  </w:r>
                </w:p>
              </w:tc>
              <w:tc>
                <w:tcPr>
                  <w:tcW w:w="642" w:type="pct"/>
                  <w:shd w:val="clear" w:color="auto" w:fill="auto"/>
                  <w:vAlign w:val="center"/>
                </w:tcPr>
                <w:p>
                  <w:pPr>
                    <w:pStyle w:val="54"/>
                    <w:spacing w:before="0"/>
                    <w:rPr>
                      <w:rFonts w:hint="eastAsia"/>
                      <w:lang w:eastAsia="zh-CN"/>
                    </w:rPr>
                  </w:pPr>
                  <w:r>
                    <w:rPr>
                      <w:rFonts w:hint="eastAsia"/>
                      <w:lang w:eastAsia="zh-CN"/>
                    </w:rPr>
                    <w:t>石墨及其他非金属矿物制品制造 309</w:t>
                  </w:r>
                </w:p>
              </w:tc>
              <w:tc>
                <w:tcPr>
                  <w:tcW w:w="1374" w:type="pct"/>
                  <w:shd w:val="clear" w:color="auto" w:fill="auto"/>
                  <w:vAlign w:val="center"/>
                </w:tcPr>
                <w:p>
                  <w:pPr>
                    <w:pStyle w:val="54"/>
                    <w:spacing w:before="0"/>
                    <w:rPr>
                      <w:rFonts w:hint="eastAsia"/>
                      <w:lang w:eastAsia="zh-CN"/>
                    </w:rPr>
                  </w:pPr>
                  <w:r>
                    <w:rPr>
                      <w:rFonts w:hint="eastAsia"/>
                      <w:lang w:eastAsia="zh-CN"/>
                    </w:rPr>
                    <w:t>石墨及碳素制品制造 3091（石墨制品、碳制品、碳素新材料），其他非金属矿物制品制造 3099多晶硅棒）</w:t>
                  </w:r>
                </w:p>
              </w:tc>
              <w:tc>
                <w:tcPr>
                  <w:tcW w:w="1813" w:type="pct"/>
                  <w:shd w:val="clear" w:color="auto" w:fill="auto"/>
                  <w:vAlign w:val="center"/>
                </w:tcPr>
                <w:p>
                  <w:pPr>
                    <w:pStyle w:val="54"/>
                    <w:spacing w:line="260" w:lineRule="exact"/>
                    <w:jc w:val="left"/>
                    <w:rPr>
                      <w:rFonts w:hint="eastAsia"/>
                      <w:lang w:eastAsia="zh-CN"/>
                    </w:rPr>
                  </w:pPr>
                  <w:r>
                    <w:rPr>
                      <w:rFonts w:hint="eastAsia"/>
                      <w:lang w:eastAsia="zh-CN"/>
                    </w:rPr>
                    <w:t>石墨及碳素制品制造 3091（除石墨制品、碳制品、碳素新材料以外的），其他非金属矿物制品制造 3099（单晶硅棒，沥青混合物）</w:t>
                  </w:r>
                </w:p>
              </w:tc>
              <w:tc>
                <w:tcPr>
                  <w:tcW w:w="830" w:type="pct"/>
                  <w:shd w:val="clear" w:color="auto" w:fill="7E7E7E" w:themeFill="text1" w:themeFillTint="80"/>
                  <w:vAlign w:val="center"/>
                </w:tcPr>
                <w:p>
                  <w:pPr>
                    <w:pStyle w:val="54"/>
                    <w:spacing w:before="0"/>
                    <w:jc w:val="left"/>
                    <w:rPr>
                      <w:rFonts w:hint="eastAsia"/>
                      <w:lang w:eastAsia="zh-CN"/>
                    </w:rPr>
                  </w:pPr>
                  <w:r>
                    <w:rPr>
                      <w:rFonts w:hint="eastAsia"/>
                      <w:lang w:eastAsia="zh-CN"/>
                    </w:rPr>
                    <w:t>其他非金属矿物制品制造3099（除重点管理、简化管理以外的）</w:t>
                  </w:r>
                </w:p>
              </w:tc>
            </w:tr>
          </w:tbl>
          <w:p>
            <w:pPr>
              <w:pStyle w:val="8"/>
              <w:spacing w:line="360" w:lineRule="auto"/>
              <w:ind w:firstLine="480" w:firstLineChars="200"/>
              <w:rPr>
                <w:rFonts w:hint="eastAsia"/>
              </w:rPr>
            </w:pPr>
          </w:p>
          <w:p>
            <w:pPr>
              <w:adjustRightInd w:val="0"/>
              <w:spacing w:line="360" w:lineRule="auto"/>
              <w:ind w:firstLine="480" w:firstLineChars="200"/>
              <w:rPr>
                <w:rFonts w:hint="eastAsia" w:ascii="Times New Roman" w:hAnsi="Times New Roman" w:eastAsia="宋体" w:cs="Times New Roman"/>
                <w:kern w:val="0"/>
                <w:sz w:val="24"/>
                <w:szCs w:val="20"/>
                <w:lang w:val="en-US" w:eastAsia="zh-CN" w:bidi="ar-SA"/>
              </w:rPr>
            </w:pPr>
            <w:r>
              <w:rPr>
                <w:rFonts w:hint="eastAsia" w:ascii="Times New Roman" w:hAnsi="Times New Roman" w:eastAsia="宋体" w:cs="Times New Roman"/>
                <w:kern w:val="0"/>
                <w:sz w:val="24"/>
                <w:szCs w:val="20"/>
                <w:lang w:val="en-US" w:eastAsia="zh-CN" w:bidi="ar-SA"/>
              </w:rPr>
              <w:t>受芜湖新兴新材料产业园有限公司的委托，我公司承担了本项目环境影响评价工作。我公司接受委托后，迅速进行了现场踏勘、调研，对建设工程进行了全面调查，确定本次环评目的是在了解建设项目厂址周围环境特点和污染物排放特征的基础上，分析预测项目建设过程中以及投入运营对周围环境的影响程度、影响范围以及环境质量可能发生的变化；同时结合实际，依据国家、安徽省环境保护有关法律法规、标准和当地环境功能的要求，规定实行达标排放的污染防治措施，从环境保护角度分析工程建设的可行性，为建设项目工程设计方案的确定以及管理提供科学的依据。</w:t>
            </w:r>
          </w:p>
          <w:p>
            <w:pPr>
              <w:spacing w:line="360" w:lineRule="auto"/>
              <w:ind w:firstLine="480" w:firstLineChars="200"/>
              <w:rPr>
                <w:rFonts w:hint="eastAsia" w:ascii="Times New Roman" w:hAnsi="Times New Roman" w:eastAsia="宋体" w:cs="Times New Roman"/>
                <w:kern w:val="0"/>
                <w:sz w:val="24"/>
                <w:szCs w:val="20"/>
                <w:lang w:val="en-US" w:eastAsia="zh-CN" w:bidi="ar-SA"/>
              </w:rPr>
            </w:pPr>
            <w:r>
              <w:rPr>
                <w:rFonts w:hint="eastAsia" w:ascii="Times New Roman" w:hAnsi="Times New Roman" w:eastAsia="宋体" w:cs="Times New Roman"/>
                <w:kern w:val="0"/>
                <w:sz w:val="24"/>
                <w:szCs w:val="20"/>
                <w:lang w:val="en-US" w:eastAsia="zh-CN" w:bidi="ar-SA"/>
              </w:rPr>
              <w:t>2、地理位置及周边关系</w:t>
            </w:r>
          </w:p>
          <w:p>
            <w:pPr>
              <w:adjustRightInd w:val="0"/>
              <w:spacing w:line="360" w:lineRule="auto"/>
              <w:ind w:firstLine="480" w:firstLineChars="200"/>
              <w:rPr>
                <w:rFonts w:hint="eastAsia" w:ascii="Times New Roman" w:hAnsi="Times New Roman" w:eastAsia="宋体" w:cs="Times New Roman"/>
                <w:kern w:val="0"/>
                <w:sz w:val="24"/>
                <w:szCs w:val="20"/>
                <w:lang w:val="en-US" w:eastAsia="zh-CN" w:bidi="ar-SA"/>
              </w:rPr>
            </w:pPr>
            <w:r>
              <w:rPr>
                <w:rFonts w:hint="eastAsia" w:ascii="Times New Roman" w:hAnsi="Times New Roman" w:eastAsia="宋体" w:cs="Times New Roman"/>
                <w:kern w:val="0"/>
                <w:sz w:val="24"/>
                <w:szCs w:val="20"/>
                <w:lang w:val="en-US" w:eastAsia="zh-CN" w:bidi="ar-SA"/>
              </w:rPr>
              <w:t>本项目位于芜湖市三山区经济开发区春洲路2号。本项目坐标为：东经118°10′4.09″，北纬31°13′8.32″；项目东侧为新兴际华搅拌站，南侧为空地，西侧为芜湖新兴铸管有限责任公司主厂区，北侧为春洲路。项目地理位置详见附图1、周边概况图见附图2。</w:t>
            </w:r>
          </w:p>
          <w:p>
            <w:pPr>
              <w:spacing w:line="360" w:lineRule="auto"/>
              <w:ind w:firstLine="480" w:firstLineChars="200"/>
              <w:rPr>
                <w:rFonts w:hint="eastAsia" w:ascii="Times New Roman" w:hAnsi="Times New Roman" w:eastAsia="宋体" w:cs="Times New Roman"/>
                <w:kern w:val="0"/>
                <w:sz w:val="24"/>
                <w:szCs w:val="20"/>
                <w:lang w:val="en-US" w:eastAsia="zh-CN" w:bidi="ar-SA"/>
              </w:rPr>
            </w:pPr>
            <w:r>
              <w:rPr>
                <w:rFonts w:hint="eastAsia" w:ascii="Times New Roman" w:hAnsi="Times New Roman" w:eastAsia="宋体" w:cs="Times New Roman"/>
                <w:kern w:val="0"/>
                <w:sz w:val="24"/>
                <w:szCs w:val="20"/>
                <w:lang w:val="en-US" w:eastAsia="zh-CN" w:bidi="ar-SA"/>
              </w:rPr>
              <w:t>3、工程建设内容及规模</w:t>
            </w:r>
          </w:p>
          <w:p>
            <w:pPr>
              <w:spacing w:line="360" w:lineRule="auto"/>
              <w:ind w:firstLine="480"/>
              <w:rPr>
                <w:rFonts w:hint="eastAsia" w:ascii="Times New Roman" w:hAnsi="Times New Roman" w:eastAsia="宋体" w:cs="Times New Roman"/>
                <w:kern w:val="0"/>
                <w:sz w:val="24"/>
                <w:szCs w:val="20"/>
                <w:lang w:val="en-US" w:eastAsia="zh-CN" w:bidi="ar-SA"/>
              </w:rPr>
            </w:pPr>
            <w:r>
              <w:rPr>
                <w:rFonts w:hint="eastAsia" w:ascii="Times New Roman" w:hAnsi="Times New Roman" w:eastAsia="宋体" w:cs="Times New Roman"/>
                <w:kern w:val="0"/>
                <w:sz w:val="24"/>
                <w:szCs w:val="20"/>
                <w:lang w:val="en-US" w:eastAsia="zh-CN" w:bidi="ar-SA"/>
              </w:rPr>
              <w:t>项目建筑面积约</w:t>
            </w:r>
            <w:r>
              <w:rPr>
                <w:rFonts w:hint="eastAsia" w:ascii="Times New Roman" w:hAnsi="Times New Roman" w:eastAsia="宋体" w:cs="Times New Roman"/>
                <w:color w:val="000000"/>
                <w:kern w:val="0"/>
                <w:sz w:val="24"/>
                <w:szCs w:val="24"/>
                <w:lang w:val="en-US" w:eastAsia="zh-CN" w:bidi="ar-SA"/>
              </w:rPr>
              <w:t>3969m</w:t>
            </w:r>
            <w:r>
              <w:rPr>
                <w:rFonts w:hint="eastAsia" w:ascii="Times New Roman" w:hAnsi="Times New Roman" w:eastAsia="宋体" w:cs="Times New Roman"/>
                <w:color w:val="000000"/>
                <w:kern w:val="0"/>
                <w:sz w:val="24"/>
                <w:szCs w:val="24"/>
                <w:vertAlign w:val="superscript"/>
                <w:lang w:val="en-US" w:eastAsia="zh-CN" w:bidi="ar-SA"/>
              </w:rPr>
              <w:t>2</w:t>
            </w:r>
            <w:r>
              <w:rPr>
                <w:rFonts w:hint="eastAsia" w:cs="Times New Roman"/>
                <w:kern w:val="0"/>
                <w:sz w:val="24"/>
                <w:szCs w:val="20"/>
                <w:lang w:val="en-US" w:eastAsia="zh-CN" w:bidi="ar-SA"/>
              </w:rPr>
              <w:t>。</w:t>
            </w:r>
            <w:r>
              <w:rPr>
                <w:rFonts w:hint="eastAsia" w:ascii="Times New Roman" w:hAnsi="Times New Roman" w:eastAsia="宋体" w:cs="Times New Roman"/>
                <w:kern w:val="0"/>
                <w:sz w:val="24"/>
                <w:szCs w:val="20"/>
                <w:lang w:val="en-US" w:eastAsia="zh-CN" w:bidi="ar-SA"/>
              </w:rPr>
              <w:t>项目主要工程内容及规模见表2-3：</w:t>
            </w:r>
          </w:p>
          <w:p>
            <w:pPr>
              <w:pStyle w:val="53"/>
              <w:spacing w:line="360" w:lineRule="auto"/>
              <w:ind w:firstLine="0"/>
              <w:jc w:val="center"/>
              <w:rPr>
                <w:rFonts w:hint="eastAsia" w:ascii="Times New Roman" w:hAnsi="Times New Roman" w:eastAsia="宋体" w:cs="Times New Roman"/>
                <w:b/>
                <w:bCs/>
                <w:kern w:val="0"/>
                <w:sz w:val="24"/>
                <w:szCs w:val="20"/>
                <w:lang w:val="en-US" w:eastAsia="zh-CN" w:bidi="ar-SA"/>
              </w:rPr>
            </w:pPr>
            <w:r>
              <w:rPr>
                <w:rFonts w:hint="eastAsia" w:ascii="Times New Roman" w:hAnsi="Times New Roman" w:eastAsia="宋体" w:cs="Times New Roman"/>
                <w:b/>
                <w:bCs/>
                <w:kern w:val="0"/>
                <w:sz w:val="24"/>
                <w:szCs w:val="20"/>
                <w:lang w:val="en-US" w:eastAsia="zh-CN" w:bidi="ar-SA"/>
              </w:rPr>
              <w:t>表2-3   建设项目组成一览表</w:t>
            </w:r>
          </w:p>
          <w:tbl>
            <w:tblPr>
              <w:tblStyle w:val="26"/>
              <w:tblW w:w="5000" w:type="pct"/>
              <w:jc w:val="center"/>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33"/>
              <w:gridCol w:w="622"/>
              <w:gridCol w:w="2072"/>
              <w:gridCol w:w="2520"/>
              <w:gridCol w:w="1872"/>
            </w:tblGrid>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410" w:type="pct"/>
                  <w:vMerge w:val="restart"/>
                  <w:tcBorders>
                    <w:top w:val="single" w:color="auto" w:sz="8" w:space="0"/>
                    <w:left w:val="nil"/>
                    <w:bottom w:val="single" w:color="auto" w:sz="4" w:space="0"/>
                    <w:right w:val="single" w:color="auto" w:sz="4" w:space="0"/>
                  </w:tcBorders>
                  <w:vAlign w:val="center"/>
                </w:tcPr>
                <w:p>
                  <w:pPr>
                    <w:widowControl/>
                    <w:jc w:val="center"/>
                    <w:rPr>
                      <w:b/>
                      <w:bCs/>
                    </w:rPr>
                  </w:pPr>
                  <w:r>
                    <w:rPr>
                      <w:b/>
                      <w:bCs/>
                    </w:rPr>
                    <w:t>类别</w:t>
                  </w:r>
                </w:p>
              </w:tc>
              <w:tc>
                <w:tcPr>
                  <w:tcW w:w="402" w:type="pct"/>
                  <w:vMerge w:val="restart"/>
                  <w:tcBorders>
                    <w:top w:val="single" w:color="auto" w:sz="8" w:space="0"/>
                    <w:left w:val="single" w:color="auto" w:sz="4" w:space="0"/>
                    <w:bottom w:val="single" w:color="auto" w:sz="4" w:space="0"/>
                    <w:right w:val="single" w:color="auto" w:sz="4" w:space="0"/>
                  </w:tcBorders>
                  <w:vAlign w:val="center"/>
                </w:tcPr>
                <w:p>
                  <w:pPr>
                    <w:widowControl/>
                    <w:jc w:val="center"/>
                    <w:rPr>
                      <w:b/>
                      <w:bCs/>
                    </w:rPr>
                  </w:pPr>
                  <w:r>
                    <w:rPr>
                      <w:b/>
                      <w:bCs/>
                    </w:rPr>
                    <w:t>工程名称</w:t>
                  </w:r>
                </w:p>
              </w:tc>
              <w:tc>
                <w:tcPr>
                  <w:tcW w:w="2974" w:type="pct"/>
                  <w:gridSpan w:val="2"/>
                  <w:tcBorders>
                    <w:top w:val="single" w:color="auto" w:sz="8" w:space="0"/>
                    <w:left w:val="single" w:color="auto" w:sz="4" w:space="0"/>
                    <w:bottom w:val="single" w:color="auto" w:sz="4" w:space="0"/>
                    <w:right w:val="single" w:color="auto" w:sz="4" w:space="0"/>
                  </w:tcBorders>
                  <w:vAlign w:val="center"/>
                </w:tcPr>
                <w:p>
                  <w:pPr>
                    <w:widowControl/>
                    <w:jc w:val="center"/>
                    <w:rPr>
                      <w:b/>
                      <w:bCs/>
                    </w:rPr>
                  </w:pPr>
                  <w:r>
                    <w:rPr>
                      <w:b/>
                      <w:bCs/>
                    </w:rPr>
                    <w:t>建设内容</w:t>
                  </w:r>
                </w:p>
              </w:tc>
              <w:tc>
                <w:tcPr>
                  <w:tcW w:w="1212" w:type="pct"/>
                  <w:vMerge w:val="restart"/>
                  <w:tcBorders>
                    <w:top w:val="single" w:color="auto" w:sz="8" w:space="0"/>
                    <w:left w:val="single" w:color="auto" w:sz="4" w:space="0"/>
                    <w:bottom w:val="single" w:color="auto" w:sz="4" w:space="0"/>
                    <w:right w:val="nil"/>
                  </w:tcBorders>
                  <w:vAlign w:val="center"/>
                </w:tcPr>
                <w:p>
                  <w:pPr>
                    <w:widowControl/>
                    <w:jc w:val="center"/>
                    <w:rPr>
                      <w:b/>
                      <w:bCs/>
                    </w:rPr>
                  </w:pPr>
                  <w:r>
                    <w:rPr>
                      <w:b/>
                      <w:bCs/>
                    </w:rPr>
                    <w:t>备注</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410" w:type="pct"/>
                  <w:vMerge w:val="continue"/>
                  <w:tcBorders>
                    <w:top w:val="single" w:color="auto" w:sz="8" w:space="0"/>
                    <w:left w:val="nil"/>
                    <w:bottom w:val="single" w:color="auto" w:sz="4" w:space="0"/>
                    <w:right w:val="single" w:color="auto" w:sz="4" w:space="0"/>
                  </w:tcBorders>
                  <w:vAlign w:val="center"/>
                </w:tcPr>
                <w:p>
                  <w:pPr>
                    <w:widowControl/>
                    <w:jc w:val="center"/>
                  </w:pPr>
                </w:p>
              </w:tc>
              <w:tc>
                <w:tcPr>
                  <w:tcW w:w="402" w:type="pct"/>
                  <w:vMerge w:val="continue"/>
                  <w:tcBorders>
                    <w:top w:val="single" w:color="auto" w:sz="8" w:space="0"/>
                    <w:left w:val="single" w:color="auto" w:sz="4" w:space="0"/>
                    <w:bottom w:val="single" w:color="auto" w:sz="4" w:space="0"/>
                    <w:right w:val="single" w:color="auto" w:sz="4" w:space="0"/>
                  </w:tcBorders>
                  <w:vAlign w:val="center"/>
                </w:tcPr>
                <w:p>
                  <w:pPr>
                    <w:widowControl/>
                    <w:jc w:val="center"/>
                  </w:pPr>
                </w:p>
              </w:tc>
              <w:tc>
                <w:tcPr>
                  <w:tcW w:w="1342" w:type="pct"/>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b/>
                      <w:bCs/>
                    </w:rPr>
                  </w:pPr>
                  <w:r>
                    <w:rPr>
                      <w:rFonts w:hint="eastAsia"/>
                      <w:b/>
                      <w:bCs/>
                    </w:rPr>
                    <w:t>改扩建前</w:t>
                  </w:r>
                </w:p>
              </w:tc>
              <w:tc>
                <w:tcPr>
                  <w:tcW w:w="1632" w:type="pct"/>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b/>
                      <w:bCs/>
                    </w:rPr>
                  </w:pPr>
                  <w:r>
                    <w:rPr>
                      <w:rFonts w:hint="eastAsia"/>
                      <w:b/>
                      <w:bCs/>
                    </w:rPr>
                    <w:t>改扩建后</w:t>
                  </w:r>
                </w:p>
              </w:tc>
              <w:tc>
                <w:tcPr>
                  <w:tcW w:w="1212" w:type="pct"/>
                  <w:vMerge w:val="continue"/>
                  <w:tcBorders>
                    <w:top w:val="single" w:color="auto" w:sz="8" w:space="0"/>
                    <w:left w:val="single" w:color="auto" w:sz="4" w:space="0"/>
                    <w:bottom w:val="single" w:color="auto" w:sz="4" w:space="0"/>
                    <w:right w:val="nil"/>
                  </w:tcBorders>
                  <w:vAlign w:val="center"/>
                </w:tcPr>
                <w:p>
                  <w:pPr>
                    <w:widowControl/>
                    <w:jc w:val="center"/>
                  </w:pP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410" w:type="pct"/>
                  <w:tcBorders>
                    <w:top w:val="single" w:color="auto" w:sz="4" w:space="0"/>
                    <w:left w:val="nil"/>
                    <w:bottom w:val="single" w:color="auto" w:sz="4" w:space="0"/>
                    <w:right w:val="single" w:color="auto" w:sz="4" w:space="0"/>
                  </w:tcBorders>
                  <w:vAlign w:val="center"/>
                </w:tcPr>
                <w:p>
                  <w:pPr>
                    <w:jc w:val="center"/>
                  </w:pPr>
                  <w:r>
                    <w:t>主体工程</w:t>
                  </w:r>
                </w:p>
              </w:tc>
              <w:tc>
                <w:tcPr>
                  <w:tcW w:w="402" w:type="pct"/>
                  <w:tcBorders>
                    <w:top w:val="single" w:color="auto" w:sz="4" w:space="0"/>
                    <w:left w:val="single" w:color="auto" w:sz="4" w:space="0"/>
                    <w:bottom w:val="single" w:color="auto" w:sz="4" w:space="0"/>
                    <w:right w:val="single" w:color="auto" w:sz="4" w:space="0"/>
                  </w:tcBorders>
                  <w:vAlign w:val="center"/>
                </w:tcPr>
                <w:p>
                  <w:pPr>
                    <w:jc w:val="center"/>
                    <w:rPr>
                      <w:rFonts w:hint="eastAsia"/>
                      <w:lang w:eastAsia="zh-CN"/>
                    </w:rPr>
                  </w:pPr>
                  <w:r>
                    <w:t>生产</w:t>
                  </w:r>
                  <w:r>
                    <w:rPr>
                      <w:rFonts w:hint="eastAsia"/>
                      <w:lang w:val="en-US" w:eastAsia="zh-CN"/>
                    </w:rPr>
                    <w:t>车间</w:t>
                  </w:r>
                </w:p>
              </w:tc>
              <w:tc>
                <w:tcPr>
                  <w:tcW w:w="1342" w:type="pct"/>
                  <w:tcBorders>
                    <w:top w:val="single" w:color="auto" w:sz="4" w:space="0"/>
                    <w:left w:val="single" w:color="auto" w:sz="4" w:space="0"/>
                    <w:bottom w:val="single" w:color="auto" w:sz="4" w:space="0"/>
                    <w:right w:val="single" w:color="auto" w:sz="4" w:space="0"/>
                  </w:tcBorders>
                  <w:vAlign w:val="center"/>
                </w:tcPr>
                <w:p>
                  <w:pPr>
                    <w:pStyle w:val="31"/>
                    <w:rPr>
                      <w:rFonts w:hint="default"/>
                      <w:lang w:val="en-US"/>
                    </w:rPr>
                  </w:pPr>
                  <w:r>
                    <w:rPr>
                      <w:rFonts w:hint="default" w:ascii="Times New Roman" w:hAnsi="Times New Roman" w:eastAsia="宋体" w:cs="Times New Roman"/>
                      <w:color w:val="auto"/>
                      <w:kern w:val="2"/>
                      <w:sz w:val="21"/>
                      <w:szCs w:val="24"/>
                      <w:lang w:val="en-US" w:eastAsia="zh-CN" w:bidi="ar-SA"/>
                    </w:rPr>
                    <w:t>设备区建筑面积192</w:t>
                  </w:r>
                  <w:r>
                    <w:rPr>
                      <w:rFonts w:hint="default"/>
                      <w:lang w:val="en-US" w:eastAsia="zh-CN"/>
                    </w:rPr>
                    <w:t>m²，</w:t>
                  </w:r>
                  <w:r>
                    <w:rPr>
                      <w:rFonts w:hint="default" w:ascii="Times New Roman" w:hAnsi="Times New Roman" w:eastAsia="宋体" w:cs="Times New Roman"/>
                      <w:color w:val="auto"/>
                      <w:kern w:val="2"/>
                      <w:sz w:val="21"/>
                      <w:szCs w:val="24"/>
                      <w:lang w:val="en-US" w:eastAsia="zh-CN" w:bidi="ar-SA"/>
                    </w:rPr>
                    <w:t>生产车间做全封闭式</w:t>
                  </w:r>
                </w:p>
              </w:tc>
              <w:tc>
                <w:tcPr>
                  <w:tcW w:w="1632" w:type="pct"/>
                  <w:tcBorders>
                    <w:top w:val="single" w:color="auto" w:sz="4" w:space="0"/>
                    <w:left w:val="single" w:color="auto" w:sz="4" w:space="0"/>
                    <w:bottom w:val="single" w:color="auto" w:sz="4" w:space="0"/>
                    <w:right w:val="single" w:color="auto" w:sz="4" w:space="0"/>
                  </w:tcBorders>
                  <w:vAlign w:val="center"/>
                </w:tcPr>
                <w:p>
                  <w:pPr>
                    <w:jc w:val="center"/>
                    <w:rPr>
                      <w:rFonts w:hint="default"/>
                    </w:rPr>
                  </w:pPr>
                  <w:r>
                    <w:rPr>
                      <w:rFonts w:hint="default"/>
                      <w:lang w:val="en-US" w:eastAsia="zh-CN"/>
                    </w:rPr>
                    <w:t>原设备区建筑面积192m²，新建设备区建筑面积400m²，生产车间做全封闭式</w:t>
                  </w:r>
                </w:p>
              </w:tc>
              <w:tc>
                <w:tcPr>
                  <w:tcW w:w="1212" w:type="pct"/>
                  <w:tcBorders>
                    <w:top w:val="single" w:color="auto" w:sz="4" w:space="0"/>
                    <w:left w:val="single" w:color="auto" w:sz="4" w:space="0"/>
                    <w:bottom w:val="single" w:color="auto" w:sz="4" w:space="0"/>
                    <w:right w:val="nil"/>
                  </w:tcBorders>
                  <w:vAlign w:val="center"/>
                </w:tcPr>
                <w:p>
                  <w:pPr>
                    <w:widowControl/>
                    <w:jc w:val="center"/>
                    <w:rPr>
                      <w:rFonts w:hint="default"/>
                      <w:lang w:val="en-US" w:eastAsia="zh-CN"/>
                    </w:rPr>
                  </w:pPr>
                  <w:r>
                    <w:rPr>
                      <w:rFonts w:hint="eastAsia"/>
                      <w:lang w:val="en-US" w:eastAsia="zh-CN"/>
                    </w:rPr>
                    <w:t>原设备区不变，依托现有厂房另新建400</w:t>
                  </w:r>
                  <w:r>
                    <w:rPr>
                      <w:rFonts w:hint="default"/>
                      <w:lang w:val="en-US" w:eastAsia="zh-CN"/>
                    </w:rPr>
                    <w:t>m²</w:t>
                  </w:r>
                  <w:r>
                    <w:rPr>
                      <w:rFonts w:hint="eastAsia"/>
                      <w:lang w:val="en-US" w:eastAsia="zh-CN"/>
                    </w:rPr>
                    <w:t>设备区</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410" w:type="pct"/>
                  <w:tcBorders>
                    <w:top w:val="single" w:color="auto" w:sz="4" w:space="0"/>
                    <w:left w:val="nil"/>
                    <w:bottom w:val="single" w:color="auto" w:sz="4" w:space="0"/>
                    <w:right w:val="single" w:color="auto" w:sz="4" w:space="0"/>
                  </w:tcBorders>
                  <w:vAlign w:val="center"/>
                </w:tcPr>
                <w:p>
                  <w:pPr>
                    <w:keepNext w:val="0"/>
                    <w:keepLines w:val="0"/>
                    <w:pageBreakBefore w:val="0"/>
                    <w:widowControl w:val="0"/>
                    <w:tabs>
                      <w:tab w:val="left" w:pos="3255"/>
                    </w:tabs>
                    <w:kinsoku/>
                    <w:wordWrap/>
                    <w:overflowPunct/>
                    <w:topLinePunct w:val="0"/>
                    <w:autoSpaceDE/>
                    <w:autoSpaceDN/>
                    <w:bidi w:val="0"/>
                    <w:adjustRightInd w:val="0"/>
                    <w:snapToGrid w:val="0"/>
                    <w:spacing w:after="0"/>
                    <w:jc w:val="center"/>
                    <w:textAlignment w:val="auto"/>
                    <w:rPr>
                      <w:rFonts w:hint="default"/>
                      <w:lang w:val="en-US" w:eastAsia="zh-CN"/>
                    </w:rPr>
                  </w:pPr>
                  <w:r>
                    <w:rPr>
                      <w:rFonts w:hint="default"/>
                    </w:rPr>
                    <w:t>辅助工程</w:t>
                  </w:r>
                </w:p>
              </w:tc>
              <w:tc>
                <w:tcPr>
                  <w:tcW w:w="402"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tabs>
                      <w:tab w:val="left" w:pos="3255"/>
                    </w:tabs>
                    <w:kinsoku/>
                    <w:wordWrap/>
                    <w:overflowPunct/>
                    <w:topLinePunct w:val="0"/>
                    <w:autoSpaceDE/>
                    <w:autoSpaceDN/>
                    <w:bidi w:val="0"/>
                    <w:adjustRightInd w:val="0"/>
                    <w:snapToGrid w:val="0"/>
                    <w:spacing w:after="0"/>
                    <w:jc w:val="center"/>
                    <w:textAlignment w:val="auto"/>
                    <w:rPr>
                      <w:rFonts w:hint="eastAsia"/>
                      <w:lang w:val="en-US" w:eastAsia="zh-CN"/>
                    </w:rPr>
                  </w:pPr>
                  <w:r>
                    <w:rPr>
                      <w:rFonts w:hint="default"/>
                      <w:lang w:val="en-US" w:eastAsia="zh-CN"/>
                    </w:rPr>
                    <w:t>休息室</w:t>
                  </w:r>
                </w:p>
              </w:tc>
              <w:tc>
                <w:tcPr>
                  <w:tcW w:w="1342"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tabs>
                      <w:tab w:val="left" w:pos="3255"/>
                    </w:tabs>
                    <w:kinsoku/>
                    <w:wordWrap/>
                    <w:overflowPunct/>
                    <w:topLinePunct w:val="0"/>
                    <w:autoSpaceDE/>
                    <w:autoSpaceDN/>
                    <w:bidi w:val="0"/>
                    <w:adjustRightInd w:val="0"/>
                    <w:snapToGrid w:val="0"/>
                    <w:spacing w:after="0"/>
                    <w:jc w:val="center"/>
                    <w:textAlignment w:val="auto"/>
                    <w:rPr>
                      <w:rFonts w:hint="eastAsia"/>
                      <w:lang w:val="en-US" w:eastAsia="zh-CN"/>
                    </w:rPr>
                  </w:pPr>
                  <w:r>
                    <w:rPr>
                      <w:rFonts w:hint="default"/>
                      <w:lang w:val="en-US" w:eastAsia="zh-CN"/>
                    </w:rPr>
                    <w:t>员工休息，建筑面积28m²</w:t>
                  </w:r>
                </w:p>
              </w:tc>
              <w:tc>
                <w:tcPr>
                  <w:tcW w:w="1632"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tabs>
                      <w:tab w:val="left" w:pos="3255"/>
                    </w:tabs>
                    <w:kinsoku/>
                    <w:wordWrap/>
                    <w:overflowPunct/>
                    <w:topLinePunct w:val="0"/>
                    <w:autoSpaceDE/>
                    <w:autoSpaceDN/>
                    <w:bidi w:val="0"/>
                    <w:adjustRightInd w:val="0"/>
                    <w:snapToGrid w:val="0"/>
                    <w:spacing w:after="0"/>
                    <w:jc w:val="center"/>
                    <w:textAlignment w:val="auto"/>
                    <w:rPr>
                      <w:rFonts w:hint="eastAsia"/>
                      <w:lang w:val="en-US" w:eastAsia="zh-CN"/>
                    </w:rPr>
                  </w:pPr>
                  <w:r>
                    <w:rPr>
                      <w:rFonts w:hint="default"/>
                      <w:lang w:val="en-US" w:eastAsia="zh-CN"/>
                    </w:rPr>
                    <w:t>员工休息，建筑面积28m²</w:t>
                  </w:r>
                </w:p>
              </w:tc>
              <w:tc>
                <w:tcPr>
                  <w:tcW w:w="1212" w:type="pct"/>
                  <w:tcBorders>
                    <w:top w:val="single" w:color="auto" w:sz="4" w:space="0"/>
                    <w:left w:val="single" w:color="auto" w:sz="4" w:space="0"/>
                    <w:bottom w:val="single" w:color="auto" w:sz="4" w:space="0"/>
                    <w:right w:val="nil"/>
                  </w:tcBorders>
                  <w:vAlign w:val="center"/>
                </w:tcPr>
                <w:p>
                  <w:pPr>
                    <w:widowControl/>
                    <w:jc w:val="center"/>
                    <w:rPr>
                      <w:rFonts w:hint="eastAsia"/>
                    </w:rPr>
                  </w:pPr>
                  <w:r>
                    <w:rPr>
                      <w:rFonts w:hint="eastAsia"/>
                    </w:rPr>
                    <w:t>保持不变</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410" w:type="pct"/>
                  <w:vMerge w:val="restart"/>
                  <w:tcBorders>
                    <w:top w:val="single" w:color="auto" w:sz="4" w:space="0"/>
                    <w:left w:val="nil"/>
                    <w:right w:val="single" w:color="auto" w:sz="4" w:space="0"/>
                  </w:tcBorders>
                  <w:vAlign w:val="center"/>
                </w:tcPr>
                <w:p>
                  <w:pPr>
                    <w:jc w:val="center"/>
                  </w:pPr>
                  <w:r>
                    <w:t>储运工程</w:t>
                  </w:r>
                </w:p>
              </w:tc>
              <w:tc>
                <w:tcPr>
                  <w:tcW w:w="402" w:type="pct"/>
                  <w:vMerge w:val="restart"/>
                  <w:tcBorders>
                    <w:top w:val="single" w:color="auto" w:sz="4" w:space="0"/>
                    <w:left w:val="single" w:color="auto" w:sz="4" w:space="0"/>
                    <w:right w:val="single" w:color="auto" w:sz="4" w:space="0"/>
                  </w:tcBorders>
                  <w:vAlign w:val="center"/>
                </w:tcPr>
                <w:p>
                  <w:pPr>
                    <w:widowControl/>
                    <w:jc w:val="center"/>
                  </w:pPr>
                  <w:r>
                    <w:rPr>
                      <w:rFonts w:hint="eastAsia"/>
                    </w:rPr>
                    <w:t>仓库</w:t>
                  </w:r>
                </w:p>
              </w:tc>
              <w:tc>
                <w:tcPr>
                  <w:tcW w:w="1342"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tabs>
                      <w:tab w:val="left" w:pos="3255"/>
                    </w:tabs>
                    <w:kinsoku/>
                    <w:wordWrap/>
                    <w:overflowPunct/>
                    <w:topLinePunct w:val="0"/>
                    <w:autoSpaceDE/>
                    <w:autoSpaceDN/>
                    <w:bidi w:val="0"/>
                    <w:adjustRightInd w:val="0"/>
                    <w:snapToGrid w:val="0"/>
                    <w:spacing w:after="0"/>
                    <w:jc w:val="left"/>
                    <w:textAlignment w:val="auto"/>
                    <w:rPr>
                      <w:rFonts w:hint="default"/>
                      <w:lang w:val="en-US" w:eastAsia="zh-CN"/>
                    </w:rPr>
                  </w:pPr>
                  <w:r>
                    <w:rPr>
                      <w:rFonts w:hint="default"/>
                      <w:lang w:val="en-US" w:eastAsia="zh-CN"/>
                    </w:rPr>
                    <w:t>成品砂储存区占地面积为405m²，为三面封闭式，位于全封闭生产车间内</w:t>
                  </w:r>
                </w:p>
              </w:tc>
              <w:tc>
                <w:tcPr>
                  <w:tcW w:w="1632"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tabs>
                      <w:tab w:val="left" w:pos="3255"/>
                    </w:tabs>
                    <w:kinsoku/>
                    <w:wordWrap/>
                    <w:overflowPunct/>
                    <w:topLinePunct w:val="0"/>
                    <w:autoSpaceDE/>
                    <w:autoSpaceDN/>
                    <w:bidi w:val="0"/>
                    <w:adjustRightInd w:val="0"/>
                    <w:snapToGrid w:val="0"/>
                    <w:spacing w:after="0"/>
                    <w:jc w:val="left"/>
                    <w:textAlignment w:val="auto"/>
                    <w:rPr>
                      <w:rFonts w:hint="default"/>
                      <w:lang w:val="en-US" w:eastAsia="zh-CN"/>
                    </w:rPr>
                  </w:pPr>
                  <w:r>
                    <w:rPr>
                      <w:rFonts w:hint="eastAsia"/>
                      <w:lang w:val="en-US" w:eastAsia="zh-CN"/>
                    </w:rPr>
                    <w:t>原</w:t>
                  </w:r>
                  <w:r>
                    <w:rPr>
                      <w:rFonts w:hint="default"/>
                      <w:lang w:val="en-US" w:eastAsia="zh-CN"/>
                    </w:rPr>
                    <w:t>成品砂储存区占地面积为405m²，</w:t>
                  </w:r>
                  <w:r>
                    <w:rPr>
                      <w:rFonts w:hint="eastAsia"/>
                      <w:lang w:val="en-US" w:eastAsia="zh-CN"/>
                    </w:rPr>
                    <w:t>新增铸造用成品砂储存区占地面积为1000</w:t>
                  </w:r>
                  <w:r>
                    <w:rPr>
                      <w:rFonts w:hint="default"/>
                      <w:lang w:val="en-US" w:eastAsia="zh-CN"/>
                    </w:rPr>
                    <w:t>m²</w:t>
                  </w:r>
                  <w:r>
                    <w:rPr>
                      <w:rFonts w:hint="eastAsia"/>
                      <w:lang w:val="en-US" w:eastAsia="zh-CN"/>
                    </w:rPr>
                    <w:t>，</w:t>
                  </w:r>
                  <w:r>
                    <w:rPr>
                      <w:rFonts w:hint="default"/>
                      <w:lang w:val="en-US" w:eastAsia="zh-CN"/>
                    </w:rPr>
                    <w:t>位于全封闭生产车间内</w:t>
                  </w:r>
                </w:p>
              </w:tc>
              <w:tc>
                <w:tcPr>
                  <w:tcW w:w="1212" w:type="pct"/>
                  <w:tcBorders>
                    <w:top w:val="single" w:color="auto" w:sz="4" w:space="0"/>
                    <w:left w:val="single" w:color="auto" w:sz="4" w:space="0"/>
                    <w:bottom w:val="single" w:color="auto" w:sz="4" w:space="0"/>
                    <w:right w:val="nil"/>
                  </w:tcBorders>
                  <w:vAlign w:val="center"/>
                </w:tcPr>
                <w:p>
                  <w:pPr>
                    <w:widowControl/>
                    <w:jc w:val="center"/>
                  </w:pPr>
                  <w:r>
                    <w:rPr>
                      <w:rFonts w:hint="eastAsia"/>
                      <w:lang w:val="en-US" w:eastAsia="zh-CN"/>
                    </w:rPr>
                    <w:t>原成品砂储存区不变，另新增1000</w:t>
                  </w:r>
                  <w:r>
                    <w:rPr>
                      <w:rFonts w:hint="default"/>
                      <w:lang w:val="en-US" w:eastAsia="zh-CN"/>
                    </w:rPr>
                    <w:t>m²</w:t>
                  </w:r>
                  <w:r>
                    <w:rPr>
                      <w:rFonts w:hint="eastAsia"/>
                      <w:lang w:val="en-US" w:eastAsia="zh-CN"/>
                    </w:rPr>
                    <w:t>成品砂储存区</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410" w:type="pct"/>
                  <w:vMerge w:val="continue"/>
                  <w:tcBorders>
                    <w:left w:val="nil"/>
                    <w:right w:val="single" w:color="auto" w:sz="4" w:space="0"/>
                  </w:tcBorders>
                  <w:vAlign w:val="center"/>
                </w:tcPr>
                <w:p>
                  <w:pPr>
                    <w:jc w:val="center"/>
                  </w:pPr>
                </w:p>
              </w:tc>
              <w:tc>
                <w:tcPr>
                  <w:tcW w:w="402" w:type="pct"/>
                  <w:vMerge w:val="continue"/>
                  <w:tcBorders>
                    <w:left w:val="single" w:color="auto" w:sz="4" w:space="0"/>
                    <w:right w:val="single" w:color="auto" w:sz="4" w:space="0"/>
                  </w:tcBorders>
                  <w:vAlign w:val="center"/>
                </w:tcPr>
                <w:p>
                  <w:pPr>
                    <w:widowControl/>
                    <w:jc w:val="center"/>
                    <w:rPr>
                      <w:rFonts w:hint="eastAsia"/>
                    </w:rPr>
                  </w:pPr>
                </w:p>
              </w:tc>
              <w:tc>
                <w:tcPr>
                  <w:tcW w:w="1342"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tabs>
                      <w:tab w:val="left" w:pos="3255"/>
                    </w:tabs>
                    <w:kinsoku/>
                    <w:wordWrap/>
                    <w:overflowPunct/>
                    <w:topLinePunct w:val="0"/>
                    <w:autoSpaceDE/>
                    <w:autoSpaceDN/>
                    <w:bidi w:val="0"/>
                    <w:adjustRightInd w:val="0"/>
                    <w:snapToGrid w:val="0"/>
                    <w:spacing w:after="0"/>
                    <w:jc w:val="left"/>
                    <w:textAlignment w:val="auto"/>
                    <w:rPr>
                      <w:rFonts w:hint="eastAsia"/>
                      <w:lang w:val="en-US" w:eastAsia="zh-CN"/>
                    </w:rPr>
                  </w:pPr>
                  <w:r>
                    <w:rPr>
                      <w:rFonts w:hint="default"/>
                      <w:lang w:val="en-US" w:eastAsia="zh-CN"/>
                    </w:rPr>
                    <w:t>原砂储存区占地面积为2322m²，为三面封闭式，位于全封闭生产车间内</w:t>
                  </w:r>
                </w:p>
              </w:tc>
              <w:tc>
                <w:tcPr>
                  <w:tcW w:w="1632"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tabs>
                      <w:tab w:val="left" w:pos="3255"/>
                    </w:tabs>
                    <w:kinsoku/>
                    <w:wordWrap/>
                    <w:overflowPunct/>
                    <w:topLinePunct w:val="0"/>
                    <w:autoSpaceDE/>
                    <w:autoSpaceDN/>
                    <w:bidi w:val="0"/>
                    <w:adjustRightInd w:val="0"/>
                    <w:snapToGrid w:val="0"/>
                    <w:spacing w:after="0"/>
                    <w:jc w:val="left"/>
                    <w:textAlignment w:val="auto"/>
                    <w:rPr>
                      <w:rFonts w:hint="eastAsia"/>
                      <w:lang w:val="en-US" w:eastAsia="zh-CN"/>
                    </w:rPr>
                  </w:pPr>
                  <w:r>
                    <w:rPr>
                      <w:rFonts w:hint="default"/>
                      <w:lang w:val="en-US" w:eastAsia="zh-CN"/>
                    </w:rPr>
                    <w:t>原砂储存区占地面积</w:t>
                  </w:r>
                  <w:r>
                    <w:rPr>
                      <w:rFonts w:hint="eastAsia"/>
                      <w:lang w:val="en-US" w:eastAsia="zh-CN"/>
                    </w:rPr>
                    <w:t>为500</w:t>
                  </w:r>
                  <w:r>
                    <w:rPr>
                      <w:rFonts w:hint="default"/>
                      <w:lang w:val="en-US" w:eastAsia="zh-CN"/>
                    </w:rPr>
                    <w:t>m²，</w:t>
                  </w:r>
                  <w:r>
                    <w:rPr>
                      <w:rFonts w:hint="eastAsia"/>
                      <w:lang w:val="en-US" w:eastAsia="zh-CN"/>
                    </w:rPr>
                    <w:t>新增青石鹅卵石原料区600</w:t>
                  </w:r>
                  <w:r>
                    <w:rPr>
                      <w:rFonts w:hint="default"/>
                      <w:lang w:val="en-US" w:eastAsia="zh-CN"/>
                    </w:rPr>
                    <w:t>m²位于全封闭生产车间内</w:t>
                  </w:r>
                </w:p>
              </w:tc>
              <w:tc>
                <w:tcPr>
                  <w:tcW w:w="1212" w:type="pct"/>
                  <w:tcBorders>
                    <w:top w:val="single" w:color="auto" w:sz="4" w:space="0"/>
                    <w:left w:val="single" w:color="auto" w:sz="4" w:space="0"/>
                    <w:bottom w:val="single" w:color="auto" w:sz="4" w:space="0"/>
                    <w:right w:val="nil"/>
                  </w:tcBorders>
                  <w:vAlign w:val="center"/>
                </w:tcPr>
                <w:p>
                  <w:pPr>
                    <w:widowControl/>
                    <w:jc w:val="center"/>
                    <w:rPr>
                      <w:rFonts w:hint="default"/>
                      <w:lang w:val="en-US" w:eastAsia="zh-CN"/>
                    </w:rPr>
                  </w:pPr>
                  <w:r>
                    <w:rPr>
                      <w:rFonts w:hint="eastAsia"/>
                      <w:lang w:val="en-US" w:eastAsia="zh-CN"/>
                    </w:rPr>
                    <w:t>因新建年产13万吨铸造用砂制品生产线，作为原来生产线的原料，只需外购一小部分江砂做原料，则原来江砂储存区面积减小，新增青石鹅卵石原料区600</w:t>
                  </w:r>
                  <w:r>
                    <w:rPr>
                      <w:rFonts w:hint="default"/>
                      <w:lang w:val="en-US" w:eastAsia="zh-CN"/>
                    </w:rPr>
                    <w:t>m²</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410" w:type="pct"/>
                  <w:vMerge w:val="continue"/>
                  <w:tcBorders>
                    <w:left w:val="nil"/>
                    <w:bottom w:val="single" w:color="auto" w:sz="4" w:space="0"/>
                    <w:right w:val="single" w:color="auto" w:sz="4" w:space="0"/>
                  </w:tcBorders>
                  <w:vAlign w:val="center"/>
                </w:tcPr>
                <w:p>
                  <w:pPr>
                    <w:jc w:val="center"/>
                  </w:pPr>
                </w:p>
              </w:tc>
              <w:tc>
                <w:tcPr>
                  <w:tcW w:w="402" w:type="pct"/>
                  <w:vMerge w:val="continue"/>
                  <w:tcBorders>
                    <w:left w:val="single" w:color="auto" w:sz="4" w:space="0"/>
                    <w:bottom w:val="single" w:color="auto" w:sz="4" w:space="0"/>
                    <w:right w:val="single" w:color="auto" w:sz="4" w:space="0"/>
                  </w:tcBorders>
                  <w:vAlign w:val="center"/>
                </w:tcPr>
                <w:p>
                  <w:pPr>
                    <w:widowControl/>
                    <w:jc w:val="center"/>
                    <w:rPr>
                      <w:rFonts w:hint="eastAsia"/>
                    </w:rPr>
                  </w:pPr>
                </w:p>
              </w:tc>
              <w:tc>
                <w:tcPr>
                  <w:tcW w:w="1342"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tabs>
                      <w:tab w:val="left" w:pos="3255"/>
                    </w:tabs>
                    <w:kinsoku/>
                    <w:wordWrap/>
                    <w:overflowPunct/>
                    <w:topLinePunct w:val="0"/>
                    <w:autoSpaceDE/>
                    <w:autoSpaceDN/>
                    <w:bidi w:val="0"/>
                    <w:adjustRightInd w:val="0"/>
                    <w:snapToGrid w:val="0"/>
                    <w:spacing w:after="0"/>
                    <w:jc w:val="left"/>
                    <w:textAlignment w:val="auto"/>
                    <w:rPr>
                      <w:rFonts w:hint="eastAsia"/>
                      <w:lang w:val="en-US" w:eastAsia="zh-CN"/>
                    </w:rPr>
                  </w:pPr>
                  <w:r>
                    <w:rPr>
                      <w:rFonts w:hint="default"/>
                      <w:lang w:val="en-US" w:eastAsia="zh-CN"/>
                    </w:rPr>
                    <w:t>砂仓占地面积300m²，为三面封闭式，位于全封闭生产车间内</w:t>
                  </w:r>
                </w:p>
              </w:tc>
              <w:tc>
                <w:tcPr>
                  <w:tcW w:w="1632"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tabs>
                      <w:tab w:val="left" w:pos="3255"/>
                    </w:tabs>
                    <w:kinsoku/>
                    <w:wordWrap/>
                    <w:overflowPunct/>
                    <w:topLinePunct w:val="0"/>
                    <w:autoSpaceDE/>
                    <w:autoSpaceDN/>
                    <w:bidi w:val="0"/>
                    <w:adjustRightInd w:val="0"/>
                    <w:snapToGrid w:val="0"/>
                    <w:spacing w:after="0"/>
                    <w:jc w:val="left"/>
                    <w:textAlignment w:val="auto"/>
                    <w:rPr>
                      <w:rFonts w:hint="eastAsia"/>
                      <w:lang w:val="en-US" w:eastAsia="zh-CN"/>
                    </w:rPr>
                  </w:pPr>
                  <w:r>
                    <w:rPr>
                      <w:rFonts w:hint="default"/>
                      <w:lang w:val="en-US" w:eastAsia="zh-CN"/>
                    </w:rPr>
                    <w:t>砂仓占地面积300m²，为三面封闭式，位于全封闭生产车间内</w:t>
                  </w:r>
                </w:p>
              </w:tc>
              <w:tc>
                <w:tcPr>
                  <w:tcW w:w="1212" w:type="pct"/>
                  <w:tcBorders>
                    <w:top w:val="single" w:color="auto" w:sz="4" w:space="0"/>
                    <w:left w:val="single" w:color="auto" w:sz="4" w:space="0"/>
                    <w:bottom w:val="single" w:color="auto" w:sz="4" w:space="0"/>
                    <w:right w:val="nil"/>
                  </w:tcBorders>
                  <w:vAlign w:val="center"/>
                </w:tcPr>
                <w:p>
                  <w:pPr>
                    <w:widowControl/>
                    <w:jc w:val="center"/>
                    <w:rPr>
                      <w:rFonts w:hint="eastAsia"/>
                    </w:rPr>
                  </w:pPr>
                  <w:r>
                    <w:rPr>
                      <w:rFonts w:hint="eastAsia"/>
                    </w:rPr>
                    <w:t>保持不变</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10" w:type="pct"/>
                  <w:vMerge w:val="restart"/>
                  <w:tcBorders>
                    <w:top w:val="single" w:color="auto" w:sz="4" w:space="0"/>
                    <w:left w:val="nil"/>
                    <w:bottom w:val="single" w:color="auto" w:sz="4" w:space="0"/>
                    <w:right w:val="single" w:color="auto" w:sz="4" w:space="0"/>
                  </w:tcBorders>
                  <w:vAlign w:val="center"/>
                </w:tcPr>
                <w:p>
                  <w:pPr>
                    <w:widowControl/>
                    <w:jc w:val="center"/>
                  </w:pPr>
                  <w:r>
                    <w:t>公用工程</w:t>
                  </w:r>
                </w:p>
              </w:tc>
              <w:tc>
                <w:tcPr>
                  <w:tcW w:w="402" w:type="pct"/>
                  <w:tcBorders>
                    <w:top w:val="single" w:color="auto" w:sz="4" w:space="0"/>
                    <w:left w:val="single" w:color="auto" w:sz="4" w:space="0"/>
                    <w:bottom w:val="single" w:color="auto" w:sz="4" w:space="0"/>
                    <w:right w:val="single" w:color="auto" w:sz="4" w:space="0"/>
                  </w:tcBorders>
                  <w:vAlign w:val="center"/>
                </w:tcPr>
                <w:p>
                  <w:pPr>
                    <w:widowControl/>
                    <w:jc w:val="center"/>
                  </w:pPr>
                  <w:r>
                    <w:t>供电系统</w:t>
                  </w:r>
                </w:p>
              </w:tc>
              <w:tc>
                <w:tcPr>
                  <w:tcW w:w="1342" w:type="pct"/>
                  <w:tcBorders>
                    <w:top w:val="single" w:color="auto" w:sz="4" w:space="0"/>
                    <w:left w:val="single" w:color="auto" w:sz="4" w:space="0"/>
                    <w:bottom w:val="single" w:color="auto" w:sz="4" w:space="0"/>
                    <w:right w:val="single" w:color="auto" w:sz="4" w:space="0"/>
                  </w:tcBorders>
                  <w:vAlign w:val="center"/>
                </w:tcPr>
                <w:p>
                  <w:pPr>
                    <w:widowControl/>
                    <w:jc w:val="center"/>
                  </w:pPr>
                  <w:r>
                    <w:t>来自市政电网</w:t>
                  </w:r>
                </w:p>
              </w:tc>
              <w:tc>
                <w:tcPr>
                  <w:tcW w:w="1632"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kern w:val="2"/>
                      <w:sz w:val="21"/>
                      <w:szCs w:val="24"/>
                      <w:lang w:val="en-US" w:eastAsia="zh-CN" w:bidi="ar-SA"/>
                    </w:rPr>
                  </w:pPr>
                  <w:r>
                    <w:t>来自市政电网</w:t>
                  </w:r>
                </w:p>
              </w:tc>
              <w:tc>
                <w:tcPr>
                  <w:tcW w:w="1212" w:type="pct"/>
                  <w:tcBorders>
                    <w:top w:val="single" w:color="auto" w:sz="4" w:space="0"/>
                    <w:left w:val="single" w:color="auto" w:sz="4" w:space="0"/>
                    <w:bottom w:val="single" w:color="auto" w:sz="4" w:space="0"/>
                    <w:right w:val="nil"/>
                  </w:tcBorders>
                  <w:vAlign w:val="center"/>
                </w:tcPr>
                <w:p>
                  <w:pPr>
                    <w:widowControl/>
                    <w:jc w:val="center"/>
                  </w:pPr>
                  <w:r>
                    <w:t>依托现有</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410" w:type="pct"/>
                  <w:vMerge w:val="continue"/>
                  <w:tcBorders>
                    <w:top w:val="single" w:color="auto" w:sz="4" w:space="0"/>
                    <w:left w:val="nil"/>
                    <w:bottom w:val="single" w:color="auto" w:sz="4" w:space="0"/>
                    <w:right w:val="single" w:color="auto" w:sz="4" w:space="0"/>
                  </w:tcBorders>
                  <w:vAlign w:val="center"/>
                </w:tcPr>
                <w:p>
                  <w:pPr>
                    <w:widowControl/>
                    <w:jc w:val="center"/>
                  </w:pPr>
                </w:p>
              </w:tc>
              <w:tc>
                <w:tcPr>
                  <w:tcW w:w="402" w:type="pct"/>
                  <w:tcBorders>
                    <w:top w:val="single" w:color="auto" w:sz="4" w:space="0"/>
                    <w:left w:val="single" w:color="auto" w:sz="4" w:space="0"/>
                    <w:bottom w:val="single" w:color="auto" w:sz="4" w:space="0"/>
                    <w:right w:val="single" w:color="auto" w:sz="4" w:space="0"/>
                  </w:tcBorders>
                  <w:vAlign w:val="center"/>
                </w:tcPr>
                <w:p>
                  <w:pPr>
                    <w:jc w:val="center"/>
                  </w:pPr>
                  <w:r>
                    <w:t>供水系统</w:t>
                  </w:r>
                </w:p>
              </w:tc>
              <w:tc>
                <w:tcPr>
                  <w:tcW w:w="1342" w:type="pct"/>
                  <w:tcBorders>
                    <w:top w:val="single" w:color="auto" w:sz="4" w:space="0"/>
                    <w:left w:val="single" w:color="auto" w:sz="4" w:space="0"/>
                    <w:bottom w:val="single" w:color="auto" w:sz="4" w:space="0"/>
                    <w:right w:val="single" w:color="auto" w:sz="4" w:space="0"/>
                  </w:tcBorders>
                  <w:vAlign w:val="center"/>
                </w:tcPr>
                <w:p>
                  <w:pPr>
                    <w:widowControl/>
                    <w:jc w:val="center"/>
                  </w:pPr>
                  <w:r>
                    <w:t>来自市政给水管网</w:t>
                  </w:r>
                </w:p>
              </w:tc>
              <w:tc>
                <w:tcPr>
                  <w:tcW w:w="1632"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kern w:val="2"/>
                      <w:sz w:val="21"/>
                      <w:szCs w:val="24"/>
                      <w:lang w:val="en-US" w:eastAsia="zh-CN" w:bidi="ar-SA"/>
                    </w:rPr>
                  </w:pPr>
                  <w:r>
                    <w:t>来自市政给水管网</w:t>
                  </w:r>
                </w:p>
              </w:tc>
              <w:tc>
                <w:tcPr>
                  <w:tcW w:w="1212" w:type="pct"/>
                  <w:tcBorders>
                    <w:top w:val="single" w:color="auto" w:sz="4" w:space="0"/>
                    <w:left w:val="single" w:color="auto" w:sz="4" w:space="0"/>
                    <w:bottom w:val="single" w:color="auto" w:sz="4" w:space="0"/>
                    <w:right w:val="nil"/>
                  </w:tcBorders>
                  <w:vAlign w:val="center"/>
                </w:tcPr>
                <w:p>
                  <w:pPr>
                    <w:widowControl/>
                    <w:jc w:val="center"/>
                  </w:pPr>
                  <w:r>
                    <w:t>依托现有</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55" w:hRule="atLeast"/>
                <w:jc w:val="center"/>
              </w:trPr>
              <w:tc>
                <w:tcPr>
                  <w:tcW w:w="410" w:type="pct"/>
                  <w:vMerge w:val="continue"/>
                  <w:tcBorders>
                    <w:top w:val="single" w:color="auto" w:sz="4" w:space="0"/>
                    <w:left w:val="nil"/>
                    <w:bottom w:val="single" w:color="auto" w:sz="4" w:space="0"/>
                    <w:right w:val="single" w:color="auto" w:sz="4" w:space="0"/>
                  </w:tcBorders>
                  <w:vAlign w:val="center"/>
                </w:tcPr>
                <w:p>
                  <w:pPr>
                    <w:widowControl/>
                    <w:jc w:val="center"/>
                  </w:pPr>
                </w:p>
              </w:tc>
              <w:tc>
                <w:tcPr>
                  <w:tcW w:w="402" w:type="pct"/>
                  <w:tcBorders>
                    <w:top w:val="single" w:color="auto" w:sz="4" w:space="0"/>
                    <w:left w:val="single" w:color="auto" w:sz="4" w:space="0"/>
                    <w:bottom w:val="single" w:color="auto" w:sz="4" w:space="0"/>
                    <w:right w:val="single" w:color="auto" w:sz="4" w:space="0"/>
                  </w:tcBorders>
                  <w:vAlign w:val="center"/>
                </w:tcPr>
                <w:p>
                  <w:pPr>
                    <w:jc w:val="center"/>
                  </w:pPr>
                  <w:r>
                    <w:t>排水系统</w:t>
                  </w:r>
                </w:p>
              </w:tc>
              <w:tc>
                <w:tcPr>
                  <w:tcW w:w="2974" w:type="pct"/>
                  <w:gridSpan w:val="2"/>
                  <w:tcBorders>
                    <w:top w:val="single" w:color="auto" w:sz="4" w:space="0"/>
                    <w:left w:val="single" w:color="auto" w:sz="4" w:space="0"/>
                    <w:bottom w:val="single" w:color="auto" w:sz="4" w:space="0"/>
                    <w:right w:val="single" w:color="auto" w:sz="4" w:space="0"/>
                  </w:tcBorders>
                  <w:vAlign w:val="center"/>
                </w:tcPr>
                <w:p>
                  <w:pPr>
                    <w:widowControl/>
                    <w:jc w:val="center"/>
                  </w:pPr>
                  <w:r>
                    <w:rPr>
                      <w:rFonts w:hint="eastAsia"/>
                    </w:rPr>
                    <w:t>雨水经厂内雨水管网收集后排入市政雨水管网，生产废水经循环沉淀池沉淀后循环使用，不外排</w:t>
                  </w:r>
                </w:p>
              </w:tc>
              <w:tc>
                <w:tcPr>
                  <w:tcW w:w="1212" w:type="pct"/>
                  <w:tcBorders>
                    <w:top w:val="single" w:color="auto" w:sz="4" w:space="0"/>
                    <w:left w:val="single" w:color="auto" w:sz="4" w:space="0"/>
                    <w:bottom w:val="single" w:color="auto" w:sz="4" w:space="0"/>
                    <w:right w:val="nil"/>
                  </w:tcBorders>
                  <w:vAlign w:val="center"/>
                </w:tcPr>
                <w:p>
                  <w:pPr>
                    <w:widowControl/>
                    <w:jc w:val="center"/>
                  </w:pPr>
                  <w:r>
                    <w:t>依托现有</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0" w:type="pct"/>
                  <w:vMerge w:val="restart"/>
                  <w:tcBorders>
                    <w:top w:val="single" w:color="auto" w:sz="4" w:space="0"/>
                    <w:left w:val="nil"/>
                    <w:bottom w:val="single" w:color="auto" w:sz="4" w:space="0"/>
                    <w:right w:val="single" w:color="auto" w:sz="4" w:space="0"/>
                  </w:tcBorders>
                  <w:vAlign w:val="center"/>
                </w:tcPr>
                <w:p>
                  <w:pPr>
                    <w:widowControl/>
                    <w:jc w:val="center"/>
                    <w:rPr>
                      <w:rFonts w:hint="default"/>
                      <w:lang w:val="en-US" w:eastAsia="zh-CN"/>
                    </w:rPr>
                  </w:pPr>
                  <w:r>
                    <w:rPr>
                      <w:rFonts w:hint="eastAsia"/>
                      <w:lang w:val="en-US" w:eastAsia="zh-CN"/>
                    </w:rPr>
                    <w:t>环保工程</w:t>
                  </w:r>
                </w:p>
              </w:tc>
              <w:tc>
                <w:tcPr>
                  <w:tcW w:w="402" w:type="pct"/>
                  <w:tcBorders>
                    <w:top w:val="single" w:color="auto" w:sz="4" w:space="0"/>
                    <w:left w:val="single" w:color="auto" w:sz="4" w:space="0"/>
                    <w:bottom w:val="single" w:color="auto" w:sz="4" w:space="0"/>
                    <w:right w:val="single" w:color="auto" w:sz="4" w:space="0"/>
                  </w:tcBorders>
                  <w:vAlign w:val="center"/>
                </w:tcPr>
                <w:p>
                  <w:pPr>
                    <w:widowControl/>
                    <w:jc w:val="center"/>
                  </w:pPr>
                  <w:r>
                    <w:t>废水治理</w:t>
                  </w:r>
                </w:p>
              </w:tc>
              <w:tc>
                <w:tcPr>
                  <w:tcW w:w="1342" w:type="pct"/>
                  <w:tcBorders>
                    <w:top w:val="single" w:color="auto" w:sz="4" w:space="0"/>
                    <w:left w:val="single" w:color="auto" w:sz="4" w:space="0"/>
                    <w:bottom w:val="single" w:color="auto" w:sz="4" w:space="0"/>
                    <w:right w:val="single" w:color="auto" w:sz="4" w:space="0"/>
                  </w:tcBorders>
                  <w:vAlign w:val="center"/>
                </w:tcPr>
                <w:p>
                  <w:pPr>
                    <w:widowControl/>
                    <w:jc w:val="center"/>
                    <w:rPr>
                      <w:rFonts w:hint="default"/>
                      <w:lang w:val="en-US" w:eastAsia="zh-CN"/>
                    </w:rPr>
                  </w:pPr>
                  <w:r>
                    <w:t>雨污分流；</w:t>
                  </w:r>
                  <w:r>
                    <w:rPr>
                      <w:rFonts w:hint="eastAsia"/>
                      <w:lang w:val="en-US" w:eastAsia="zh-CN"/>
                    </w:rPr>
                    <w:t>循环沉淀池</w:t>
                  </w:r>
                </w:p>
              </w:tc>
              <w:tc>
                <w:tcPr>
                  <w:tcW w:w="1632" w:type="pct"/>
                  <w:tcBorders>
                    <w:top w:val="single" w:color="auto" w:sz="4" w:space="0"/>
                    <w:left w:val="single" w:color="auto" w:sz="4" w:space="0"/>
                    <w:bottom w:val="single" w:color="auto" w:sz="4" w:space="0"/>
                    <w:right w:val="single" w:color="auto" w:sz="4" w:space="0"/>
                  </w:tcBorders>
                  <w:vAlign w:val="center"/>
                </w:tcPr>
                <w:p>
                  <w:pPr>
                    <w:widowControl/>
                    <w:jc w:val="center"/>
                  </w:pPr>
                  <w:r>
                    <w:t>雨污分流；</w:t>
                  </w:r>
                  <w:r>
                    <w:rPr>
                      <w:rFonts w:hint="eastAsia"/>
                      <w:lang w:val="en-US" w:eastAsia="zh-CN"/>
                    </w:rPr>
                    <w:t>循环沉淀池</w:t>
                  </w:r>
                </w:p>
              </w:tc>
              <w:tc>
                <w:tcPr>
                  <w:tcW w:w="1212" w:type="pct"/>
                  <w:tcBorders>
                    <w:top w:val="single" w:color="auto" w:sz="4" w:space="0"/>
                    <w:left w:val="single" w:color="auto" w:sz="4" w:space="0"/>
                    <w:bottom w:val="single" w:color="auto" w:sz="4" w:space="0"/>
                    <w:right w:val="nil"/>
                  </w:tcBorders>
                  <w:vAlign w:val="center"/>
                </w:tcPr>
                <w:p>
                  <w:pPr>
                    <w:jc w:val="center"/>
                  </w:pPr>
                  <w:r>
                    <w:t>依托现有</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81" w:hRule="atLeast"/>
                <w:jc w:val="center"/>
              </w:trPr>
              <w:tc>
                <w:tcPr>
                  <w:tcW w:w="410" w:type="pct"/>
                  <w:vMerge w:val="continue"/>
                  <w:tcBorders>
                    <w:top w:val="single" w:color="auto" w:sz="4" w:space="0"/>
                    <w:left w:val="nil"/>
                    <w:bottom w:val="single" w:color="auto" w:sz="4" w:space="0"/>
                    <w:right w:val="single" w:color="auto" w:sz="4" w:space="0"/>
                  </w:tcBorders>
                  <w:vAlign w:val="center"/>
                </w:tcPr>
                <w:p>
                  <w:pPr>
                    <w:widowControl/>
                    <w:jc w:val="center"/>
                  </w:pPr>
                </w:p>
              </w:tc>
              <w:tc>
                <w:tcPr>
                  <w:tcW w:w="402" w:type="pct"/>
                  <w:tcBorders>
                    <w:top w:val="single" w:color="auto" w:sz="4" w:space="0"/>
                    <w:left w:val="single" w:color="auto" w:sz="4" w:space="0"/>
                    <w:bottom w:val="single" w:color="auto" w:sz="4" w:space="0"/>
                    <w:right w:val="single" w:color="auto" w:sz="4" w:space="0"/>
                  </w:tcBorders>
                  <w:vAlign w:val="center"/>
                </w:tcPr>
                <w:p>
                  <w:pPr>
                    <w:widowControl/>
                    <w:jc w:val="center"/>
                  </w:pPr>
                  <w:r>
                    <w:rPr>
                      <w:rFonts w:hint="eastAsia"/>
                    </w:rPr>
                    <w:t>废气治理</w:t>
                  </w:r>
                </w:p>
              </w:tc>
              <w:tc>
                <w:tcPr>
                  <w:tcW w:w="1342" w:type="pct"/>
                  <w:tcBorders>
                    <w:top w:val="single" w:color="auto" w:sz="4" w:space="0"/>
                    <w:left w:val="single" w:color="auto" w:sz="4" w:space="0"/>
                    <w:bottom w:val="single" w:color="auto" w:sz="4" w:space="0"/>
                    <w:right w:val="single" w:color="auto" w:sz="4" w:space="0"/>
                  </w:tcBorders>
                  <w:vAlign w:val="center"/>
                </w:tcPr>
                <w:p>
                  <w:pPr>
                    <w:widowControl/>
                    <w:jc w:val="center"/>
                  </w:pPr>
                  <w:r>
                    <w:rPr>
                      <w:rFonts w:hint="default"/>
                      <w:lang w:val="en-US" w:eastAsia="zh-CN"/>
                    </w:rPr>
                    <w:t>生产区域全封闭，卸料及上料区均配置喷淋系统</w:t>
                  </w:r>
                </w:p>
              </w:tc>
              <w:tc>
                <w:tcPr>
                  <w:tcW w:w="1632" w:type="pct"/>
                  <w:tcBorders>
                    <w:top w:val="single" w:color="auto" w:sz="4" w:space="0"/>
                    <w:left w:val="single" w:color="auto" w:sz="4" w:space="0"/>
                    <w:bottom w:val="single" w:color="auto" w:sz="4" w:space="0"/>
                    <w:right w:val="single" w:color="auto" w:sz="4" w:space="0"/>
                  </w:tcBorders>
                  <w:vAlign w:val="center"/>
                </w:tcPr>
                <w:p>
                  <w:pPr>
                    <w:adjustRightInd w:val="0"/>
                    <w:spacing w:line="330" w:lineRule="exact"/>
                    <w:jc w:val="center"/>
                  </w:pPr>
                  <w:r>
                    <w:rPr>
                      <w:rFonts w:hint="default"/>
                      <w:lang w:val="en-US" w:eastAsia="zh-CN"/>
                    </w:rPr>
                    <w:t>生产区域全封闭，</w:t>
                  </w:r>
                  <w:r>
                    <w:rPr>
                      <w:rFonts w:hint="eastAsia"/>
                      <w:lang w:val="en-US" w:eastAsia="zh-CN"/>
                    </w:rPr>
                    <w:t>全厂区安装喷雾降尘设备，破碎筛分采用湿式工艺，</w:t>
                  </w:r>
                  <w:r>
                    <w:rPr>
                      <w:rFonts w:hint="default"/>
                      <w:lang w:val="en-US" w:eastAsia="zh-CN"/>
                    </w:rPr>
                    <w:t>卸料及上料区均配置喷淋系统</w:t>
                  </w:r>
                </w:p>
              </w:tc>
              <w:tc>
                <w:tcPr>
                  <w:tcW w:w="1212" w:type="pct"/>
                  <w:tcBorders>
                    <w:top w:val="single" w:color="auto" w:sz="4" w:space="0"/>
                    <w:left w:val="single" w:color="auto" w:sz="4" w:space="0"/>
                    <w:bottom w:val="single" w:color="auto" w:sz="4" w:space="0"/>
                    <w:right w:val="nil"/>
                  </w:tcBorders>
                  <w:vAlign w:val="center"/>
                </w:tcPr>
                <w:p>
                  <w:pPr>
                    <w:widowControl/>
                    <w:jc w:val="center"/>
                    <w:rPr>
                      <w:rFonts w:hint="default"/>
                      <w:lang w:val="en-US" w:eastAsia="zh-CN"/>
                    </w:rPr>
                  </w:pPr>
                  <w:r>
                    <w:rPr>
                      <w:rFonts w:hint="eastAsia"/>
                      <w:lang w:val="en-US" w:eastAsia="zh-CN"/>
                    </w:rPr>
                    <w:t>增加喷淋系统</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410" w:type="pct"/>
                  <w:vMerge w:val="continue"/>
                  <w:tcBorders>
                    <w:top w:val="single" w:color="auto" w:sz="4" w:space="0"/>
                    <w:left w:val="nil"/>
                    <w:bottom w:val="single" w:color="auto" w:sz="4" w:space="0"/>
                    <w:right w:val="single" w:color="auto" w:sz="4" w:space="0"/>
                  </w:tcBorders>
                  <w:vAlign w:val="center"/>
                </w:tcPr>
                <w:p>
                  <w:pPr>
                    <w:widowControl/>
                    <w:jc w:val="center"/>
                  </w:pPr>
                </w:p>
              </w:tc>
              <w:tc>
                <w:tcPr>
                  <w:tcW w:w="402" w:type="pct"/>
                  <w:tcBorders>
                    <w:top w:val="single" w:color="auto" w:sz="4" w:space="0"/>
                    <w:left w:val="single" w:color="auto" w:sz="4" w:space="0"/>
                    <w:bottom w:val="single" w:color="auto" w:sz="4" w:space="0"/>
                    <w:right w:val="single" w:color="auto" w:sz="4" w:space="0"/>
                  </w:tcBorders>
                  <w:vAlign w:val="center"/>
                </w:tcPr>
                <w:p>
                  <w:pPr>
                    <w:widowControl/>
                    <w:jc w:val="center"/>
                  </w:pPr>
                  <w:r>
                    <w:t>噪声治理</w:t>
                  </w:r>
                </w:p>
              </w:tc>
              <w:tc>
                <w:tcPr>
                  <w:tcW w:w="1342" w:type="pct"/>
                  <w:tcBorders>
                    <w:top w:val="single" w:color="auto" w:sz="4" w:space="0"/>
                    <w:left w:val="single" w:color="auto" w:sz="4" w:space="0"/>
                    <w:bottom w:val="single" w:color="auto" w:sz="4" w:space="0"/>
                    <w:right w:val="single" w:color="auto" w:sz="4" w:space="0"/>
                  </w:tcBorders>
                  <w:vAlign w:val="center"/>
                </w:tcPr>
                <w:p>
                  <w:pPr>
                    <w:widowControl/>
                    <w:jc w:val="center"/>
                  </w:pPr>
                  <w:r>
                    <w:rPr>
                      <w:rFonts w:hint="default"/>
                    </w:rPr>
                    <w:t>选用低噪设备</w:t>
                  </w:r>
                  <w:r>
                    <w:rPr>
                      <w:rFonts w:hint="eastAsia"/>
                      <w:lang w:eastAsia="zh-CN"/>
                    </w:rPr>
                    <w:t>、</w:t>
                  </w:r>
                  <w:r>
                    <w:rPr>
                      <w:rFonts w:hint="default"/>
                    </w:rPr>
                    <w:t>减振、隔声</w:t>
                  </w:r>
                </w:p>
              </w:tc>
              <w:tc>
                <w:tcPr>
                  <w:tcW w:w="1632" w:type="pct"/>
                  <w:tcBorders>
                    <w:top w:val="single" w:color="auto" w:sz="4" w:space="0"/>
                    <w:left w:val="single" w:color="auto" w:sz="4" w:space="0"/>
                    <w:bottom w:val="single" w:color="auto" w:sz="4" w:space="0"/>
                    <w:right w:val="single" w:color="auto" w:sz="4" w:space="0"/>
                  </w:tcBorders>
                  <w:vAlign w:val="center"/>
                </w:tcPr>
                <w:p>
                  <w:pPr>
                    <w:widowControl/>
                    <w:jc w:val="center"/>
                  </w:pPr>
                  <w:r>
                    <w:rPr>
                      <w:rFonts w:hint="default"/>
                    </w:rPr>
                    <w:t>选用低噪设备</w:t>
                  </w:r>
                  <w:r>
                    <w:rPr>
                      <w:rFonts w:hint="eastAsia"/>
                      <w:lang w:eastAsia="zh-CN"/>
                    </w:rPr>
                    <w:t>、</w:t>
                  </w:r>
                  <w:r>
                    <w:rPr>
                      <w:rFonts w:hint="default"/>
                    </w:rPr>
                    <w:t>减振、隔声</w:t>
                  </w:r>
                </w:p>
              </w:tc>
              <w:tc>
                <w:tcPr>
                  <w:tcW w:w="1212" w:type="pct"/>
                  <w:tcBorders>
                    <w:top w:val="single" w:color="auto" w:sz="4" w:space="0"/>
                    <w:left w:val="single" w:color="auto" w:sz="4" w:space="0"/>
                    <w:bottom w:val="single" w:color="auto" w:sz="4" w:space="0"/>
                    <w:right w:val="nil"/>
                  </w:tcBorders>
                  <w:vAlign w:val="center"/>
                </w:tcPr>
                <w:p>
                  <w:pPr>
                    <w:widowControl/>
                    <w:jc w:val="center"/>
                  </w:pPr>
                  <w:r>
                    <w:rPr>
                      <w:rFonts w:hint="eastAsia"/>
                    </w:rPr>
                    <w:t>/</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410" w:type="pct"/>
                  <w:vMerge w:val="continue"/>
                  <w:tcBorders>
                    <w:top w:val="single" w:color="auto" w:sz="4" w:space="0"/>
                    <w:left w:val="nil"/>
                    <w:bottom w:val="single" w:color="auto" w:sz="4" w:space="0"/>
                    <w:right w:val="single" w:color="auto" w:sz="4" w:space="0"/>
                  </w:tcBorders>
                  <w:vAlign w:val="center"/>
                </w:tcPr>
                <w:p>
                  <w:pPr>
                    <w:widowControl/>
                    <w:jc w:val="center"/>
                  </w:pPr>
                </w:p>
              </w:tc>
              <w:tc>
                <w:tcPr>
                  <w:tcW w:w="402" w:type="pct"/>
                  <w:tcBorders>
                    <w:top w:val="single" w:color="auto" w:sz="4" w:space="0"/>
                    <w:left w:val="single" w:color="auto" w:sz="4" w:space="0"/>
                    <w:bottom w:val="single" w:color="auto" w:sz="8" w:space="0"/>
                    <w:right w:val="single" w:color="auto" w:sz="4" w:space="0"/>
                  </w:tcBorders>
                  <w:vAlign w:val="center"/>
                </w:tcPr>
                <w:p>
                  <w:pPr>
                    <w:widowControl/>
                    <w:jc w:val="center"/>
                  </w:pPr>
                  <w:r>
                    <w:rPr>
                      <w:rFonts w:hint="eastAsia"/>
                    </w:rPr>
                    <w:t>固体废物处理</w:t>
                  </w:r>
                </w:p>
              </w:tc>
              <w:tc>
                <w:tcPr>
                  <w:tcW w:w="1342" w:type="pct"/>
                  <w:tcBorders>
                    <w:top w:val="single" w:color="auto" w:sz="4" w:space="0"/>
                    <w:left w:val="single" w:color="auto" w:sz="4" w:space="0"/>
                    <w:bottom w:val="single" w:color="auto" w:sz="8" w:space="0"/>
                    <w:right w:val="single" w:color="auto" w:sz="4" w:space="0"/>
                  </w:tcBorders>
                  <w:vAlign w:val="center"/>
                </w:tcPr>
                <w:p>
                  <w:pPr>
                    <w:widowControl/>
                    <w:jc w:val="center"/>
                  </w:pPr>
                  <w:r>
                    <w:rPr>
                      <w:rFonts w:hint="default"/>
                    </w:rPr>
                    <w:t>一般固废暂存依托全厂已建设的1座7200m</w:t>
                  </w:r>
                  <w:r>
                    <w:rPr>
                      <w:rFonts w:hint="default"/>
                      <w:vertAlign w:val="superscript"/>
                    </w:rPr>
                    <w:t>2</w:t>
                  </w:r>
                  <w:r>
                    <w:rPr>
                      <w:rFonts w:hint="default"/>
                    </w:rPr>
                    <w:t>一般固废暂存库</w:t>
                  </w:r>
                </w:p>
              </w:tc>
              <w:tc>
                <w:tcPr>
                  <w:tcW w:w="1632" w:type="pct"/>
                  <w:tcBorders>
                    <w:top w:val="single" w:color="auto" w:sz="4" w:space="0"/>
                    <w:left w:val="single" w:color="auto" w:sz="4" w:space="0"/>
                    <w:bottom w:val="single" w:color="auto" w:sz="8" w:space="0"/>
                    <w:right w:val="single" w:color="auto" w:sz="4" w:space="0"/>
                  </w:tcBorders>
                  <w:vAlign w:val="center"/>
                </w:tcPr>
                <w:p>
                  <w:pPr>
                    <w:widowControl/>
                    <w:jc w:val="center"/>
                    <w:rPr>
                      <w:rFonts w:hint="eastAsia"/>
                      <w:lang w:val="en-US" w:eastAsia="zh-CN"/>
                    </w:rPr>
                  </w:pPr>
                  <w:r>
                    <w:rPr>
                      <w:rFonts w:hint="default"/>
                    </w:rPr>
                    <w:t>一般固废暂存依托全厂已建设的1座7200m</w:t>
                  </w:r>
                  <w:r>
                    <w:rPr>
                      <w:rFonts w:hint="default"/>
                      <w:vertAlign w:val="superscript"/>
                    </w:rPr>
                    <w:t>2</w:t>
                  </w:r>
                  <w:r>
                    <w:rPr>
                      <w:rFonts w:hint="default"/>
                    </w:rPr>
                    <w:t>一般固废暂存库。</w:t>
                  </w:r>
                  <w:r>
                    <w:rPr>
                      <w:rFonts w:hint="eastAsia"/>
                      <w:lang w:val="en-US" w:eastAsia="zh-CN"/>
                    </w:rPr>
                    <w:t>另新建一间10</w:t>
                  </w:r>
                  <w:r>
                    <w:rPr>
                      <w:rFonts w:hint="default"/>
                    </w:rPr>
                    <w:t>m</w:t>
                  </w:r>
                  <w:r>
                    <w:rPr>
                      <w:rFonts w:hint="default"/>
                      <w:vertAlign w:val="superscript"/>
                    </w:rPr>
                    <w:t>2</w:t>
                  </w:r>
                  <w:r>
                    <w:rPr>
                      <w:rFonts w:hint="eastAsia"/>
                      <w:lang w:val="en-US" w:eastAsia="zh-CN"/>
                    </w:rPr>
                    <w:t>危废暂存间</w:t>
                  </w:r>
                </w:p>
              </w:tc>
              <w:tc>
                <w:tcPr>
                  <w:tcW w:w="1212" w:type="pct"/>
                  <w:tcBorders>
                    <w:top w:val="single" w:color="auto" w:sz="4" w:space="0"/>
                    <w:left w:val="single" w:color="auto" w:sz="4" w:space="0"/>
                    <w:bottom w:val="single" w:color="auto" w:sz="8" w:space="0"/>
                    <w:right w:val="nil"/>
                  </w:tcBorders>
                  <w:vAlign w:val="center"/>
                </w:tcPr>
                <w:p>
                  <w:pPr>
                    <w:widowControl/>
                    <w:jc w:val="center"/>
                    <w:rPr>
                      <w:rFonts w:hint="default"/>
                      <w:lang w:val="en-US" w:eastAsia="zh-CN"/>
                    </w:rPr>
                  </w:pPr>
                  <w:r>
                    <w:rPr>
                      <w:rFonts w:hint="eastAsia"/>
                      <w:lang w:val="en-US" w:eastAsia="zh-CN"/>
                    </w:rPr>
                    <w:t>一般固废暂存间</w:t>
                  </w:r>
                  <w:r>
                    <w:t>依托</w:t>
                  </w:r>
                  <w:r>
                    <w:rPr>
                      <w:rFonts w:hint="eastAsia"/>
                      <w:lang w:val="en-US" w:eastAsia="zh-CN"/>
                    </w:rPr>
                    <w:t>全厂</w:t>
                  </w:r>
                  <w:r>
                    <w:rPr>
                      <w:rFonts w:hint="eastAsia"/>
                      <w:lang w:eastAsia="zh-CN"/>
                    </w:rPr>
                    <w:t>，</w:t>
                  </w:r>
                  <w:r>
                    <w:rPr>
                      <w:rFonts w:hint="eastAsia"/>
                      <w:lang w:val="en-US" w:eastAsia="zh-CN"/>
                    </w:rPr>
                    <w:t>另新建一间10</w:t>
                  </w:r>
                  <w:r>
                    <w:rPr>
                      <w:rFonts w:hint="default"/>
                    </w:rPr>
                    <w:t>m</w:t>
                  </w:r>
                  <w:r>
                    <w:rPr>
                      <w:rFonts w:hint="default"/>
                      <w:vertAlign w:val="superscript"/>
                    </w:rPr>
                    <w:t>2</w:t>
                  </w:r>
                  <w:r>
                    <w:rPr>
                      <w:rFonts w:hint="eastAsia"/>
                      <w:lang w:val="en-US" w:eastAsia="zh-CN"/>
                    </w:rPr>
                    <w:t>危废暂存间</w:t>
                  </w:r>
                </w:p>
              </w:tc>
            </w:tr>
          </w:tbl>
          <w:p>
            <w:pPr>
              <w:spacing w:line="460" w:lineRule="exact"/>
              <w:ind w:firstLine="480" w:firstLineChars="200"/>
              <w:rPr>
                <w:rFonts w:hint="eastAsia" w:ascii="Times New Roman" w:hAnsi="Times New Roman" w:eastAsia="宋体" w:cs="Times New Roman"/>
                <w:kern w:val="0"/>
                <w:sz w:val="24"/>
                <w:szCs w:val="20"/>
                <w:lang w:val="en-US" w:eastAsia="zh-CN" w:bidi="ar-SA"/>
              </w:rPr>
            </w:pPr>
            <w:r>
              <w:rPr>
                <w:rFonts w:hint="eastAsia" w:ascii="Times New Roman" w:hAnsi="Times New Roman" w:eastAsia="宋体" w:cs="Times New Roman"/>
                <w:kern w:val="0"/>
                <w:sz w:val="24"/>
                <w:szCs w:val="20"/>
                <w:lang w:val="en-US" w:eastAsia="zh-CN" w:bidi="ar-SA"/>
              </w:rPr>
              <w:t>4、产品方案</w:t>
            </w:r>
          </w:p>
          <w:p>
            <w:pPr>
              <w:adjustRightInd w:val="0"/>
              <w:spacing w:line="360" w:lineRule="auto"/>
              <w:ind w:firstLine="480" w:firstLineChars="200"/>
              <w:rPr>
                <w:rFonts w:hint="eastAsia" w:ascii="Times New Roman" w:hAnsi="Times New Roman" w:eastAsia="宋体" w:cs="Times New Roman"/>
                <w:kern w:val="0"/>
                <w:sz w:val="24"/>
                <w:szCs w:val="20"/>
                <w:lang w:val="en-US" w:eastAsia="zh-CN" w:bidi="ar-SA"/>
              </w:rPr>
            </w:pPr>
            <w:r>
              <w:rPr>
                <w:rFonts w:hint="eastAsia" w:ascii="Times New Roman" w:hAnsi="Times New Roman" w:eastAsia="宋体" w:cs="Times New Roman"/>
                <w:kern w:val="0"/>
                <w:sz w:val="24"/>
                <w:szCs w:val="20"/>
                <w:lang w:val="en-US" w:eastAsia="zh-CN" w:bidi="ar-SA"/>
              </w:rPr>
              <w:t>本项目新建铸造用砂产品，具体产品方案见表2-4。</w:t>
            </w:r>
          </w:p>
          <w:p>
            <w:pPr>
              <w:pStyle w:val="53"/>
              <w:spacing w:line="360" w:lineRule="auto"/>
              <w:ind w:firstLine="0"/>
              <w:jc w:val="center"/>
              <w:rPr>
                <w:rFonts w:hint="eastAsia" w:ascii="Times New Roman" w:hAnsi="Times New Roman" w:eastAsia="宋体" w:cs="Times New Roman"/>
                <w:b/>
                <w:bCs/>
                <w:kern w:val="0"/>
                <w:sz w:val="24"/>
                <w:szCs w:val="20"/>
                <w:lang w:val="en-US" w:eastAsia="zh-CN" w:bidi="ar-SA"/>
              </w:rPr>
            </w:pPr>
            <w:r>
              <w:rPr>
                <w:rFonts w:hint="eastAsia" w:ascii="Times New Roman" w:hAnsi="Times New Roman" w:eastAsia="宋体" w:cs="Times New Roman"/>
                <w:b/>
                <w:bCs/>
                <w:kern w:val="0"/>
                <w:sz w:val="24"/>
                <w:szCs w:val="20"/>
                <w:lang w:val="en-US" w:eastAsia="zh-CN" w:bidi="ar-SA"/>
              </w:rPr>
              <w:t>表2-4  产品方案</w:t>
            </w:r>
          </w:p>
          <w:tbl>
            <w:tblPr>
              <w:tblStyle w:val="26"/>
              <w:tblW w:w="5000" w:type="pct"/>
              <w:jc w:val="center"/>
              <w:tblBorders>
                <w:top w:val="single" w:color="auto" w:sz="4" w:space="0"/>
                <w:left w:val="none" w:color="auto" w:sz="0" w:space="0"/>
                <w:bottom w:val="single" w:color="auto" w:sz="4"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437"/>
              <w:gridCol w:w="1295"/>
              <w:gridCol w:w="1869"/>
              <w:gridCol w:w="1173"/>
              <w:gridCol w:w="1115"/>
              <w:gridCol w:w="1830"/>
            </w:tblGrid>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545" w:hRule="atLeast"/>
                <w:jc w:val="center"/>
              </w:trPr>
              <w:tc>
                <w:tcPr>
                  <w:tcW w:w="283" w:type="pct"/>
                  <w:tcBorders>
                    <w:top w:val="single" w:color="auto" w:sz="4" w:space="0"/>
                    <w:bottom w:val="single" w:color="auto" w:sz="6" w:space="0"/>
                    <w:right w:val="single" w:color="auto" w:sz="6" w:space="0"/>
                  </w:tcBorders>
                  <w:vAlign w:val="center"/>
                </w:tcPr>
                <w:p>
                  <w:pPr>
                    <w:jc w:val="center"/>
                    <w:rPr>
                      <w:b/>
                      <w:bCs/>
                    </w:rPr>
                  </w:pPr>
                  <w:r>
                    <w:rPr>
                      <w:rFonts w:hint="eastAsia"/>
                      <w:b/>
                      <w:bCs/>
                    </w:rPr>
                    <w:t>序号</w:t>
                  </w:r>
                </w:p>
              </w:tc>
              <w:tc>
                <w:tcPr>
                  <w:tcW w:w="838" w:type="pct"/>
                  <w:tcBorders>
                    <w:top w:val="single" w:color="auto" w:sz="4" w:space="0"/>
                    <w:left w:val="single" w:color="auto" w:sz="6" w:space="0"/>
                    <w:bottom w:val="single" w:color="auto" w:sz="6" w:space="0"/>
                    <w:right w:val="single" w:color="auto" w:sz="6" w:space="0"/>
                  </w:tcBorders>
                  <w:vAlign w:val="center"/>
                </w:tcPr>
                <w:p>
                  <w:pPr>
                    <w:jc w:val="center"/>
                    <w:rPr>
                      <w:b/>
                      <w:bCs/>
                    </w:rPr>
                  </w:pPr>
                  <w:r>
                    <w:rPr>
                      <w:rFonts w:hint="eastAsia"/>
                      <w:b/>
                      <w:bCs/>
                    </w:rPr>
                    <w:t>产品名称</w:t>
                  </w:r>
                </w:p>
              </w:tc>
              <w:tc>
                <w:tcPr>
                  <w:tcW w:w="1210" w:type="pct"/>
                  <w:tcBorders>
                    <w:top w:val="single" w:color="auto" w:sz="4" w:space="0"/>
                    <w:left w:val="single" w:color="auto" w:sz="6" w:space="0"/>
                    <w:bottom w:val="single" w:color="auto" w:sz="6" w:space="0"/>
                    <w:right w:val="single" w:color="auto" w:sz="6" w:space="0"/>
                  </w:tcBorders>
                  <w:vAlign w:val="center"/>
                </w:tcPr>
                <w:p>
                  <w:pPr>
                    <w:jc w:val="center"/>
                    <w:rPr>
                      <w:b/>
                      <w:bCs/>
                    </w:rPr>
                  </w:pPr>
                  <w:r>
                    <w:rPr>
                      <w:rFonts w:hint="eastAsia"/>
                      <w:b/>
                      <w:bCs/>
                    </w:rPr>
                    <w:t>改扩建前年产量</w:t>
                  </w:r>
                </w:p>
              </w:tc>
              <w:tc>
                <w:tcPr>
                  <w:tcW w:w="759" w:type="pct"/>
                  <w:tcBorders>
                    <w:top w:val="single" w:color="auto" w:sz="4" w:space="0"/>
                    <w:left w:val="single" w:color="auto" w:sz="6" w:space="0"/>
                    <w:bottom w:val="single" w:color="auto" w:sz="6" w:space="0"/>
                    <w:right w:val="single" w:color="auto" w:sz="6" w:space="0"/>
                  </w:tcBorders>
                  <w:vAlign w:val="center"/>
                </w:tcPr>
                <w:p>
                  <w:pPr>
                    <w:jc w:val="center"/>
                    <w:rPr>
                      <w:b/>
                      <w:bCs/>
                    </w:rPr>
                  </w:pPr>
                  <w:r>
                    <w:rPr>
                      <w:rFonts w:hint="eastAsia"/>
                      <w:b/>
                      <w:bCs/>
                    </w:rPr>
                    <w:t>改扩建后年产量</w:t>
                  </w:r>
                </w:p>
              </w:tc>
              <w:tc>
                <w:tcPr>
                  <w:tcW w:w="722" w:type="pct"/>
                  <w:tcBorders>
                    <w:top w:val="single" w:color="auto" w:sz="4" w:space="0"/>
                    <w:left w:val="single" w:color="auto" w:sz="6" w:space="0"/>
                    <w:bottom w:val="single" w:color="auto" w:sz="6" w:space="0"/>
                    <w:right w:val="single" w:color="auto" w:sz="4" w:space="0"/>
                  </w:tcBorders>
                  <w:vAlign w:val="center"/>
                </w:tcPr>
                <w:p>
                  <w:pPr>
                    <w:jc w:val="center"/>
                    <w:rPr>
                      <w:rFonts w:hint="eastAsia" w:eastAsia="宋体"/>
                      <w:b/>
                      <w:bCs/>
                      <w:lang w:val="en-US" w:eastAsia="zh-CN"/>
                    </w:rPr>
                  </w:pPr>
                  <w:r>
                    <w:rPr>
                      <w:rFonts w:hint="eastAsia"/>
                      <w:b/>
                      <w:bCs/>
                      <w:lang w:val="en-US" w:eastAsia="zh-CN"/>
                    </w:rPr>
                    <w:t>增减量</w:t>
                  </w:r>
                </w:p>
              </w:tc>
              <w:tc>
                <w:tcPr>
                  <w:tcW w:w="1185" w:type="pct"/>
                  <w:tcBorders>
                    <w:top w:val="single" w:color="auto" w:sz="4" w:space="0"/>
                    <w:left w:val="single" w:color="auto" w:sz="6" w:space="0"/>
                    <w:bottom w:val="single" w:color="auto" w:sz="6" w:space="0"/>
                  </w:tcBorders>
                  <w:vAlign w:val="center"/>
                </w:tcPr>
                <w:p>
                  <w:pPr>
                    <w:jc w:val="center"/>
                    <w:rPr>
                      <w:rFonts w:hint="eastAsia" w:eastAsia="宋体"/>
                      <w:b/>
                      <w:bCs/>
                      <w:lang w:val="en-US" w:eastAsia="zh-CN"/>
                    </w:rPr>
                  </w:pPr>
                  <w:r>
                    <w:rPr>
                      <w:rFonts w:hint="eastAsia"/>
                      <w:b/>
                      <w:bCs/>
                      <w:lang w:val="en-US" w:eastAsia="zh-CN"/>
                    </w:rPr>
                    <w:t>备注</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82" w:hRule="atLeast"/>
                <w:jc w:val="center"/>
              </w:trPr>
              <w:tc>
                <w:tcPr>
                  <w:tcW w:w="283" w:type="pct"/>
                  <w:tcBorders>
                    <w:top w:val="single" w:color="auto" w:sz="6" w:space="0"/>
                    <w:bottom w:val="single" w:color="auto" w:sz="6" w:space="0"/>
                    <w:right w:val="single" w:color="auto" w:sz="6" w:space="0"/>
                  </w:tcBorders>
                  <w:vAlign w:val="center"/>
                </w:tcPr>
                <w:p>
                  <w:pPr>
                    <w:jc w:val="center"/>
                  </w:pPr>
                  <w:r>
                    <w:t>1</w:t>
                  </w:r>
                </w:p>
              </w:tc>
              <w:tc>
                <w:tcPr>
                  <w:tcW w:w="838" w:type="pct"/>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default"/>
                      <w:lang w:val="en-US" w:eastAsia="zh-CN"/>
                    </w:rPr>
                  </w:pPr>
                  <w:r>
                    <w:rPr>
                      <w:rFonts w:hint="default"/>
                      <w:lang w:val="en-US" w:eastAsia="zh-CN"/>
                    </w:rPr>
                    <w:t>中砂</w:t>
                  </w:r>
                </w:p>
              </w:tc>
              <w:tc>
                <w:tcPr>
                  <w:tcW w:w="1210" w:type="pct"/>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default"/>
                      <w:lang w:val="en-US" w:eastAsia="zh-CN"/>
                    </w:rPr>
                  </w:pPr>
                  <w:r>
                    <w:rPr>
                      <w:rFonts w:hint="default"/>
                      <w:lang w:val="en-US" w:eastAsia="zh-CN"/>
                    </w:rPr>
                    <w:t>48000</w:t>
                  </w:r>
                </w:p>
              </w:tc>
              <w:tc>
                <w:tcPr>
                  <w:tcW w:w="759" w:type="pct"/>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lang w:val="en-US" w:eastAsia="zh-CN"/>
                    </w:rPr>
                  </w:pPr>
                  <w:r>
                    <w:rPr>
                      <w:rFonts w:hint="default"/>
                      <w:lang w:val="en-US" w:eastAsia="zh-CN"/>
                    </w:rPr>
                    <w:t>48000</w:t>
                  </w:r>
                </w:p>
              </w:tc>
              <w:tc>
                <w:tcPr>
                  <w:tcW w:w="722" w:type="pct"/>
                  <w:tcBorders>
                    <w:top w:val="single" w:color="auto" w:sz="6" w:space="0"/>
                    <w:left w:val="single" w:color="auto" w:sz="6" w:space="0"/>
                    <w:right w:val="single" w:color="auto" w:sz="4" w:space="0"/>
                  </w:tcBorders>
                  <w:vAlign w:val="center"/>
                </w:tcPr>
                <w:p>
                  <w:pPr>
                    <w:jc w:val="center"/>
                    <w:rPr>
                      <w:rFonts w:hint="eastAsia" w:eastAsia="宋体"/>
                      <w:lang w:val="en-US" w:eastAsia="zh-CN"/>
                    </w:rPr>
                  </w:pPr>
                  <w:r>
                    <w:rPr>
                      <w:rFonts w:hint="eastAsia"/>
                      <w:lang w:val="en-US" w:eastAsia="zh-CN"/>
                    </w:rPr>
                    <w:t>0</w:t>
                  </w:r>
                </w:p>
              </w:tc>
              <w:tc>
                <w:tcPr>
                  <w:tcW w:w="1185" w:type="pct"/>
                  <w:vMerge w:val="restart"/>
                  <w:tcBorders>
                    <w:top w:val="single" w:color="auto" w:sz="6" w:space="0"/>
                    <w:left w:val="single" w:color="auto" w:sz="6" w:space="0"/>
                  </w:tcBorders>
                  <w:vAlign w:val="center"/>
                </w:tcPr>
                <w:p>
                  <w:pPr>
                    <w:jc w:val="center"/>
                    <w:rPr>
                      <w:rFonts w:hint="default" w:eastAsia="宋体"/>
                      <w:lang w:val="en-US" w:eastAsia="zh-CN"/>
                    </w:rPr>
                  </w:pPr>
                  <w:r>
                    <w:rPr>
                      <w:rFonts w:hint="eastAsia"/>
                      <w:lang w:val="en-US" w:eastAsia="zh-CN"/>
                    </w:rPr>
                    <w:t>新增生产线生产的铸造用砂作为原生产线（粗、中、细砂）的原料</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82" w:hRule="atLeast"/>
                <w:jc w:val="center"/>
              </w:trPr>
              <w:tc>
                <w:tcPr>
                  <w:tcW w:w="283" w:type="pct"/>
                  <w:tcBorders>
                    <w:top w:val="single" w:color="auto" w:sz="6" w:space="0"/>
                    <w:bottom w:val="single" w:color="auto" w:sz="6" w:space="0"/>
                    <w:right w:val="single" w:color="auto" w:sz="6" w:space="0"/>
                  </w:tcBorders>
                  <w:vAlign w:val="center"/>
                </w:tcPr>
                <w:p>
                  <w:pPr>
                    <w:jc w:val="center"/>
                  </w:pPr>
                  <w:r>
                    <w:rPr>
                      <w:rFonts w:hint="eastAsia"/>
                    </w:rPr>
                    <w:t>2</w:t>
                  </w:r>
                </w:p>
              </w:tc>
              <w:tc>
                <w:tcPr>
                  <w:tcW w:w="838" w:type="pct"/>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default"/>
                      <w:lang w:val="en-US" w:eastAsia="zh-CN"/>
                    </w:rPr>
                  </w:pPr>
                  <w:r>
                    <w:rPr>
                      <w:rFonts w:hint="default"/>
                      <w:lang w:val="en-US" w:eastAsia="zh-CN"/>
                    </w:rPr>
                    <w:t>细砂</w:t>
                  </w:r>
                </w:p>
              </w:tc>
              <w:tc>
                <w:tcPr>
                  <w:tcW w:w="1210" w:type="pct"/>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default"/>
                      <w:lang w:val="en-US" w:eastAsia="zh-CN"/>
                    </w:rPr>
                  </w:pPr>
                  <w:r>
                    <w:rPr>
                      <w:rFonts w:hint="default"/>
                      <w:lang w:val="en-US" w:eastAsia="zh-CN"/>
                    </w:rPr>
                    <w:t>60000</w:t>
                  </w:r>
                </w:p>
              </w:tc>
              <w:tc>
                <w:tcPr>
                  <w:tcW w:w="759" w:type="pct"/>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lang w:val="en-US" w:eastAsia="zh-CN"/>
                    </w:rPr>
                  </w:pPr>
                  <w:r>
                    <w:rPr>
                      <w:rFonts w:hint="default"/>
                      <w:lang w:val="en-US" w:eastAsia="zh-CN"/>
                    </w:rPr>
                    <w:t>60000</w:t>
                  </w:r>
                </w:p>
              </w:tc>
              <w:tc>
                <w:tcPr>
                  <w:tcW w:w="722" w:type="pct"/>
                  <w:tcBorders>
                    <w:left w:val="single" w:color="auto" w:sz="6" w:space="0"/>
                    <w:right w:val="single" w:color="auto" w:sz="4" w:space="0"/>
                  </w:tcBorders>
                  <w:vAlign w:val="center"/>
                </w:tcPr>
                <w:p>
                  <w:pPr>
                    <w:widowControl/>
                    <w:jc w:val="center"/>
                    <w:rPr>
                      <w:rFonts w:hint="eastAsia" w:eastAsia="宋体"/>
                      <w:lang w:val="en-US" w:eastAsia="zh-CN"/>
                    </w:rPr>
                  </w:pPr>
                  <w:r>
                    <w:rPr>
                      <w:rFonts w:hint="eastAsia"/>
                      <w:lang w:val="en-US" w:eastAsia="zh-CN"/>
                    </w:rPr>
                    <w:t>0</w:t>
                  </w:r>
                </w:p>
              </w:tc>
              <w:tc>
                <w:tcPr>
                  <w:tcW w:w="1185" w:type="pct"/>
                  <w:vMerge w:val="continue"/>
                  <w:tcBorders>
                    <w:left w:val="single" w:color="auto" w:sz="6" w:space="0"/>
                  </w:tcBorders>
                  <w:vAlign w:val="center"/>
                </w:tcPr>
                <w:p>
                  <w:pPr>
                    <w:widowControl/>
                    <w:jc w:val="left"/>
                  </w:pP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82" w:hRule="atLeast"/>
                <w:jc w:val="center"/>
              </w:trPr>
              <w:tc>
                <w:tcPr>
                  <w:tcW w:w="283" w:type="pct"/>
                  <w:tcBorders>
                    <w:top w:val="single" w:color="auto" w:sz="6" w:space="0"/>
                    <w:bottom w:val="single" w:color="auto" w:sz="6" w:space="0"/>
                    <w:right w:val="single" w:color="auto" w:sz="6" w:space="0"/>
                  </w:tcBorders>
                  <w:vAlign w:val="center"/>
                </w:tcPr>
                <w:p>
                  <w:pPr>
                    <w:jc w:val="center"/>
                  </w:pPr>
                  <w:r>
                    <w:rPr>
                      <w:rFonts w:hint="eastAsia"/>
                    </w:rPr>
                    <w:t>3</w:t>
                  </w:r>
                </w:p>
              </w:tc>
              <w:tc>
                <w:tcPr>
                  <w:tcW w:w="838" w:type="pct"/>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default"/>
                      <w:lang w:val="en-US" w:eastAsia="zh-CN"/>
                    </w:rPr>
                  </w:pPr>
                  <w:r>
                    <w:rPr>
                      <w:rFonts w:hint="default"/>
                      <w:lang w:val="en-US" w:eastAsia="zh-CN"/>
                    </w:rPr>
                    <w:t>粗砂</w:t>
                  </w:r>
                </w:p>
              </w:tc>
              <w:tc>
                <w:tcPr>
                  <w:tcW w:w="1210" w:type="pct"/>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lang w:val="en-US" w:eastAsia="zh-CN"/>
                    </w:rPr>
                  </w:pPr>
                  <w:r>
                    <w:rPr>
                      <w:rFonts w:hint="default"/>
                      <w:lang w:val="en-US" w:eastAsia="zh-CN"/>
                    </w:rPr>
                    <w:t>24000</w:t>
                  </w:r>
                </w:p>
              </w:tc>
              <w:tc>
                <w:tcPr>
                  <w:tcW w:w="759" w:type="pct"/>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lang w:val="en-US" w:eastAsia="zh-CN"/>
                    </w:rPr>
                  </w:pPr>
                  <w:r>
                    <w:rPr>
                      <w:rFonts w:hint="default"/>
                      <w:lang w:val="en-US" w:eastAsia="zh-CN"/>
                    </w:rPr>
                    <w:t>24000</w:t>
                  </w:r>
                </w:p>
              </w:tc>
              <w:tc>
                <w:tcPr>
                  <w:tcW w:w="722" w:type="pct"/>
                  <w:tcBorders>
                    <w:left w:val="single" w:color="auto" w:sz="6" w:space="0"/>
                    <w:right w:val="single" w:color="auto" w:sz="4" w:space="0"/>
                  </w:tcBorders>
                  <w:vAlign w:val="center"/>
                </w:tcPr>
                <w:p>
                  <w:pPr>
                    <w:widowControl/>
                    <w:jc w:val="center"/>
                    <w:rPr>
                      <w:rFonts w:hint="eastAsia" w:eastAsia="宋体"/>
                      <w:lang w:val="en-US" w:eastAsia="zh-CN"/>
                    </w:rPr>
                  </w:pPr>
                  <w:r>
                    <w:rPr>
                      <w:rFonts w:hint="eastAsia"/>
                      <w:lang w:val="en-US" w:eastAsia="zh-CN"/>
                    </w:rPr>
                    <w:t>0</w:t>
                  </w:r>
                </w:p>
              </w:tc>
              <w:tc>
                <w:tcPr>
                  <w:tcW w:w="1185" w:type="pct"/>
                  <w:vMerge w:val="continue"/>
                  <w:tcBorders>
                    <w:left w:val="single" w:color="auto" w:sz="6" w:space="0"/>
                  </w:tcBorders>
                  <w:vAlign w:val="center"/>
                </w:tcPr>
                <w:p>
                  <w:pPr>
                    <w:widowControl/>
                    <w:jc w:val="left"/>
                  </w:pP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97" w:hRule="atLeast"/>
                <w:jc w:val="center"/>
              </w:trPr>
              <w:tc>
                <w:tcPr>
                  <w:tcW w:w="283" w:type="pct"/>
                  <w:tcBorders>
                    <w:top w:val="single" w:color="auto" w:sz="6" w:space="0"/>
                    <w:bottom w:val="single" w:color="auto" w:sz="6" w:space="0"/>
                    <w:right w:val="single" w:color="auto" w:sz="6" w:space="0"/>
                  </w:tcBorders>
                  <w:vAlign w:val="center"/>
                </w:tcPr>
                <w:p>
                  <w:pPr>
                    <w:jc w:val="center"/>
                  </w:pPr>
                  <w:r>
                    <w:rPr>
                      <w:rFonts w:hint="eastAsia"/>
                    </w:rPr>
                    <w:t>4</w:t>
                  </w:r>
                </w:p>
              </w:tc>
              <w:tc>
                <w:tcPr>
                  <w:tcW w:w="838" w:type="pct"/>
                  <w:tcBorders>
                    <w:top w:val="single" w:color="auto" w:sz="6" w:space="0"/>
                    <w:left w:val="single" w:color="auto" w:sz="6" w:space="0"/>
                    <w:bottom w:val="single" w:color="auto" w:sz="6" w:space="0"/>
                    <w:right w:val="single" w:color="auto" w:sz="6" w:space="0"/>
                  </w:tcBorders>
                  <w:vAlign w:val="center"/>
                </w:tcPr>
                <w:p>
                  <w:pPr>
                    <w:pStyle w:val="84"/>
                    <w:rPr>
                      <w:rFonts w:hint="default"/>
                      <w:lang w:val="en-US" w:eastAsia="zh-CN"/>
                    </w:rPr>
                  </w:pPr>
                  <w:r>
                    <w:rPr>
                      <w:rFonts w:hint="eastAsia"/>
                      <w:lang w:val="en-US" w:eastAsia="zh-CN"/>
                    </w:rPr>
                    <w:t>铸造用砂</w:t>
                  </w:r>
                </w:p>
              </w:tc>
              <w:tc>
                <w:tcPr>
                  <w:tcW w:w="1210" w:type="pct"/>
                  <w:tcBorders>
                    <w:top w:val="single" w:color="auto" w:sz="6" w:space="0"/>
                    <w:left w:val="single" w:color="auto" w:sz="6" w:space="0"/>
                    <w:bottom w:val="single" w:color="auto" w:sz="6" w:space="0"/>
                    <w:right w:val="single" w:color="auto" w:sz="6" w:space="0"/>
                  </w:tcBorders>
                  <w:vAlign w:val="center"/>
                </w:tcPr>
                <w:p>
                  <w:pPr>
                    <w:pStyle w:val="84"/>
                    <w:rPr>
                      <w:rFonts w:hint="eastAsia"/>
                      <w:lang w:val="en-US" w:eastAsia="zh-CN"/>
                    </w:rPr>
                  </w:pPr>
                  <w:r>
                    <w:rPr>
                      <w:rFonts w:hint="eastAsia"/>
                      <w:lang w:val="en-US" w:eastAsia="zh-CN"/>
                    </w:rPr>
                    <w:t>0</w:t>
                  </w:r>
                </w:p>
              </w:tc>
              <w:tc>
                <w:tcPr>
                  <w:tcW w:w="759" w:type="pct"/>
                  <w:tcBorders>
                    <w:top w:val="single" w:color="auto" w:sz="6" w:space="0"/>
                    <w:left w:val="single" w:color="auto" w:sz="6" w:space="0"/>
                    <w:bottom w:val="single" w:color="auto" w:sz="6" w:space="0"/>
                    <w:right w:val="single" w:color="auto" w:sz="6" w:space="0"/>
                  </w:tcBorders>
                  <w:vAlign w:val="center"/>
                </w:tcPr>
                <w:p>
                  <w:pPr>
                    <w:pStyle w:val="84"/>
                    <w:rPr>
                      <w:rFonts w:hint="default"/>
                      <w:lang w:val="en-US" w:eastAsia="zh-CN"/>
                    </w:rPr>
                  </w:pPr>
                  <w:r>
                    <w:rPr>
                      <w:rFonts w:hint="eastAsia"/>
                      <w:lang w:val="en-US" w:eastAsia="zh-CN"/>
                    </w:rPr>
                    <w:t>130000</w:t>
                  </w:r>
                </w:p>
              </w:tc>
              <w:tc>
                <w:tcPr>
                  <w:tcW w:w="722" w:type="pct"/>
                  <w:tcBorders>
                    <w:left w:val="single" w:color="auto" w:sz="6" w:space="0"/>
                    <w:right w:val="single" w:color="auto" w:sz="4" w:space="0"/>
                  </w:tcBorders>
                  <w:vAlign w:val="center"/>
                </w:tcPr>
                <w:p>
                  <w:pPr>
                    <w:widowControl/>
                    <w:jc w:val="center"/>
                    <w:rPr>
                      <w:rFonts w:hint="default" w:eastAsia="宋体"/>
                      <w:lang w:val="en-US" w:eastAsia="zh-CN"/>
                    </w:rPr>
                  </w:pPr>
                  <w:r>
                    <w:rPr>
                      <w:rFonts w:hint="eastAsia"/>
                      <w:lang w:val="en-US" w:eastAsia="zh-CN"/>
                    </w:rPr>
                    <w:t>+130000</w:t>
                  </w:r>
                </w:p>
              </w:tc>
              <w:tc>
                <w:tcPr>
                  <w:tcW w:w="1185" w:type="pct"/>
                  <w:vMerge w:val="continue"/>
                  <w:tcBorders>
                    <w:left w:val="single" w:color="auto" w:sz="6" w:space="0"/>
                  </w:tcBorders>
                  <w:vAlign w:val="center"/>
                </w:tcPr>
                <w:p>
                  <w:pPr>
                    <w:widowControl/>
                    <w:jc w:val="left"/>
                  </w:pPr>
                </w:p>
              </w:tc>
            </w:tr>
          </w:tbl>
          <w:p>
            <w:pPr>
              <w:spacing w:line="460" w:lineRule="exact"/>
              <w:ind w:firstLine="480" w:firstLineChars="200"/>
              <w:rPr>
                <w:rFonts w:hint="eastAsia" w:ascii="Times New Roman" w:hAnsi="Times New Roman" w:eastAsia="宋体" w:cs="Times New Roman"/>
                <w:kern w:val="0"/>
                <w:sz w:val="24"/>
                <w:szCs w:val="20"/>
                <w:lang w:val="en-US" w:eastAsia="zh-CN" w:bidi="ar-SA"/>
              </w:rPr>
            </w:pPr>
            <w:r>
              <w:rPr>
                <w:rFonts w:hint="eastAsia" w:ascii="Times New Roman" w:hAnsi="Times New Roman" w:eastAsia="宋体" w:cs="Times New Roman"/>
                <w:kern w:val="0"/>
                <w:sz w:val="24"/>
                <w:szCs w:val="20"/>
                <w:lang w:val="en-US" w:eastAsia="zh-CN" w:bidi="ar-SA"/>
              </w:rPr>
              <w:t>5、主要生产设备</w:t>
            </w:r>
          </w:p>
          <w:p>
            <w:pPr>
              <w:pStyle w:val="53"/>
              <w:spacing w:line="360" w:lineRule="auto"/>
              <w:ind w:firstLine="0"/>
              <w:jc w:val="center"/>
              <w:rPr>
                <w:rFonts w:hint="eastAsia" w:ascii="Times New Roman" w:hAnsi="Times New Roman" w:eastAsia="宋体" w:cs="Times New Roman"/>
                <w:b/>
                <w:bCs/>
                <w:kern w:val="0"/>
                <w:sz w:val="24"/>
                <w:szCs w:val="20"/>
                <w:lang w:val="en-US" w:eastAsia="zh-CN" w:bidi="ar-SA"/>
              </w:rPr>
            </w:pPr>
            <w:r>
              <w:rPr>
                <w:rFonts w:hint="eastAsia" w:ascii="Times New Roman" w:hAnsi="Times New Roman" w:eastAsia="宋体" w:cs="Times New Roman"/>
                <w:b/>
                <w:bCs/>
                <w:kern w:val="0"/>
                <w:sz w:val="24"/>
                <w:szCs w:val="20"/>
                <w:lang w:val="en-US" w:eastAsia="zh-CN" w:bidi="ar-SA"/>
              </w:rPr>
              <w:t>表2-5   改扩建前后主要设备一览表</w:t>
            </w:r>
          </w:p>
          <w:tbl>
            <w:tblPr>
              <w:tblStyle w:val="26"/>
              <w:tblW w:w="5000" w:type="pct"/>
              <w:tblInd w:w="5" w:type="dxa"/>
              <w:tblBorders>
                <w:top w:val="none" w:color="auto" w:sz="4" w:space="0"/>
                <w:left w:val="none" w:color="auto" w:sz="0" w:space="0"/>
                <w:bottom w:val="none" w:color="auto" w:sz="4" w:space="0"/>
                <w:right w:val="none" w:color="auto" w:sz="0" w:space="0"/>
                <w:insideH w:val="none" w:color="auto" w:sz="4" w:space="0"/>
                <w:insideV w:val="none" w:color="auto" w:sz="4" w:space="0"/>
              </w:tblBorders>
              <w:tblLayout w:type="fixed"/>
              <w:tblCellMar>
                <w:top w:w="15" w:type="dxa"/>
                <w:left w:w="15" w:type="dxa"/>
                <w:bottom w:w="15" w:type="dxa"/>
                <w:right w:w="15" w:type="dxa"/>
              </w:tblCellMar>
            </w:tblPr>
            <w:tblGrid>
              <w:gridCol w:w="453"/>
              <w:gridCol w:w="1038"/>
              <w:gridCol w:w="1624"/>
              <w:gridCol w:w="1403"/>
              <w:gridCol w:w="910"/>
              <w:gridCol w:w="1630"/>
              <w:gridCol w:w="661"/>
            </w:tblGrid>
            <w:tr>
              <w:tblPrEx>
                <w:tblBorders>
                  <w:top w:val="none" w:color="auto" w:sz="4" w:space="0"/>
                  <w:left w:val="none" w:color="auto" w:sz="0" w:space="0"/>
                  <w:bottom w:val="none" w:color="auto" w:sz="4" w:space="0"/>
                  <w:right w:val="none" w:color="auto" w:sz="0" w:space="0"/>
                  <w:insideH w:val="none" w:color="auto" w:sz="4" w:space="0"/>
                  <w:insideV w:val="none" w:color="auto" w:sz="4" w:space="0"/>
                </w:tblBorders>
                <w:tblCellMar>
                  <w:top w:w="15" w:type="dxa"/>
                  <w:left w:w="15" w:type="dxa"/>
                  <w:bottom w:w="15" w:type="dxa"/>
                  <w:right w:w="15" w:type="dxa"/>
                </w:tblCellMar>
              </w:tblPrEx>
              <w:trPr>
                <w:trHeight w:val="579" w:hRule="atLeast"/>
              </w:trPr>
              <w:tc>
                <w:tcPr>
                  <w:tcW w:w="293" w:type="pct"/>
                  <w:tcBorders>
                    <w:top w:val="single" w:color="auto" w:sz="4" w:space="0"/>
                    <w:bottom w:val="single" w:color="auto" w:sz="4" w:space="0"/>
                    <w:right w:val="single" w:color="auto" w:sz="4" w:space="0"/>
                  </w:tcBorders>
                  <w:vAlign w:val="center"/>
                </w:tcPr>
                <w:p>
                  <w:pPr>
                    <w:widowControl/>
                    <w:autoSpaceDE w:val="0"/>
                    <w:spacing w:line="340" w:lineRule="exact"/>
                    <w:jc w:val="center"/>
                    <w:textAlignment w:val="center"/>
                    <w:rPr>
                      <w:b/>
                      <w:bCs/>
                    </w:rPr>
                  </w:pPr>
                  <w:r>
                    <w:rPr>
                      <w:rFonts w:hint="eastAsia"/>
                      <w:b/>
                      <w:bCs/>
                    </w:rPr>
                    <w:t>序号</w:t>
                  </w:r>
                </w:p>
              </w:tc>
              <w:tc>
                <w:tcPr>
                  <w:tcW w:w="672"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textAlignment w:val="center"/>
                    <w:rPr>
                      <w:b/>
                      <w:bCs/>
                    </w:rPr>
                  </w:pPr>
                  <w:r>
                    <w:rPr>
                      <w:rFonts w:hint="eastAsia"/>
                      <w:b/>
                      <w:bCs/>
                    </w:rPr>
                    <w:t>设备名称</w:t>
                  </w:r>
                </w:p>
              </w:tc>
              <w:tc>
                <w:tcPr>
                  <w:tcW w:w="1051"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textAlignment w:val="center"/>
                    <w:rPr>
                      <w:b/>
                      <w:bCs/>
                    </w:rPr>
                  </w:pPr>
                  <w:r>
                    <w:rPr>
                      <w:rFonts w:hint="eastAsia"/>
                      <w:b/>
                      <w:bCs/>
                      <w:lang w:val="en-US" w:eastAsia="zh-CN"/>
                    </w:rPr>
                    <w:t>改建前</w:t>
                  </w:r>
                  <w:r>
                    <w:rPr>
                      <w:rFonts w:hint="eastAsia"/>
                      <w:b/>
                      <w:bCs/>
                    </w:rPr>
                    <w:t>数量（台套）</w:t>
                  </w:r>
                </w:p>
              </w:tc>
              <w:tc>
                <w:tcPr>
                  <w:tcW w:w="908" w:type="pct"/>
                  <w:tcBorders>
                    <w:top w:val="single" w:color="auto" w:sz="4" w:space="0"/>
                    <w:left w:val="nil"/>
                    <w:bottom w:val="single" w:color="auto" w:sz="4" w:space="0"/>
                    <w:right w:val="single" w:color="auto" w:sz="4" w:space="0"/>
                  </w:tcBorders>
                  <w:vAlign w:val="center"/>
                </w:tcPr>
                <w:p>
                  <w:pPr>
                    <w:keepNext w:val="0"/>
                    <w:keepLines w:val="0"/>
                    <w:widowControl/>
                    <w:suppressLineNumbers w:val="0"/>
                    <w:jc w:val="left"/>
                    <w:rPr>
                      <w:rFonts w:hint="eastAsia"/>
                      <w:b/>
                      <w:bCs/>
                    </w:rPr>
                  </w:pPr>
                  <w:r>
                    <w:rPr>
                      <w:rFonts w:hint="eastAsia"/>
                      <w:b/>
                      <w:bCs/>
                      <w:lang w:val="en-US" w:eastAsia="zh-CN"/>
                    </w:rPr>
                    <w:t>改建后数量（台）</w:t>
                  </w:r>
                </w:p>
              </w:tc>
              <w:tc>
                <w:tcPr>
                  <w:tcW w:w="589"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textAlignment w:val="center"/>
                    <w:rPr>
                      <w:rFonts w:hint="default"/>
                      <w:b/>
                      <w:bCs/>
                      <w:lang w:val="en-US" w:eastAsia="zh-CN"/>
                    </w:rPr>
                  </w:pPr>
                  <w:r>
                    <w:rPr>
                      <w:rFonts w:hint="eastAsia"/>
                      <w:b/>
                      <w:bCs/>
                      <w:lang w:val="en-US" w:eastAsia="zh-CN"/>
                    </w:rPr>
                    <w:t>增减量</w:t>
                  </w:r>
                </w:p>
              </w:tc>
              <w:tc>
                <w:tcPr>
                  <w:tcW w:w="1055"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textAlignment w:val="center"/>
                    <w:rPr>
                      <w:rFonts w:hint="default"/>
                      <w:b/>
                      <w:bCs/>
                      <w:lang w:val="en-US" w:eastAsia="zh-CN"/>
                    </w:rPr>
                  </w:pPr>
                  <w:r>
                    <w:rPr>
                      <w:rFonts w:hint="eastAsia"/>
                      <w:b/>
                      <w:bCs/>
                      <w:lang w:val="en-US" w:eastAsia="zh-CN"/>
                    </w:rPr>
                    <w:t>型号</w:t>
                  </w:r>
                </w:p>
              </w:tc>
              <w:tc>
                <w:tcPr>
                  <w:tcW w:w="428" w:type="pct"/>
                  <w:tcBorders>
                    <w:top w:val="single" w:color="auto" w:sz="4" w:space="0"/>
                    <w:left w:val="nil"/>
                    <w:bottom w:val="single" w:color="auto" w:sz="4" w:space="0"/>
                  </w:tcBorders>
                  <w:vAlign w:val="center"/>
                </w:tcPr>
                <w:p>
                  <w:pPr>
                    <w:widowControl/>
                    <w:autoSpaceDE w:val="0"/>
                    <w:spacing w:line="340" w:lineRule="exact"/>
                    <w:jc w:val="center"/>
                    <w:textAlignment w:val="center"/>
                    <w:rPr>
                      <w:rFonts w:hint="default"/>
                      <w:b/>
                      <w:bCs/>
                      <w:lang w:val="en-US" w:eastAsia="zh-CN"/>
                    </w:rPr>
                  </w:pPr>
                  <w:r>
                    <w:rPr>
                      <w:rFonts w:hint="eastAsia"/>
                      <w:b/>
                      <w:bCs/>
                      <w:lang w:val="en-US" w:eastAsia="zh-CN"/>
                    </w:rPr>
                    <w:t>备注</w:t>
                  </w:r>
                </w:p>
              </w:tc>
            </w:tr>
            <w:tr>
              <w:tblPrEx>
                <w:tblBorders>
                  <w:top w:val="none" w:color="auto" w:sz="4" w:space="0"/>
                  <w:left w:val="none" w:color="auto" w:sz="0" w:space="0"/>
                  <w:bottom w:val="none" w:color="auto" w:sz="4" w:space="0"/>
                  <w:right w:val="none" w:color="auto" w:sz="0" w:space="0"/>
                  <w:insideH w:val="none" w:color="auto" w:sz="4" w:space="0"/>
                  <w:insideV w:val="none" w:color="auto" w:sz="4" w:space="0"/>
                </w:tblBorders>
                <w:tblCellMar>
                  <w:top w:w="15" w:type="dxa"/>
                  <w:left w:w="15" w:type="dxa"/>
                  <w:bottom w:w="15" w:type="dxa"/>
                  <w:right w:w="15" w:type="dxa"/>
                </w:tblCellMar>
              </w:tblPrEx>
              <w:trPr>
                <w:trHeight w:val="357" w:hRule="atLeast"/>
              </w:trPr>
              <w:tc>
                <w:tcPr>
                  <w:tcW w:w="293" w:type="pct"/>
                  <w:tcBorders>
                    <w:top w:val="single" w:color="auto" w:sz="4" w:space="0"/>
                    <w:bottom w:val="single" w:color="auto" w:sz="4" w:space="0"/>
                    <w:right w:val="single" w:color="auto" w:sz="4" w:space="0"/>
                  </w:tcBorders>
                  <w:vAlign w:val="center"/>
                </w:tcPr>
                <w:p>
                  <w:pPr>
                    <w:pStyle w:val="84"/>
                  </w:pPr>
                  <w:r>
                    <w:rPr>
                      <w:rFonts w:hint="eastAsia"/>
                    </w:rPr>
                    <w:t>1</w:t>
                  </w:r>
                </w:p>
              </w:tc>
              <w:tc>
                <w:tcPr>
                  <w:tcW w:w="672"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default"/>
                    </w:rPr>
                    <w:t>原料砂仓</w:t>
                  </w:r>
                </w:p>
              </w:tc>
              <w:tc>
                <w:tcPr>
                  <w:tcW w:w="1051"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lang w:val="en-US" w:eastAsia="zh-CN"/>
                    </w:rPr>
                  </w:pPr>
                  <w:r>
                    <w:rPr>
                      <w:rFonts w:hint="default"/>
                    </w:rPr>
                    <w:t>2</w:t>
                  </w:r>
                </w:p>
              </w:tc>
              <w:tc>
                <w:tcPr>
                  <w:tcW w:w="908"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lang w:val="en-US" w:eastAsia="zh-CN"/>
                    </w:rPr>
                  </w:pPr>
                  <w:r>
                    <w:rPr>
                      <w:rFonts w:hint="default"/>
                    </w:rPr>
                    <w:t>2</w:t>
                  </w:r>
                </w:p>
              </w:tc>
              <w:tc>
                <w:tcPr>
                  <w:tcW w:w="589"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eastAsia"/>
                      <w:lang w:val="en-US" w:eastAsia="zh-CN"/>
                    </w:rPr>
                    <w:t>0</w:t>
                  </w:r>
                </w:p>
              </w:tc>
              <w:tc>
                <w:tcPr>
                  <w:tcW w:w="1055"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default"/>
                      <w:lang w:val="en-US" w:eastAsia="zh-CN"/>
                    </w:rPr>
                    <w:t>7.4m</w:t>
                  </w:r>
                  <w:r>
                    <w:rPr>
                      <w:rFonts w:hint="default"/>
                      <w:vertAlign w:val="superscript"/>
                      <w:lang w:val="en-US" w:eastAsia="zh-CN"/>
                    </w:rPr>
                    <w:t>3</w:t>
                  </w:r>
                </w:p>
              </w:tc>
              <w:tc>
                <w:tcPr>
                  <w:tcW w:w="428" w:type="pct"/>
                  <w:vMerge w:val="restart"/>
                  <w:tcBorders>
                    <w:top w:val="single" w:color="auto" w:sz="4" w:space="0"/>
                    <w:left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eastAsia"/>
                      <w:lang w:val="en-US" w:eastAsia="zh-CN"/>
                    </w:rPr>
                    <w:t>原有设备老旧破损，新购一批新的生产设备</w:t>
                  </w:r>
                </w:p>
              </w:tc>
            </w:tr>
            <w:tr>
              <w:tblPrEx>
                <w:tblBorders>
                  <w:top w:val="none" w:color="auto" w:sz="4" w:space="0"/>
                  <w:left w:val="none" w:color="auto" w:sz="0" w:space="0"/>
                  <w:bottom w:val="none" w:color="auto" w:sz="4" w:space="0"/>
                  <w:right w:val="none" w:color="auto" w:sz="0" w:space="0"/>
                  <w:insideH w:val="none" w:color="auto" w:sz="4" w:space="0"/>
                  <w:insideV w:val="none" w:color="auto" w:sz="4" w:space="0"/>
                </w:tblBorders>
                <w:tblCellMar>
                  <w:top w:w="15" w:type="dxa"/>
                  <w:left w:w="15" w:type="dxa"/>
                  <w:bottom w:w="15" w:type="dxa"/>
                  <w:right w:w="15" w:type="dxa"/>
                </w:tblCellMar>
              </w:tblPrEx>
              <w:trPr>
                <w:trHeight w:val="412" w:hRule="atLeast"/>
              </w:trPr>
              <w:tc>
                <w:tcPr>
                  <w:tcW w:w="293" w:type="pct"/>
                  <w:tcBorders>
                    <w:top w:val="single" w:color="auto" w:sz="4" w:space="0"/>
                    <w:bottom w:val="single" w:color="auto" w:sz="4" w:space="0"/>
                    <w:right w:val="single" w:color="auto" w:sz="4" w:space="0"/>
                  </w:tcBorders>
                  <w:vAlign w:val="center"/>
                </w:tcPr>
                <w:p>
                  <w:pPr>
                    <w:pStyle w:val="84"/>
                  </w:pPr>
                  <w:r>
                    <w:rPr>
                      <w:rFonts w:hint="eastAsia"/>
                    </w:rPr>
                    <w:t>2</w:t>
                  </w:r>
                </w:p>
              </w:tc>
              <w:tc>
                <w:tcPr>
                  <w:tcW w:w="672"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default"/>
                    </w:rPr>
                    <w:t>上料皮带</w:t>
                  </w:r>
                  <w:r>
                    <w:rPr>
                      <w:rFonts w:hint="default"/>
                      <w:lang w:val="en-US" w:eastAsia="zh-CN"/>
                    </w:rPr>
                    <w:t>1</w:t>
                  </w:r>
                </w:p>
              </w:tc>
              <w:tc>
                <w:tcPr>
                  <w:tcW w:w="1051"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lang w:val="en-US" w:eastAsia="zh-CN"/>
                    </w:rPr>
                  </w:pPr>
                  <w:r>
                    <w:rPr>
                      <w:rFonts w:hint="default"/>
                    </w:rPr>
                    <w:t>2</w:t>
                  </w:r>
                </w:p>
              </w:tc>
              <w:tc>
                <w:tcPr>
                  <w:tcW w:w="908"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lang w:val="en-US" w:eastAsia="zh-CN"/>
                    </w:rPr>
                  </w:pPr>
                  <w:r>
                    <w:rPr>
                      <w:rFonts w:hint="default"/>
                    </w:rPr>
                    <w:t>2</w:t>
                  </w:r>
                </w:p>
              </w:tc>
              <w:tc>
                <w:tcPr>
                  <w:tcW w:w="589"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eastAsia"/>
                      <w:lang w:val="en-US" w:eastAsia="zh-CN"/>
                    </w:rPr>
                    <w:t>0</w:t>
                  </w:r>
                </w:p>
              </w:tc>
              <w:tc>
                <w:tcPr>
                  <w:tcW w:w="1055"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default"/>
                      <w:lang w:val="en-US" w:eastAsia="zh-CN"/>
                    </w:rPr>
                    <w:t>B800</w:t>
                  </w:r>
                  <w:r>
                    <w:rPr>
                      <w:rFonts w:hint="default"/>
                    </w:rPr>
                    <w:t>×</w:t>
                  </w:r>
                  <w:r>
                    <w:rPr>
                      <w:rFonts w:hint="default"/>
                      <w:lang w:val="en-US" w:eastAsia="zh-CN"/>
                    </w:rPr>
                    <w:t>20m</w:t>
                  </w:r>
                </w:p>
              </w:tc>
              <w:tc>
                <w:tcPr>
                  <w:tcW w:w="428" w:type="pct"/>
                  <w:vMerge w:val="continue"/>
                  <w:tcBorders>
                    <w:left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p>
              </w:tc>
            </w:tr>
            <w:tr>
              <w:tblPrEx>
                <w:tblBorders>
                  <w:top w:val="none" w:color="auto" w:sz="4" w:space="0"/>
                  <w:left w:val="none" w:color="auto" w:sz="0" w:space="0"/>
                  <w:bottom w:val="none" w:color="auto" w:sz="4" w:space="0"/>
                  <w:right w:val="none" w:color="auto" w:sz="0" w:space="0"/>
                  <w:insideH w:val="none" w:color="auto" w:sz="4" w:space="0"/>
                  <w:insideV w:val="none" w:color="auto" w:sz="4" w:space="0"/>
                </w:tblBorders>
                <w:tblCellMar>
                  <w:top w:w="15" w:type="dxa"/>
                  <w:left w:w="15" w:type="dxa"/>
                  <w:bottom w:w="15" w:type="dxa"/>
                  <w:right w:w="15" w:type="dxa"/>
                </w:tblCellMar>
              </w:tblPrEx>
              <w:trPr>
                <w:trHeight w:val="412" w:hRule="atLeast"/>
              </w:trPr>
              <w:tc>
                <w:tcPr>
                  <w:tcW w:w="293" w:type="pct"/>
                  <w:tcBorders>
                    <w:top w:val="single" w:color="auto" w:sz="4" w:space="0"/>
                    <w:bottom w:val="single" w:color="auto" w:sz="4" w:space="0"/>
                    <w:right w:val="single" w:color="auto" w:sz="4" w:space="0"/>
                  </w:tcBorders>
                  <w:vAlign w:val="center"/>
                </w:tcPr>
                <w:p>
                  <w:pPr>
                    <w:pStyle w:val="84"/>
                  </w:pPr>
                  <w:r>
                    <w:rPr>
                      <w:rFonts w:hint="eastAsia"/>
                    </w:rPr>
                    <w:t>3</w:t>
                  </w:r>
                </w:p>
              </w:tc>
              <w:tc>
                <w:tcPr>
                  <w:tcW w:w="672"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default"/>
                      <w:lang w:eastAsia="zh-CN"/>
                    </w:rPr>
                    <w:t>上料皮带</w:t>
                  </w:r>
                  <w:r>
                    <w:rPr>
                      <w:rFonts w:hint="default"/>
                      <w:lang w:val="en-US" w:eastAsia="zh-CN"/>
                    </w:rPr>
                    <w:t>2</w:t>
                  </w:r>
                </w:p>
              </w:tc>
              <w:tc>
                <w:tcPr>
                  <w:tcW w:w="1051"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default"/>
                      <w:lang w:val="en-US" w:eastAsia="zh-CN"/>
                    </w:rPr>
                    <w:t>2</w:t>
                  </w:r>
                </w:p>
              </w:tc>
              <w:tc>
                <w:tcPr>
                  <w:tcW w:w="908"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lang w:val="en-US" w:eastAsia="zh-CN"/>
                    </w:rPr>
                  </w:pPr>
                  <w:r>
                    <w:rPr>
                      <w:rFonts w:hint="default"/>
                      <w:lang w:val="en-US" w:eastAsia="zh-CN"/>
                    </w:rPr>
                    <w:t>2</w:t>
                  </w:r>
                </w:p>
              </w:tc>
              <w:tc>
                <w:tcPr>
                  <w:tcW w:w="589"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eastAsia"/>
                      <w:lang w:val="en-US" w:eastAsia="zh-CN"/>
                    </w:rPr>
                    <w:t>0</w:t>
                  </w:r>
                </w:p>
              </w:tc>
              <w:tc>
                <w:tcPr>
                  <w:tcW w:w="1055"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default"/>
                      <w:lang w:val="en-US" w:eastAsia="zh-CN"/>
                    </w:rPr>
                    <w:t>B800</w:t>
                  </w:r>
                  <w:r>
                    <w:rPr>
                      <w:rFonts w:hint="default"/>
                    </w:rPr>
                    <w:t>×</w:t>
                  </w:r>
                  <w:r>
                    <w:rPr>
                      <w:rFonts w:hint="default"/>
                      <w:lang w:val="en-US" w:eastAsia="zh-CN"/>
                    </w:rPr>
                    <w:t>11m</w:t>
                  </w:r>
                </w:p>
              </w:tc>
              <w:tc>
                <w:tcPr>
                  <w:tcW w:w="428" w:type="pct"/>
                  <w:vMerge w:val="continue"/>
                  <w:tcBorders>
                    <w:left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p>
              </w:tc>
            </w:tr>
            <w:tr>
              <w:tblPrEx>
                <w:tblBorders>
                  <w:top w:val="none" w:color="auto" w:sz="4" w:space="0"/>
                  <w:left w:val="none" w:color="auto" w:sz="0" w:space="0"/>
                  <w:bottom w:val="none" w:color="auto" w:sz="4" w:space="0"/>
                  <w:right w:val="none" w:color="auto" w:sz="0" w:space="0"/>
                  <w:insideH w:val="none" w:color="auto" w:sz="4" w:space="0"/>
                  <w:insideV w:val="none" w:color="auto" w:sz="4" w:space="0"/>
                </w:tblBorders>
                <w:tblCellMar>
                  <w:top w:w="15" w:type="dxa"/>
                  <w:left w:w="15" w:type="dxa"/>
                  <w:bottom w:w="15" w:type="dxa"/>
                  <w:right w:w="15" w:type="dxa"/>
                </w:tblCellMar>
              </w:tblPrEx>
              <w:trPr>
                <w:trHeight w:val="458" w:hRule="atLeast"/>
              </w:trPr>
              <w:tc>
                <w:tcPr>
                  <w:tcW w:w="293" w:type="pct"/>
                  <w:tcBorders>
                    <w:top w:val="single" w:color="auto" w:sz="4" w:space="0"/>
                    <w:bottom w:val="single" w:color="auto" w:sz="4" w:space="0"/>
                    <w:right w:val="single" w:color="auto" w:sz="4" w:space="0"/>
                  </w:tcBorders>
                  <w:vAlign w:val="center"/>
                </w:tcPr>
                <w:p>
                  <w:pPr>
                    <w:pStyle w:val="84"/>
                  </w:pPr>
                  <w:r>
                    <w:rPr>
                      <w:rFonts w:hint="eastAsia"/>
                    </w:rPr>
                    <w:t>4</w:t>
                  </w:r>
                </w:p>
              </w:tc>
              <w:tc>
                <w:tcPr>
                  <w:tcW w:w="672"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default"/>
                    </w:rPr>
                    <w:t>一级湿式滚筒筛</w:t>
                  </w:r>
                </w:p>
              </w:tc>
              <w:tc>
                <w:tcPr>
                  <w:tcW w:w="1051"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lang w:val="en-US" w:eastAsia="zh-CN"/>
                    </w:rPr>
                  </w:pPr>
                  <w:r>
                    <w:rPr>
                      <w:rFonts w:hint="default"/>
                    </w:rPr>
                    <w:t>2</w:t>
                  </w:r>
                </w:p>
              </w:tc>
              <w:tc>
                <w:tcPr>
                  <w:tcW w:w="908"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lang w:val="en-US" w:eastAsia="zh-CN"/>
                    </w:rPr>
                  </w:pPr>
                  <w:r>
                    <w:rPr>
                      <w:rFonts w:hint="default"/>
                    </w:rPr>
                    <w:t>2</w:t>
                  </w:r>
                </w:p>
              </w:tc>
              <w:tc>
                <w:tcPr>
                  <w:tcW w:w="589"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eastAsia="宋体"/>
                      <w:lang w:val="en-US" w:eastAsia="zh-CN"/>
                    </w:rPr>
                  </w:pPr>
                  <w:r>
                    <w:rPr>
                      <w:rFonts w:hint="eastAsia"/>
                      <w:lang w:val="en-US" w:eastAsia="zh-CN"/>
                    </w:rPr>
                    <w:t>0</w:t>
                  </w:r>
                </w:p>
              </w:tc>
              <w:tc>
                <w:tcPr>
                  <w:tcW w:w="1055"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default"/>
                    </w:rPr>
                    <w:t>GT1560</w:t>
                  </w:r>
                </w:p>
              </w:tc>
              <w:tc>
                <w:tcPr>
                  <w:tcW w:w="428" w:type="pct"/>
                  <w:vMerge w:val="continue"/>
                  <w:tcBorders>
                    <w:left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rPr>
                  </w:pPr>
                </w:p>
              </w:tc>
            </w:tr>
            <w:tr>
              <w:tblPrEx>
                <w:tblBorders>
                  <w:top w:val="none" w:color="auto" w:sz="4" w:space="0"/>
                  <w:left w:val="none" w:color="auto" w:sz="0" w:space="0"/>
                  <w:bottom w:val="none" w:color="auto" w:sz="4" w:space="0"/>
                  <w:right w:val="none" w:color="auto" w:sz="0" w:space="0"/>
                  <w:insideH w:val="none" w:color="auto" w:sz="4" w:space="0"/>
                  <w:insideV w:val="none" w:color="auto" w:sz="4" w:space="0"/>
                </w:tblBorders>
                <w:tblCellMar>
                  <w:top w:w="15" w:type="dxa"/>
                  <w:left w:w="15" w:type="dxa"/>
                  <w:bottom w:w="15" w:type="dxa"/>
                  <w:right w:w="15" w:type="dxa"/>
                </w:tblCellMar>
              </w:tblPrEx>
              <w:trPr>
                <w:trHeight w:val="458" w:hRule="atLeast"/>
              </w:trPr>
              <w:tc>
                <w:tcPr>
                  <w:tcW w:w="293" w:type="pct"/>
                  <w:tcBorders>
                    <w:top w:val="single" w:color="auto" w:sz="4" w:space="0"/>
                    <w:bottom w:val="single" w:color="auto" w:sz="4" w:space="0"/>
                    <w:right w:val="single" w:color="auto" w:sz="4" w:space="0"/>
                  </w:tcBorders>
                  <w:vAlign w:val="center"/>
                </w:tcPr>
                <w:p>
                  <w:pPr>
                    <w:pStyle w:val="84"/>
                  </w:pPr>
                  <w:r>
                    <w:rPr>
                      <w:rFonts w:hint="eastAsia"/>
                    </w:rPr>
                    <w:t>5</w:t>
                  </w:r>
                </w:p>
              </w:tc>
              <w:tc>
                <w:tcPr>
                  <w:tcW w:w="672"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default"/>
                    </w:rPr>
                    <w:t>二级水洗滚筒筛</w:t>
                  </w:r>
                </w:p>
              </w:tc>
              <w:tc>
                <w:tcPr>
                  <w:tcW w:w="1051"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lang w:val="en-US" w:eastAsia="zh-CN"/>
                    </w:rPr>
                  </w:pPr>
                  <w:r>
                    <w:rPr>
                      <w:rFonts w:hint="default"/>
                    </w:rPr>
                    <w:t>2</w:t>
                  </w:r>
                </w:p>
              </w:tc>
              <w:tc>
                <w:tcPr>
                  <w:tcW w:w="908"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lang w:val="en-US" w:eastAsia="zh-CN"/>
                    </w:rPr>
                  </w:pPr>
                  <w:r>
                    <w:rPr>
                      <w:rFonts w:hint="default"/>
                    </w:rPr>
                    <w:t>2</w:t>
                  </w:r>
                </w:p>
              </w:tc>
              <w:tc>
                <w:tcPr>
                  <w:tcW w:w="589"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eastAsia="宋体"/>
                      <w:lang w:val="en-US" w:eastAsia="zh-CN"/>
                    </w:rPr>
                  </w:pPr>
                  <w:r>
                    <w:rPr>
                      <w:rFonts w:hint="eastAsia"/>
                      <w:lang w:val="en-US" w:eastAsia="zh-CN"/>
                    </w:rPr>
                    <w:t>0</w:t>
                  </w:r>
                </w:p>
              </w:tc>
              <w:tc>
                <w:tcPr>
                  <w:tcW w:w="1055"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default"/>
                    </w:rPr>
                    <w:t>GT1530</w:t>
                  </w:r>
                </w:p>
              </w:tc>
              <w:tc>
                <w:tcPr>
                  <w:tcW w:w="428" w:type="pct"/>
                  <w:vMerge w:val="continue"/>
                  <w:tcBorders>
                    <w:left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rPr>
                  </w:pPr>
                </w:p>
              </w:tc>
            </w:tr>
            <w:tr>
              <w:tblPrEx>
                <w:tblBorders>
                  <w:top w:val="none" w:color="auto" w:sz="4" w:space="0"/>
                  <w:left w:val="none" w:color="auto" w:sz="0" w:space="0"/>
                  <w:bottom w:val="none" w:color="auto" w:sz="4" w:space="0"/>
                  <w:right w:val="none" w:color="auto" w:sz="0" w:space="0"/>
                  <w:insideH w:val="none" w:color="auto" w:sz="4" w:space="0"/>
                  <w:insideV w:val="none" w:color="auto" w:sz="4" w:space="0"/>
                </w:tblBorders>
                <w:tblCellMar>
                  <w:top w:w="15" w:type="dxa"/>
                  <w:left w:w="15" w:type="dxa"/>
                  <w:bottom w:w="15" w:type="dxa"/>
                  <w:right w:w="15" w:type="dxa"/>
                </w:tblCellMar>
              </w:tblPrEx>
              <w:trPr>
                <w:trHeight w:val="458" w:hRule="atLeast"/>
              </w:trPr>
              <w:tc>
                <w:tcPr>
                  <w:tcW w:w="293" w:type="pct"/>
                  <w:tcBorders>
                    <w:top w:val="single" w:color="auto" w:sz="4" w:space="0"/>
                    <w:bottom w:val="single" w:color="auto" w:sz="4" w:space="0"/>
                    <w:right w:val="single" w:color="auto" w:sz="4" w:space="0"/>
                  </w:tcBorders>
                  <w:vAlign w:val="center"/>
                </w:tcPr>
                <w:p>
                  <w:pPr>
                    <w:pStyle w:val="84"/>
                  </w:pPr>
                  <w:r>
                    <w:rPr>
                      <w:rFonts w:hint="eastAsia"/>
                    </w:rPr>
                    <w:t>6</w:t>
                  </w:r>
                </w:p>
              </w:tc>
              <w:tc>
                <w:tcPr>
                  <w:tcW w:w="672"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default"/>
                      <w:lang w:eastAsia="zh-CN"/>
                    </w:rPr>
                    <w:t>单</w:t>
                  </w:r>
                  <w:r>
                    <w:rPr>
                      <w:rFonts w:hint="default"/>
                    </w:rPr>
                    <w:t>螺旋洗砂机</w:t>
                  </w:r>
                </w:p>
              </w:tc>
              <w:tc>
                <w:tcPr>
                  <w:tcW w:w="1051"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default"/>
                      <w:lang w:val="en-US" w:eastAsia="zh-CN"/>
                    </w:rPr>
                    <w:t>4</w:t>
                  </w:r>
                </w:p>
              </w:tc>
              <w:tc>
                <w:tcPr>
                  <w:tcW w:w="908"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lang w:val="en-US" w:eastAsia="zh-CN"/>
                    </w:rPr>
                  </w:pPr>
                  <w:r>
                    <w:rPr>
                      <w:rFonts w:hint="default"/>
                      <w:lang w:val="en-US" w:eastAsia="zh-CN"/>
                    </w:rPr>
                    <w:t>4</w:t>
                  </w:r>
                </w:p>
              </w:tc>
              <w:tc>
                <w:tcPr>
                  <w:tcW w:w="589"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eastAsia="宋体"/>
                      <w:lang w:val="en-US" w:eastAsia="zh-CN"/>
                    </w:rPr>
                  </w:pPr>
                  <w:r>
                    <w:rPr>
                      <w:rFonts w:hint="eastAsia"/>
                      <w:lang w:val="en-US" w:eastAsia="zh-CN"/>
                    </w:rPr>
                    <w:t>0</w:t>
                  </w:r>
                </w:p>
              </w:tc>
              <w:tc>
                <w:tcPr>
                  <w:tcW w:w="1055"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default"/>
                    </w:rPr>
                    <w:t>LX</w:t>
                  </w:r>
                  <w:r>
                    <w:rPr>
                      <w:rFonts w:hint="default"/>
                      <w:lang w:val="en-US" w:eastAsia="zh-CN"/>
                    </w:rPr>
                    <w:t>750</w:t>
                  </w:r>
                  <w:r>
                    <w:rPr>
                      <w:rFonts w:hint="default"/>
                    </w:rPr>
                    <w:t>×</w:t>
                  </w:r>
                  <w:r>
                    <w:rPr>
                      <w:rFonts w:hint="default"/>
                      <w:lang w:val="en-US" w:eastAsia="zh-CN"/>
                    </w:rPr>
                    <w:t>6m</w:t>
                  </w:r>
                </w:p>
              </w:tc>
              <w:tc>
                <w:tcPr>
                  <w:tcW w:w="428" w:type="pct"/>
                  <w:vMerge w:val="continue"/>
                  <w:tcBorders>
                    <w:left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rPr>
                  </w:pPr>
                </w:p>
              </w:tc>
            </w:tr>
            <w:tr>
              <w:tblPrEx>
                <w:tblBorders>
                  <w:top w:val="none" w:color="auto" w:sz="4" w:space="0"/>
                  <w:left w:val="none" w:color="auto" w:sz="0" w:space="0"/>
                  <w:bottom w:val="none" w:color="auto" w:sz="4" w:space="0"/>
                  <w:right w:val="none" w:color="auto" w:sz="0" w:space="0"/>
                  <w:insideH w:val="none" w:color="auto" w:sz="4" w:space="0"/>
                  <w:insideV w:val="none" w:color="auto" w:sz="4" w:space="0"/>
                </w:tblBorders>
                <w:tblCellMar>
                  <w:top w:w="15" w:type="dxa"/>
                  <w:left w:w="15" w:type="dxa"/>
                  <w:bottom w:w="15" w:type="dxa"/>
                  <w:right w:w="15" w:type="dxa"/>
                </w:tblCellMar>
              </w:tblPrEx>
              <w:trPr>
                <w:trHeight w:val="412" w:hRule="atLeast"/>
              </w:trPr>
              <w:tc>
                <w:tcPr>
                  <w:tcW w:w="293" w:type="pct"/>
                  <w:tcBorders>
                    <w:top w:val="single" w:color="auto" w:sz="4" w:space="0"/>
                    <w:bottom w:val="single" w:color="auto" w:sz="4" w:space="0"/>
                    <w:right w:val="single" w:color="auto" w:sz="4" w:space="0"/>
                  </w:tcBorders>
                  <w:vAlign w:val="center"/>
                </w:tcPr>
                <w:p>
                  <w:pPr>
                    <w:pStyle w:val="84"/>
                  </w:pPr>
                  <w:r>
                    <w:rPr>
                      <w:rFonts w:hint="eastAsia"/>
                    </w:rPr>
                    <w:t>7</w:t>
                  </w:r>
                </w:p>
              </w:tc>
              <w:tc>
                <w:tcPr>
                  <w:tcW w:w="672"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default"/>
                    </w:rPr>
                    <w:t>送料皮带</w:t>
                  </w:r>
                  <w:r>
                    <w:rPr>
                      <w:rFonts w:hint="default"/>
                      <w:lang w:val="en-US" w:eastAsia="zh-CN"/>
                    </w:rPr>
                    <w:t>1</w:t>
                  </w:r>
                </w:p>
              </w:tc>
              <w:tc>
                <w:tcPr>
                  <w:tcW w:w="1051"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lang w:val="en-US" w:eastAsia="zh-CN"/>
                    </w:rPr>
                  </w:pPr>
                  <w:r>
                    <w:rPr>
                      <w:rFonts w:hint="default"/>
                    </w:rPr>
                    <w:t>2</w:t>
                  </w:r>
                </w:p>
              </w:tc>
              <w:tc>
                <w:tcPr>
                  <w:tcW w:w="908"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lang w:val="en-US" w:eastAsia="zh-CN"/>
                    </w:rPr>
                  </w:pPr>
                  <w:r>
                    <w:rPr>
                      <w:rFonts w:hint="default"/>
                    </w:rPr>
                    <w:t>2</w:t>
                  </w:r>
                </w:p>
              </w:tc>
              <w:tc>
                <w:tcPr>
                  <w:tcW w:w="589"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eastAsia"/>
                      <w:lang w:val="en-US" w:eastAsia="zh-CN"/>
                    </w:rPr>
                    <w:t>0</w:t>
                  </w:r>
                </w:p>
              </w:tc>
              <w:tc>
                <w:tcPr>
                  <w:tcW w:w="1055"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default"/>
                      <w:lang w:val="en-US" w:eastAsia="zh-CN"/>
                    </w:rPr>
                    <w:t>B650</w:t>
                  </w:r>
                  <w:r>
                    <w:rPr>
                      <w:rFonts w:hint="default"/>
                    </w:rPr>
                    <w:t>×</w:t>
                  </w:r>
                  <w:r>
                    <w:rPr>
                      <w:rFonts w:hint="default"/>
                      <w:lang w:val="en-US" w:eastAsia="zh-CN"/>
                    </w:rPr>
                    <w:t>17m</w:t>
                  </w:r>
                </w:p>
              </w:tc>
              <w:tc>
                <w:tcPr>
                  <w:tcW w:w="428" w:type="pct"/>
                  <w:vMerge w:val="continue"/>
                  <w:tcBorders>
                    <w:left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p>
              </w:tc>
            </w:tr>
            <w:tr>
              <w:tblPrEx>
                <w:tblBorders>
                  <w:top w:val="none" w:color="auto" w:sz="4" w:space="0"/>
                  <w:left w:val="none" w:color="auto" w:sz="0" w:space="0"/>
                  <w:bottom w:val="none" w:color="auto" w:sz="4" w:space="0"/>
                  <w:right w:val="none" w:color="auto" w:sz="0" w:space="0"/>
                  <w:insideH w:val="none" w:color="auto" w:sz="4" w:space="0"/>
                  <w:insideV w:val="none" w:color="auto" w:sz="4" w:space="0"/>
                </w:tblBorders>
                <w:tblCellMar>
                  <w:top w:w="15" w:type="dxa"/>
                  <w:left w:w="15" w:type="dxa"/>
                  <w:bottom w:w="15" w:type="dxa"/>
                  <w:right w:w="15" w:type="dxa"/>
                </w:tblCellMar>
              </w:tblPrEx>
              <w:trPr>
                <w:trHeight w:val="357" w:hRule="atLeast"/>
              </w:trPr>
              <w:tc>
                <w:tcPr>
                  <w:tcW w:w="293" w:type="pct"/>
                  <w:tcBorders>
                    <w:top w:val="single" w:color="auto" w:sz="4" w:space="0"/>
                    <w:bottom w:val="single" w:color="auto" w:sz="4" w:space="0"/>
                    <w:right w:val="single" w:color="auto" w:sz="4" w:space="0"/>
                  </w:tcBorders>
                  <w:vAlign w:val="center"/>
                </w:tcPr>
                <w:p>
                  <w:pPr>
                    <w:pStyle w:val="84"/>
                  </w:pPr>
                  <w:r>
                    <w:rPr>
                      <w:rFonts w:hint="eastAsia"/>
                    </w:rPr>
                    <w:t>8</w:t>
                  </w:r>
                </w:p>
              </w:tc>
              <w:tc>
                <w:tcPr>
                  <w:tcW w:w="672"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default"/>
                      <w:lang w:eastAsia="zh-CN"/>
                    </w:rPr>
                    <w:t>送料皮带</w:t>
                  </w:r>
                  <w:r>
                    <w:rPr>
                      <w:rFonts w:hint="default"/>
                      <w:lang w:val="en-US" w:eastAsia="zh-CN"/>
                    </w:rPr>
                    <w:t>2</w:t>
                  </w:r>
                </w:p>
              </w:tc>
              <w:tc>
                <w:tcPr>
                  <w:tcW w:w="1051"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default"/>
                      <w:lang w:val="en-US" w:eastAsia="zh-CN"/>
                    </w:rPr>
                    <w:t>2</w:t>
                  </w:r>
                </w:p>
              </w:tc>
              <w:tc>
                <w:tcPr>
                  <w:tcW w:w="908"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lang w:val="en-US" w:eastAsia="zh-CN"/>
                    </w:rPr>
                  </w:pPr>
                  <w:r>
                    <w:rPr>
                      <w:rFonts w:hint="default"/>
                      <w:lang w:val="en-US" w:eastAsia="zh-CN"/>
                    </w:rPr>
                    <w:t>2</w:t>
                  </w:r>
                </w:p>
              </w:tc>
              <w:tc>
                <w:tcPr>
                  <w:tcW w:w="589"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eastAsia"/>
                      <w:lang w:val="en-US" w:eastAsia="zh-CN"/>
                    </w:rPr>
                    <w:t>0</w:t>
                  </w:r>
                </w:p>
              </w:tc>
              <w:tc>
                <w:tcPr>
                  <w:tcW w:w="1055"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default"/>
                      <w:lang w:val="en-US" w:eastAsia="zh-CN"/>
                    </w:rPr>
                    <w:t>B650</w:t>
                  </w:r>
                  <w:r>
                    <w:rPr>
                      <w:rFonts w:hint="default"/>
                    </w:rPr>
                    <w:t>×</w:t>
                  </w:r>
                  <w:r>
                    <w:rPr>
                      <w:rFonts w:hint="default"/>
                      <w:lang w:val="en-US" w:eastAsia="zh-CN"/>
                    </w:rPr>
                    <w:t>9m</w:t>
                  </w:r>
                </w:p>
              </w:tc>
              <w:tc>
                <w:tcPr>
                  <w:tcW w:w="428" w:type="pct"/>
                  <w:vMerge w:val="continue"/>
                  <w:tcBorders>
                    <w:left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p>
              </w:tc>
            </w:tr>
            <w:tr>
              <w:tblPrEx>
                <w:tblBorders>
                  <w:top w:val="none" w:color="auto" w:sz="4" w:space="0"/>
                  <w:left w:val="none" w:color="auto" w:sz="0" w:space="0"/>
                  <w:bottom w:val="none" w:color="auto" w:sz="4" w:space="0"/>
                  <w:right w:val="none" w:color="auto" w:sz="0" w:space="0"/>
                  <w:insideH w:val="none" w:color="auto" w:sz="4" w:space="0"/>
                  <w:insideV w:val="none" w:color="auto" w:sz="4" w:space="0"/>
                </w:tblBorders>
                <w:tblCellMar>
                  <w:top w:w="15" w:type="dxa"/>
                  <w:left w:w="15" w:type="dxa"/>
                  <w:bottom w:w="15" w:type="dxa"/>
                  <w:right w:w="15" w:type="dxa"/>
                </w:tblCellMar>
              </w:tblPrEx>
              <w:trPr>
                <w:trHeight w:val="357" w:hRule="atLeast"/>
              </w:trPr>
              <w:tc>
                <w:tcPr>
                  <w:tcW w:w="293" w:type="pct"/>
                  <w:tcBorders>
                    <w:top w:val="single" w:color="auto" w:sz="4" w:space="0"/>
                    <w:bottom w:val="single" w:color="auto" w:sz="4" w:space="0"/>
                    <w:right w:val="single" w:color="auto" w:sz="4" w:space="0"/>
                  </w:tcBorders>
                  <w:vAlign w:val="center"/>
                </w:tcPr>
                <w:p>
                  <w:pPr>
                    <w:pStyle w:val="84"/>
                  </w:pPr>
                  <w:r>
                    <w:rPr>
                      <w:rFonts w:hint="eastAsia"/>
                    </w:rPr>
                    <w:t>9</w:t>
                  </w:r>
                </w:p>
              </w:tc>
              <w:tc>
                <w:tcPr>
                  <w:tcW w:w="672"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default"/>
                      <w:lang w:eastAsia="zh-CN"/>
                    </w:rPr>
                    <w:t>压滤机</w:t>
                  </w:r>
                </w:p>
              </w:tc>
              <w:tc>
                <w:tcPr>
                  <w:tcW w:w="1051"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default"/>
                      <w:lang w:val="en-US" w:eastAsia="zh-CN"/>
                    </w:rPr>
                    <w:t>1</w:t>
                  </w:r>
                </w:p>
              </w:tc>
              <w:tc>
                <w:tcPr>
                  <w:tcW w:w="908"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lang w:val="en-US" w:eastAsia="zh-CN"/>
                    </w:rPr>
                  </w:pPr>
                  <w:r>
                    <w:rPr>
                      <w:rFonts w:hint="default"/>
                      <w:lang w:val="en-US" w:eastAsia="zh-CN"/>
                    </w:rPr>
                    <w:t>1</w:t>
                  </w:r>
                </w:p>
              </w:tc>
              <w:tc>
                <w:tcPr>
                  <w:tcW w:w="589"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eastAsia"/>
                      <w:lang w:val="en-US" w:eastAsia="zh-CN"/>
                    </w:rPr>
                    <w:t>0</w:t>
                  </w:r>
                </w:p>
              </w:tc>
              <w:tc>
                <w:tcPr>
                  <w:tcW w:w="1055"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default"/>
                      <w:lang w:val="en-US" w:eastAsia="zh-CN"/>
                    </w:rPr>
                    <w:t>/</w:t>
                  </w:r>
                </w:p>
              </w:tc>
              <w:tc>
                <w:tcPr>
                  <w:tcW w:w="428" w:type="pct"/>
                  <w:vMerge w:val="continue"/>
                  <w:tcBorders>
                    <w:left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p>
              </w:tc>
            </w:tr>
            <w:tr>
              <w:tblPrEx>
                <w:tblBorders>
                  <w:top w:val="none" w:color="auto" w:sz="4" w:space="0"/>
                  <w:left w:val="none" w:color="auto" w:sz="0" w:space="0"/>
                  <w:bottom w:val="none" w:color="auto" w:sz="4" w:space="0"/>
                  <w:right w:val="none" w:color="auto" w:sz="0" w:space="0"/>
                  <w:insideH w:val="none" w:color="auto" w:sz="4" w:space="0"/>
                  <w:insideV w:val="none" w:color="auto" w:sz="4" w:space="0"/>
                </w:tblBorders>
                <w:tblCellMar>
                  <w:top w:w="15" w:type="dxa"/>
                  <w:left w:w="15" w:type="dxa"/>
                  <w:bottom w:w="15" w:type="dxa"/>
                  <w:right w:w="15" w:type="dxa"/>
                </w:tblCellMar>
              </w:tblPrEx>
              <w:trPr>
                <w:trHeight w:val="357" w:hRule="atLeast"/>
              </w:trPr>
              <w:tc>
                <w:tcPr>
                  <w:tcW w:w="293" w:type="pct"/>
                  <w:tcBorders>
                    <w:top w:val="single" w:color="auto" w:sz="4" w:space="0"/>
                    <w:bottom w:val="single" w:color="auto" w:sz="4" w:space="0"/>
                    <w:right w:val="single" w:color="auto" w:sz="4" w:space="0"/>
                  </w:tcBorders>
                  <w:vAlign w:val="center"/>
                </w:tcPr>
                <w:p>
                  <w:pPr>
                    <w:pStyle w:val="84"/>
                  </w:pPr>
                  <w:r>
                    <w:rPr>
                      <w:rFonts w:hint="eastAsia"/>
                    </w:rPr>
                    <w:t>10</w:t>
                  </w:r>
                </w:p>
              </w:tc>
              <w:tc>
                <w:tcPr>
                  <w:tcW w:w="672" w:type="pct"/>
                  <w:tcBorders>
                    <w:top w:val="single" w:color="auto" w:sz="4" w:space="0"/>
                    <w:left w:val="nil"/>
                    <w:bottom w:val="single" w:color="auto" w:sz="4" w:space="0"/>
                    <w:right w:val="single" w:color="auto" w:sz="4" w:space="0"/>
                  </w:tcBorders>
                  <w:vAlign w:val="top"/>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eastAsia"/>
                      <w:lang w:eastAsia="zh-CN"/>
                    </w:rPr>
                    <w:t>头破机</w:t>
                  </w:r>
                </w:p>
              </w:tc>
              <w:tc>
                <w:tcPr>
                  <w:tcW w:w="1051" w:type="pct"/>
                  <w:tcBorders>
                    <w:top w:val="single" w:color="auto" w:sz="4" w:space="0"/>
                    <w:left w:val="nil"/>
                    <w:bottom w:val="single" w:color="auto" w:sz="4" w:space="0"/>
                    <w:right w:val="single" w:color="auto" w:sz="4" w:space="0"/>
                  </w:tcBorders>
                  <w:vAlign w:val="top"/>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eastAsia"/>
                      <w:lang w:val="en-US" w:eastAsia="zh-CN"/>
                    </w:rPr>
                    <w:t>0</w:t>
                  </w:r>
                </w:p>
              </w:tc>
              <w:tc>
                <w:tcPr>
                  <w:tcW w:w="908" w:type="pct"/>
                  <w:tcBorders>
                    <w:top w:val="single" w:color="auto" w:sz="4" w:space="0"/>
                    <w:left w:val="nil"/>
                    <w:bottom w:val="single" w:color="auto" w:sz="4" w:space="0"/>
                    <w:right w:val="single" w:color="auto" w:sz="4" w:space="0"/>
                  </w:tcBorders>
                  <w:vAlign w:val="top"/>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lang w:val="en-US" w:eastAsia="zh-CN"/>
                    </w:rPr>
                  </w:pPr>
                  <w:r>
                    <w:rPr>
                      <w:rFonts w:hint="eastAsia"/>
                      <w:lang w:val="en-US" w:eastAsia="zh-CN"/>
                    </w:rPr>
                    <w:t>1</w:t>
                  </w:r>
                </w:p>
              </w:tc>
              <w:tc>
                <w:tcPr>
                  <w:tcW w:w="589"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textAlignment w:val="center"/>
                    <w:rPr>
                      <w:rFonts w:hint="default" w:eastAsia="宋体"/>
                      <w:lang w:val="en-US" w:eastAsia="zh-CN"/>
                    </w:rPr>
                  </w:pPr>
                  <w:r>
                    <w:rPr>
                      <w:rFonts w:hint="eastAsia"/>
                      <w:lang w:val="en-US" w:eastAsia="zh-CN"/>
                    </w:rPr>
                    <w:t>+1</w:t>
                  </w:r>
                </w:p>
              </w:tc>
              <w:tc>
                <w:tcPr>
                  <w:tcW w:w="1055"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textAlignment w:val="center"/>
                  </w:pPr>
                  <w:r>
                    <w:rPr>
                      <w:rFonts w:hint="eastAsia"/>
                    </w:rPr>
                    <w:t>/</w:t>
                  </w:r>
                </w:p>
              </w:tc>
              <w:tc>
                <w:tcPr>
                  <w:tcW w:w="428" w:type="pct"/>
                  <w:vMerge w:val="continue"/>
                  <w:tcBorders>
                    <w:left w:val="nil"/>
                  </w:tcBorders>
                  <w:vAlign w:val="center"/>
                </w:tcPr>
                <w:p>
                  <w:pPr>
                    <w:widowControl/>
                    <w:autoSpaceDE w:val="0"/>
                    <w:spacing w:line="340" w:lineRule="exact"/>
                    <w:jc w:val="center"/>
                    <w:textAlignment w:val="center"/>
                    <w:rPr>
                      <w:rFonts w:hint="eastAsia"/>
                    </w:rPr>
                  </w:pPr>
                </w:p>
              </w:tc>
            </w:tr>
            <w:tr>
              <w:tblPrEx>
                <w:tblBorders>
                  <w:top w:val="none" w:color="auto" w:sz="4" w:space="0"/>
                  <w:left w:val="none" w:color="auto" w:sz="0" w:space="0"/>
                  <w:bottom w:val="none" w:color="auto" w:sz="4" w:space="0"/>
                  <w:right w:val="none" w:color="auto" w:sz="0" w:space="0"/>
                  <w:insideH w:val="none" w:color="auto" w:sz="4" w:space="0"/>
                  <w:insideV w:val="none" w:color="auto" w:sz="4" w:space="0"/>
                </w:tblBorders>
                <w:tblCellMar>
                  <w:top w:w="15" w:type="dxa"/>
                  <w:left w:w="15" w:type="dxa"/>
                  <w:bottom w:w="15" w:type="dxa"/>
                  <w:right w:w="15" w:type="dxa"/>
                </w:tblCellMar>
              </w:tblPrEx>
              <w:trPr>
                <w:trHeight w:val="357" w:hRule="atLeast"/>
              </w:trPr>
              <w:tc>
                <w:tcPr>
                  <w:tcW w:w="293" w:type="pct"/>
                  <w:tcBorders>
                    <w:top w:val="single" w:color="auto" w:sz="4" w:space="0"/>
                    <w:bottom w:val="single" w:color="auto" w:sz="4" w:space="0"/>
                    <w:right w:val="single" w:color="auto" w:sz="4" w:space="0"/>
                  </w:tcBorders>
                  <w:vAlign w:val="center"/>
                </w:tcPr>
                <w:p>
                  <w:pPr>
                    <w:pStyle w:val="84"/>
                  </w:pPr>
                  <w:r>
                    <w:rPr>
                      <w:rFonts w:hint="eastAsia"/>
                    </w:rPr>
                    <w:t>11</w:t>
                  </w:r>
                </w:p>
              </w:tc>
              <w:tc>
                <w:tcPr>
                  <w:tcW w:w="672" w:type="pct"/>
                  <w:tcBorders>
                    <w:top w:val="single" w:color="auto" w:sz="4" w:space="0"/>
                    <w:left w:val="nil"/>
                    <w:bottom w:val="single" w:color="auto" w:sz="4" w:space="0"/>
                    <w:right w:val="single" w:color="auto" w:sz="4" w:space="0"/>
                  </w:tcBorders>
                  <w:vAlign w:val="top"/>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eastAsia"/>
                      <w:lang w:eastAsia="zh-CN"/>
                    </w:rPr>
                    <w:t>圆锥机</w:t>
                  </w:r>
                </w:p>
              </w:tc>
              <w:tc>
                <w:tcPr>
                  <w:tcW w:w="1051" w:type="pct"/>
                  <w:tcBorders>
                    <w:top w:val="single" w:color="auto" w:sz="4" w:space="0"/>
                    <w:left w:val="nil"/>
                    <w:bottom w:val="single" w:color="auto" w:sz="4" w:space="0"/>
                    <w:right w:val="single" w:color="auto" w:sz="4" w:space="0"/>
                  </w:tcBorders>
                  <w:vAlign w:val="top"/>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eastAsia"/>
                      <w:lang w:val="en-US" w:eastAsia="zh-CN"/>
                    </w:rPr>
                    <w:t>0</w:t>
                  </w:r>
                </w:p>
              </w:tc>
              <w:tc>
                <w:tcPr>
                  <w:tcW w:w="908" w:type="pct"/>
                  <w:tcBorders>
                    <w:top w:val="single" w:color="auto" w:sz="4" w:space="0"/>
                    <w:left w:val="nil"/>
                    <w:bottom w:val="single" w:color="auto" w:sz="4" w:space="0"/>
                    <w:right w:val="single" w:color="auto" w:sz="4" w:space="0"/>
                  </w:tcBorders>
                  <w:vAlign w:val="top"/>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lang w:val="en-US" w:eastAsia="zh-CN"/>
                    </w:rPr>
                  </w:pPr>
                  <w:r>
                    <w:rPr>
                      <w:rFonts w:hint="eastAsia"/>
                      <w:lang w:val="en-US" w:eastAsia="zh-CN"/>
                    </w:rPr>
                    <w:t>1</w:t>
                  </w:r>
                </w:p>
              </w:tc>
              <w:tc>
                <w:tcPr>
                  <w:tcW w:w="589"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textAlignment w:val="center"/>
                    <w:rPr>
                      <w:rFonts w:hint="default" w:eastAsia="宋体"/>
                      <w:lang w:val="en-US" w:eastAsia="zh-CN"/>
                    </w:rPr>
                  </w:pPr>
                  <w:r>
                    <w:rPr>
                      <w:rFonts w:hint="eastAsia"/>
                      <w:lang w:val="en-US" w:eastAsia="zh-CN"/>
                    </w:rPr>
                    <w:t>+1</w:t>
                  </w:r>
                </w:p>
              </w:tc>
              <w:tc>
                <w:tcPr>
                  <w:tcW w:w="1055"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textAlignment w:val="center"/>
                  </w:pPr>
                  <w:r>
                    <w:rPr>
                      <w:rFonts w:hint="eastAsia"/>
                    </w:rPr>
                    <w:t>/</w:t>
                  </w:r>
                </w:p>
              </w:tc>
              <w:tc>
                <w:tcPr>
                  <w:tcW w:w="428" w:type="pct"/>
                  <w:vMerge w:val="continue"/>
                  <w:tcBorders>
                    <w:left w:val="nil"/>
                  </w:tcBorders>
                  <w:vAlign w:val="center"/>
                </w:tcPr>
                <w:p>
                  <w:pPr>
                    <w:widowControl/>
                    <w:autoSpaceDE w:val="0"/>
                    <w:spacing w:line="340" w:lineRule="exact"/>
                    <w:jc w:val="center"/>
                    <w:textAlignment w:val="center"/>
                    <w:rPr>
                      <w:rFonts w:hint="eastAsia"/>
                    </w:rPr>
                  </w:pPr>
                </w:p>
              </w:tc>
            </w:tr>
            <w:tr>
              <w:tblPrEx>
                <w:tblBorders>
                  <w:top w:val="none" w:color="auto" w:sz="4" w:space="0"/>
                  <w:left w:val="none" w:color="auto" w:sz="0" w:space="0"/>
                  <w:bottom w:val="none" w:color="auto" w:sz="4" w:space="0"/>
                  <w:right w:val="none" w:color="auto" w:sz="0" w:space="0"/>
                  <w:insideH w:val="none" w:color="auto" w:sz="4" w:space="0"/>
                  <w:insideV w:val="none" w:color="auto" w:sz="4" w:space="0"/>
                </w:tblBorders>
                <w:tblCellMar>
                  <w:top w:w="15" w:type="dxa"/>
                  <w:left w:w="15" w:type="dxa"/>
                  <w:bottom w:w="15" w:type="dxa"/>
                  <w:right w:w="15" w:type="dxa"/>
                </w:tblCellMar>
              </w:tblPrEx>
              <w:trPr>
                <w:trHeight w:val="357" w:hRule="atLeast"/>
              </w:trPr>
              <w:tc>
                <w:tcPr>
                  <w:tcW w:w="293" w:type="pct"/>
                  <w:tcBorders>
                    <w:top w:val="single" w:color="auto" w:sz="4" w:space="0"/>
                    <w:bottom w:val="single" w:color="auto" w:sz="4" w:space="0"/>
                    <w:right w:val="single" w:color="auto" w:sz="4" w:space="0"/>
                  </w:tcBorders>
                  <w:vAlign w:val="center"/>
                </w:tcPr>
                <w:p>
                  <w:pPr>
                    <w:pStyle w:val="84"/>
                  </w:pPr>
                  <w:r>
                    <w:rPr>
                      <w:rFonts w:hint="eastAsia"/>
                    </w:rPr>
                    <w:t>12</w:t>
                  </w:r>
                </w:p>
              </w:tc>
              <w:tc>
                <w:tcPr>
                  <w:tcW w:w="672" w:type="pct"/>
                  <w:tcBorders>
                    <w:top w:val="single" w:color="auto" w:sz="4" w:space="0"/>
                    <w:left w:val="nil"/>
                    <w:bottom w:val="single" w:color="auto" w:sz="4" w:space="0"/>
                    <w:right w:val="single" w:color="auto" w:sz="4" w:space="0"/>
                  </w:tcBorders>
                  <w:vAlign w:val="top"/>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eastAsia"/>
                      <w:lang w:eastAsia="zh-CN"/>
                    </w:rPr>
                    <w:t>振动筛</w:t>
                  </w:r>
                </w:p>
              </w:tc>
              <w:tc>
                <w:tcPr>
                  <w:tcW w:w="1051" w:type="pct"/>
                  <w:tcBorders>
                    <w:top w:val="single" w:color="auto" w:sz="4" w:space="0"/>
                    <w:left w:val="nil"/>
                    <w:bottom w:val="single" w:color="auto" w:sz="4" w:space="0"/>
                    <w:right w:val="single" w:color="auto" w:sz="4" w:space="0"/>
                  </w:tcBorders>
                  <w:vAlign w:val="top"/>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eastAsia"/>
                      <w:lang w:val="en-US" w:eastAsia="zh-CN"/>
                    </w:rPr>
                    <w:t>0</w:t>
                  </w:r>
                </w:p>
              </w:tc>
              <w:tc>
                <w:tcPr>
                  <w:tcW w:w="908" w:type="pct"/>
                  <w:tcBorders>
                    <w:top w:val="single" w:color="auto" w:sz="4" w:space="0"/>
                    <w:left w:val="nil"/>
                    <w:bottom w:val="single" w:color="auto" w:sz="4" w:space="0"/>
                    <w:right w:val="single" w:color="auto" w:sz="4" w:space="0"/>
                  </w:tcBorders>
                  <w:vAlign w:val="top"/>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lang w:val="en-US" w:eastAsia="zh-CN"/>
                    </w:rPr>
                  </w:pPr>
                  <w:r>
                    <w:rPr>
                      <w:rFonts w:hint="eastAsia"/>
                      <w:lang w:val="en-US" w:eastAsia="zh-CN"/>
                    </w:rPr>
                    <w:t>2</w:t>
                  </w:r>
                </w:p>
              </w:tc>
              <w:tc>
                <w:tcPr>
                  <w:tcW w:w="589"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textAlignment w:val="center"/>
                    <w:rPr>
                      <w:rFonts w:hint="default" w:eastAsia="宋体"/>
                      <w:lang w:val="en-US" w:eastAsia="zh-CN"/>
                    </w:rPr>
                  </w:pPr>
                  <w:r>
                    <w:rPr>
                      <w:rFonts w:hint="eastAsia"/>
                      <w:lang w:val="en-US" w:eastAsia="zh-CN"/>
                    </w:rPr>
                    <w:t>+2</w:t>
                  </w:r>
                </w:p>
              </w:tc>
              <w:tc>
                <w:tcPr>
                  <w:tcW w:w="1055"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textAlignment w:val="center"/>
                  </w:pPr>
                  <w:r>
                    <w:rPr>
                      <w:rFonts w:hint="eastAsia"/>
                    </w:rPr>
                    <w:t>/</w:t>
                  </w:r>
                </w:p>
              </w:tc>
              <w:tc>
                <w:tcPr>
                  <w:tcW w:w="428" w:type="pct"/>
                  <w:vMerge w:val="continue"/>
                  <w:tcBorders>
                    <w:left w:val="nil"/>
                  </w:tcBorders>
                  <w:vAlign w:val="center"/>
                </w:tcPr>
                <w:p>
                  <w:pPr>
                    <w:widowControl/>
                    <w:autoSpaceDE w:val="0"/>
                    <w:spacing w:line="340" w:lineRule="exact"/>
                    <w:jc w:val="center"/>
                    <w:textAlignment w:val="center"/>
                    <w:rPr>
                      <w:rFonts w:hint="eastAsia"/>
                    </w:rPr>
                  </w:pPr>
                </w:p>
              </w:tc>
            </w:tr>
            <w:tr>
              <w:tblPrEx>
                <w:tblBorders>
                  <w:top w:val="none" w:color="auto" w:sz="4" w:space="0"/>
                  <w:left w:val="none" w:color="auto" w:sz="0" w:space="0"/>
                  <w:bottom w:val="none" w:color="auto" w:sz="4" w:space="0"/>
                  <w:right w:val="none" w:color="auto" w:sz="0" w:space="0"/>
                  <w:insideH w:val="none" w:color="auto" w:sz="4" w:space="0"/>
                  <w:insideV w:val="none" w:color="auto" w:sz="4" w:space="0"/>
                </w:tblBorders>
                <w:tblCellMar>
                  <w:top w:w="15" w:type="dxa"/>
                  <w:left w:w="15" w:type="dxa"/>
                  <w:bottom w:w="15" w:type="dxa"/>
                  <w:right w:w="15" w:type="dxa"/>
                </w:tblCellMar>
              </w:tblPrEx>
              <w:trPr>
                <w:trHeight w:val="357" w:hRule="atLeast"/>
              </w:trPr>
              <w:tc>
                <w:tcPr>
                  <w:tcW w:w="293" w:type="pct"/>
                  <w:tcBorders>
                    <w:top w:val="single" w:color="auto" w:sz="4" w:space="0"/>
                    <w:bottom w:val="single" w:color="auto" w:sz="4" w:space="0"/>
                    <w:right w:val="single" w:color="auto" w:sz="4" w:space="0"/>
                  </w:tcBorders>
                  <w:vAlign w:val="center"/>
                </w:tcPr>
                <w:p>
                  <w:pPr>
                    <w:pStyle w:val="84"/>
                  </w:pPr>
                  <w:r>
                    <w:rPr>
                      <w:rFonts w:hint="eastAsia"/>
                    </w:rPr>
                    <w:t>13</w:t>
                  </w:r>
                </w:p>
              </w:tc>
              <w:tc>
                <w:tcPr>
                  <w:tcW w:w="672" w:type="pct"/>
                  <w:tcBorders>
                    <w:top w:val="single" w:color="auto" w:sz="4" w:space="0"/>
                    <w:left w:val="nil"/>
                    <w:bottom w:val="single" w:color="auto" w:sz="4" w:space="0"/>
                    <w:right w:val="single" w:color="auto" w:sz="4" w:space="0"/>
                  </w:tcBorders>
                  <w:vAlign w:val="top"/>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eastAsia"/>
                      <w:lang w:eastAsia="zh-CN"/>
                    </w:rPr>
                    <w:t>制砂机</w:t>
                  </w:r>
                </w:p>
              </w:tc>
              <w:tc>
                <w:tcPr>
                  <w:tcW w:w="1051" w:type="pct"/>
                  <w:tcBorders>
                    <w:top w:val="single" w:color="auto" w:sz="4" w:space="0"/>
                    <w:left w:val="nil"/>
                    <w:bottom w:val="single" w:color="auto" w:sz="4" w:space="0"/>
                    <w:right w:val="single" w:color="auto" w:sz="4" w:space="0"/>
                  </w:tcBorders>
                  <w:vAlign w:val="top"/>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eastAsia"/>
                      <w:lang w:val="en-US" w:eastAsia="zh-CN"/>
                    </w:rPr>
                    <w:t>0</w:t>
                  </w:r>
                </w:p>
              </w:tc>
              <w:tc>
                <w:tcPr>
                  <w:tcW w:w="908" w:type="pct"/>
                  <w:tcBorders>
                    <w:top w:val="single" w:color="auto" w:sz="4" w:space="0"/>
                    <w:left w:val="nil"/>
                    <w:bottom w:val="single" w:color="auto" w:sz="4" w:space="0"/>
                    <w:right w:val="single" w:color="auto" w:sz="4" w:space="0"/>
                  </w:tcBorders>
                  <w:vAlign w:val="top"/>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lang w:val="en-US" w:eastAsia="zh-CN"/>
                    </w:rPr>
                  </w:pPr>
                  <w:r>
                    <w:rPr>
                      <w:rFonts w:hint="eastAsia"/>
                      <w:lang w:val="en-US" w:eastAsia="zh-CN"/>
                    </w:rPr>
                    <w:t>2（一用一备）</w:t>
                  </w:r>
                </w:p>
              </w:tc>
              <w:tc>
                <w:tcPr>
                  <w:tcW w:w="589"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textAlignment w:val="center"/>
                    <w:rPr>
                      <w:rFonts w:hint="default" w:eastAsia="宋体"/>
                      <w:lang w:val="en-US" w:eastAsia="zh-CN"/>
                    </w:rPr>
                  </w:pPr>
                  <w:r>
                    <w:rPr>
                      <w:rFonts w:hint="eastAsia"/>
                      <w:lang w:val="en-US" w:eastAsia="zh-CN"/>
                    </w:rPr>
                    <w:t>+2</w:t>
                  </w:r>
                </w:p>
              </w:tc>
              <w:tc>
                <w:tcPr>
                  <w:tcW w:w="1055"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textAlignment w:val="center"/>
                  </w:pPr>
                  <w:r>
                    <w:rPr>
                      <w:rFonts w:hint="eastAsia"/>
                    </w:rPr>
                    <w:t>/</w:t>
                  </w:r>
                </w:p>
              </w:tc>
              <w:tc>
                <w:tcPr>
                  <w:tcW w:w="428" w:type="pct"/>
                  <w:vMerge w:val="continue"/>
                  <w:tcBorders>
                    <w:left w:val="nil"/>
                  </w:tcBorders>
                  <w:vAlign w:val="center"/>
                </w:tcPr>
                <w:p>
                  <w:pPr>
                    <w:widowControl/>
                    <w:autoSpaceDE w:val="0"/>
                    <w:spacing w:line="340" w:lineRule="exact"/>
                    <w:jc w:val="center"/>
                    <w:textAlignment w:val="center"/>
                    <w:rPr>
                      <w:rFonts w:hint="eastAsia"/>
                    </w:rPr>
                  </w:pPr>
                </w:p>
              </w:tc>
            </w:tr>
            <w:tr>
              <w:tblPrEx>
                <w:tblBorders>
                  <w:top w:val="none" w:color="auto" w:sz="4" w:space="0"/>
                  <w:left w:val="none" w:color="auto" w:sz="0" w:space="0"/>
                  <w:bottom w:val="none" w:color="auto" w:sz="4" w:space="0"/>
                  <w:right w:val="none" w:color="auto" w:sz="0" w:space="0"/>
                  <w:insideH w:val="none" w:color="auto" w:sz="4" w:space="0"/>
                  <w:insideV w:val="none" w:color="auto" w:sz="4" w:space="0"/>
                </w:tblBorders>
                <w:tblCellMar>
                  <w:top w:w="15" w:type="dxa"/>
                  <w:left w:w="15" w:type="dxa"/>
                  <w:bottom w:w="15" w:type="dxa"/>
                  <w:right w:w="15" w:type="dxa"/>
                </w:tblCellMar>
              </w:tblPrEx>
              <w:trPr>
                <w:trHeight w:val="357" w:hRule="atLeast"/>
              </w:trPr>
              <w:tc>
                <w:tcPr>
                  <w:tcW w:w="293" w:type="pct"/>
                  <w:tcBorders>
                    <w:top w:val="single" w:color="auto" w:sz="4" w:space="0"/>
                    <w:bottom w:val="single" w:color="auto" w:sz="4" w:space="0"/>
                    <w:right w:val="single" w:color="auto" w:sz="4" w:space="0"/>
                  </w:tcBorders>
                  <w:vAlign w:val="center"/>
                </w:tcPr>
                <w:p>
                  <w:pPr>
                    <w:pStyle w:val="84"/>
                  </w:pPr>
                  <w:r>
                    <w:rPr>
                      <w:rFonts w:hint="eastAsia"/>
                    </w:rPr>
                    <w:t>14</w:t>
                  </w:r>
                </w:p>
              </w:tc>
              <w:tc>
                <w:tcPr>
                  <w:tcW w:w="672" w:type="pct"/>
                  <w:tcBorders>
                    <w:top w:val="single" w:color="auto" w:sz="4" w:space="0"/>
                    <w:left w:val="nil"/>
                    <w:bottom w:val="single" w:color="auto" w:sz="4" w:space="0"/>
                    <w:right w:val="single" w:color="auto" w:sz="4" w:space="0"/>
                  </w:tcBorders>
                  <w:vAlign w:val="top"/>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eastAsia"/>
                      <w:lang w:eastAsia="zh-CN"/>
                    </w:rPr>
                    <w:t>洗沙机</w:t>
                  </w:r>
                </w:p>
              </w:tc>
              <w:tc>
                <w:tcPr>
                  <w:tcW w:w="1051" w:type="pct"/>
                  <w:tcBorders>
                    <w:top w:val="single" w:color="auto" w:sz="4" w:space="0"/>
                    <w:left w:val="nil"/>
                    <w:bottom w:val="single" w:color="auto" w:sz="4" w:space="0"/>
                    <w:right w:val="single" w:color="auto" w:sz="4" w:space="0"/>
                  </w:tcBorders>
                  <w:vAlign w:val="top"/>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eastAsia"/>
                      <w:lang w:val="en-US" w:eastAsia="zh-CN"/>
                    </w:rPr>
                    <w:t>0</w:t>
                  </w:r>
                </w:p>
              </w:tc>
              <w:tc>
                <w:tcPr>
                  <w:tcW w:w="908" w:type="pct"/>
                  <w:tcBorders>
                    <w:top w:val="single" w:color="auto" w:sz="4" w:space="0"/>
                    <w:left w:val="nil"/>
                    <w:bottom w:val="single" w:color="auto" w:sz="4" w:space="0"/>
                    <w:right w:val="single" w:color="auto" w:sz="4" w:space="0"/>
                  </w:tcBorders>
                  <w:vAlign w:val="top"/>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lang w:val="en-US" w:eastAsia="zh-CN"/>
                    </w:rPr>
                  </w:pPr>
                  <w:r>
                    <w:rPr>
                      <w:rFonts w:hint="eastAsia"/>
                      <w:lang w:val="en-US" w:eastAsia="zh-CN"/>
                    </w:rPr>
                    <w:t>4</w:t>
                  </w:r>
                </w:p>
              </w:tc>
              <w:tc>
                <w:tcPr>
                  <w:tcW w:w="589"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textAlignment w:val="center"/>
                    <w:rPr>
                      <w:rFonts w:hint="default" w:eastAsia="宋体"/>
                      <w:lang w:val="en-US" w:eastAsia="zh-CN"/>
                    </w:rPr>
                  </w:pPr>
                  <w:r>
                    <w:rPr>
                      <w:rFonts w:hint="eastAsia"/>
                      <w:lang w:val="en-US" w:eastAsia="zh-CN"/>
                    </w:rPr>
                    <w:t>+4</w:t>
                  </w:r>
                </w:p>
              </w:tc>
              <w:tc>
                <w:tcPr>
                  <w:tcW w:w="1055"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textAlignment w:val="center"/>
                  </w:pPr>
                  <w:r>
                    <w:rPr>
                      <w:rFonts w:hint="eastAsia"/>
                    </w:rPr>
                    <w:t>/</w:t>
                  </w:r>
                </w:p>
              </w:tc>
              <w:tc>
                <w:tcPr>
                  <w:tcW w:w="428" w:type="pct"/>
                  <w:vMerge w:val="continue"/>
                  <w:tcBorders>
                    <w:left w:val="nil"/>
                  </w:tcBorders>
                  <w:vAlign w:val="center"/>
                </w:tcPr>
                <w:p>
                  <w:pPr>
                    <w:widowControl/>
                    <w:autoSpaceDE w:val="0"/>
                    <w:spacing w:line="340" w:lineRule="exact"/>
                    <w:jc w:val="center"/>
                    <w:textAlignment w:val="center"/>
                    <w:rPr>
                      <w:rFonts w:hint="eastAsia"/>
                    </w:rPr>
                  </w:pPr>
                </w:p>
              </w:tc>
            </w:tr>
            <w:tr>
              <w:tblPrEx>
                <w:tblBorders>
                  <w:top w:val="none" w:color="auto" w:sz="4" w:space="0"/>
                  <w:left w:val="none" w:color="auto" w:sz="0" w:space="0"/>
                  <w:bottom w:val="none" w:color="auto" w:sz="4" w:space="0"/>
                  <w:right w:val="none" w:color="auto" w:sz="0" w:space="0"/>
                  <w:insideH w:val="none" w:color="auto" w:sz="4" w:space="0"/>
                  <w:insideV w:val="none" w:color="auto" w:sz="4" w:space="0"/>
                </w:tblBorders>
                <w:tblCellMar>
                  <w:top w:w="15" w:type="dxa"/>
                  <w:left w:w="15" w:type="dxa"/>
                  <w:bottom w:w="15" w:type="dxa"/>
                  <w:right w:w="15" w:type="dxa"/>
                </w:tblCellMar>
              </w:tblPrEx>
              <w:trPr>
                <w:trHeight w:val="357" w:hRule="atLeast"/>
              </w:trPr>
              <w:tc>
                <w:tcPr>
                  <w:tcW w:w="293" w:type="pct"/>
                  <w:tcBorders>
                    <w:top w:val="single" w:color="auto" w:sz="4" w:space="0"/>
                    <w:bottom w:val="single" w:color="auto" w:sz="4" w:space="0"/>
                    <w:right w:val="single" w:color="auto" w:sz="4" w:space="0"/>
                  </w:tcBorders>
                  <w:vAlign w:val="center"/>
                </w:tcPr>
                <w:p>
                  <w:pPr>
                    <w:pStyle w:val="84"/>
                  </w:pPr>
                  <w:r>
                    <w:rPr>
                      <w:rFonts w:hint="eastAsia"/>
                    </w:rPr>
                    <w:t>15</w:t>
                  </w:r>
                </w:p>
              </w:tc>
              <w:tc>
                <w:tcPr>
                  <w:tcW w:w="672" w:type="pct"/>
                  <w:tcBorders>
                    <w:top w:val="single" w:color="auto" w:sz="4" w:space="0"/>
                    <w:left w:val="nil"/>
                    <w:bottom w:val="single" w:color="auto" w:sz="4" w:space="0"/>
                    <w:right w:val="single" w:color="auto" w:sz="4" w:space="0"/>
                  </w:tcBorders>
                  <w:vAlign w:val="top"/>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eastAsia"/>
                      <w:lang w:eastAsia="zh-CN"/>
                    </w:rPr>
                    <w:t>脱水机</w:t>
                  </w:r>
                </w:p>
              </w:tc>
              <w:tc>
                <w:tcPr>
                  <w:tcW w:w="1051" w:type="pct"/>
                  <w:tcBorders>
                    <w:top w:val="single" w:color="auto" w:sz="4" w:space="0"/>
                    <w:left w:val="nil"/>
                    <w:bottom w:val="single" w:color="auto" w:sz="4" w:space="0"/>
                    <w:right w:val="single" w:color="auto" w:sz="4" w:space="0"/>
                  </w:tcBorders>
                  <w:vAlign w:val="top"/>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eastAsia"/>
                      <w:lang w:val="en-US" w:eastAsia="zh-CN"/>
                    </w:rPr>
                    <w:t>0</w:t>
                  </w:r>
                </w:p>
              </w:tc>
              <w:tc>
                <w:tcPr>
                  <w:tcW w:w="908" w:type="pct"/>
                  <w:tcBorders>
                    <w:top w:val="single" w:color="auto" w:sz="4" w:space="0"/>
                    <w:left w:val="nil"/>
                    <w:bottom w:val="single" w:color="auto" w:sz="4" w:space="0"/>
                    <w:right w:val="single" w:color="auto" w:sz="4" w:space="0"/>
                  </w:tcBorders>
                  <w:vAlign w:val="top"/>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lang w:val="en-US" w:eastAsia="zh-CN"/>
                    </w:rPr>
                  </w:pPr>
                  <w:r>
                    <w:rPr>
                      <w:rFonts w:hint="eastAsia"/>
                      <w:lang w:val="en-US" w:eastAsia="zh-CN"/>
                    </w:rPr>
                    <w:t>2</w:t>
                  </w:r>
                </w:p>
              </w:tc>
              <w:tc>
                <w:tcPr>
                  <w:tcW w:w="589"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textAlignment w:val="center"/>
                    <w:rPr>
                      <w:rFonts w:hint="default" w:eastAsia="宋体"/>
                      <w:lang w:val="en-US" w:eastAsia="zh-CN"/>
                    </w:rPr>
                  </w:pPr>
                  <w:r>
                    <w:rPr>
                      <w:rFonts w:hint="eastAsia"/>
                      <w:lang w:val="en-US" w:eastAsia="zh-CN"/>
                    </w:rPr>
                    <w:t>+2</w:t>
                  </w:r>
                </w:p>
              </w:tc>
              <w:tc>
                <w:tcPr>
                  <w:tcW w:w="1055"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textAlignment w:val="center"/>
                  </w:pPr>
                  <w:r>
                    <w:rPr>
                      <w:rFonts w:hint="eastAsia"/>
                    </w:rPr>
                    <w:t>/</w:t>
                  </w:r>
                </w:p>
              </w:tc>
              <w:tc>
                <w:tcPr>
                  <w:tcW w:w="428" w:type="pct"/>
                  <w:vMerge w:val="continue"/>
                  <w:tcBorders>
                    <w:left w:val="nil"/>
                  </w:tcBorders>
                  <w:vAlign w:val="center"/>
                </w:tcPr>
                <w:p>
                  <w:pPr>
                    <w:widowControl/>
                    <w:autoSpaceDE w:val="0"/>
                    <w:spacing w:line="340" w:lineRule="exact"/>
                    <w:jc w:val="center"/>
                    <w:textAlignment w:val="center"/>
                    <w:rPr>
                      <w:rFonts w:hint="eastAsia"/>
                    </w:rPr>
                  </w:pPr>
                </w:p>
              </w:tc>
            </w:tr>
            <w:tr>
              <w:tblPrEx>
                <w:tblBorders>
                  <w:top w:val="none" w:color="auto" w:sz="4" w:space="0"/>
                  <w:left w:val="none" w:color="auto" w:sz="0" w:space="0"/>
                  <w:bottom w:val="none" w:color="auto" w:sz="4" w:space="0"/>
                  <w:right w:val="none" w:color="auto" w:sz="0" w:space="0"/>
                  <w:insideH w:val="none" w:color="auto" w:sz="4" w:space="0"/>
                  <w:insideV w:val="none" w:color="auto" w:sz="4" w:space="0"/>
                </w:tblBorders>
                <w:tblCellMar>
                  <w:top w:w="15" w:type="dxa"/>
                  <w:left w:w="15" w:type="dxa"/>
                  <w:bottom w:w="15" w:type="dxa"/>
                  <w:right w:w="15" w:type="dxa"/>
                </w:tblCellMar>
              </w:tblPrEx>
              <w:trPr>
                <w:trHeight w:val="379" w:hRule="atLeast"/>
              </w:trPr>
              <w:tc>
                <w:tcPr>
                  <w:tcW w:w="293" w:type="pct"/>
                  <w:tcBorders>
                    <w:top w:val="single" w:color="auto" w:sz="4" w:space="0"/>
                    <w:bottom w:val="single" w:color="auto" w:sz="4" w:space="0"/>
                    <w:right w:val="single" w:color="auto" w:sz="4" w:space="0"/>
                  </w:tcBorders>
                  <w:vAlign w:val="center"/>
                </w:tcPr>
                <w:p>
                  <w:pPr>
                    <w:pStyle w:val="84"/>
                    <w:rPr>
                      <w:rFonts w:hint="eastAsia" w:eastAsia="宋体"/>
                      <w:lang w:eastAsia="zh-CN"/>
                    </w:rPr>
                  </w:pPr>
                  <w:r>
                    <w:rPr>
                      <w:rFonts w:hint="eastAsia"/>
                    </w:rPr>
                    <w:t>1</w:t>
                  </w:r>
                  <w:r>
                    <w:rPr>
                      <w:rFonts w:hint="eastAsia"/>
                      <w:lang w:val="en-US" w:eastAsia="zh-CN"/>
                    </w:rPr>
                    <w:t>6</w:t>
                  </w:r>
                </w:p>
              </w:tc>
              <w:tc>
                <w:tcPr>
                  <w:tcW w:w="672" w:type="pct"/>
                  <w:tcBorders>
                    <w:top w:val="single" w:color="auto" w:sz="4" w:space="0"/>
                    <w:left w:val="nil"/>
                    <w:bottom w:val="single" w:color="auto" w:sz="4" w:space="0"/>
                    <w:right w:val="single" w:color="auto" w:sz="4" w:space="0"/>
                  </w:tcBorders>
                  <w:vAlign w:val="top"/>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eastAsia"/>
                      <w:lang w:eastAsia="zh-CN"/>
                    </w:rPr>
                    <w:t>皮带输送机</w:t>
                  </w:r>
                </w:p>
              </w:tc>
              <w:tc>
                <w:tcPr>
                  <w:tcW w:w="1051" w:type="pct"/>
                  <w:tcBorders>
                    <w:top w:val="single" w:color="auto" w:sz="4" w:space="0"/>
                    <w:left w:val="nil"/>
                    <w:bottom w:val="single" w:color="auto" w:sz="4" w:space="0"/>
                    <w:right w:val="single" w:color="auto" w:sz="4" w:space="0"/>
                  </w:tcBorders>
                  <w:vAlign w:val="top"/>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eastAsia"/>
                      <w:lang w:val="en-US" w:eastAsia="zh-CN"/>
                    </w:rPr>
                    <w:t>0</w:t>
                  </w:r>
                </w:p>
              </w:tc>
              <w:tc>
                <w:tcPr>
                  <w:tcW w:w="908" w:type="pct"/>
                  <w:tcBorders>
                    <w:top w:val="single" w:color="auto" w:sz="4" w:space="0"/>
                    <w:left w:val="nil"/>
                    <w:bottom w:val="single" w:color="auto" w:sz="4" w:space="0"/>
                    <w:right w:val="single" w:color="auto" w:sz="4" w:space="0"/>
                  </w:tcBorders>
                  <w:vAlign w:val="top"/>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lang w:val="en-US" w:eastAsia="zh-CN"/>
                    </w:rPr>
                  </w:pPr>
                  <w:r>
                    <w:rPr>
                      <w:rFonts w:hint="eastAsia"/>
                      <w:lang w:val="en-US" w:eastAsia="zh-CN"/>
                    </w:rPr>
                    <w:t>12</w:t>
                  </w:r>
                </w:p>
              </w:tc>
              <w:tc>
                <w:tcPr>
                  <w:tcW w:w="589"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textAlignment w:val="center"/>
                    <w:rPr>
                      <w:rFonts w:hint="default" w:eastAsia="宋体"/>
                      <w:lang w:val="en-US" w:eastAsia="zh-CN"/>
                    </w:rPr>
                  </w:pPr>
                  <w:r>
                    <w:rPr>
                      <w:rFonts w:hint="eastAsia"/>
                      <w:lang w:val="en-US" w:eastAsia="zh-CN"/>
                    </w:rPr>
                    <w:t>+12</w:t>
                  </w:r>
                </w:p>
              </w:tc>
              <w:tc>
                <w:tcPr>
                  <w:tcW w:w="1055"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textAlignment w:val="center"/>
                  </w:pPr>
                  <w:r>
                    <w:rPr>
                      <w:rFonts w:hint="eastAsia"/>
                    </w:rPr>
                    <w:t>/</w:t>
                  </w:r>
                </w:p>
              </w:tc>
              <w:tc>
                <w:tcPr>
                  <w:tcW w:w="428" w:type="pct"/>
                  <w:vMerge w:val="continue"/>
                  <w:tcBorders>
                    <w:left w:val="nil"/>
                    <w:bottom w:val="single" w:color="auto" w:sz="4" w:space="0"/>
                  </w:tcBorders>
                  <w:vAlign w:val="center"/>
                </w:tcPr>
                <w:p>
                  <w:pPr>
                    <w:widowControl/>
                    <w:autoSpaceDE w:val="0"/>
                    <w:spacing w:line="340" w:lineRule="exact"/>
                    <w:jc w:val="center"/>
                    <w:textAlignment w:val="center"/>
                    <w:rPr>
                      <w:rFonts w:hint="eastAsia"/>
                    </w:rPr>
                  </w:pPr>
                </w:p>
              </w:tc>
            </w:tr>
          </w:tbl>
          <w:p>
            <w:pPr>
              <w:adjustRightInd w:val="0"/>
              <w:spacing w:line="360" w:lineRule="auto"/>
              <w:ind w:firstLine="480" w:firstLineChars="200"/>
              <w:rPr>
                <w:rFonts w:hint="eastAsia" w:ascii="Times New Roman" w:hAnsi="Times New Roman" w:eastAsia="宋体" w:cs="Times New Roman"/>
                <w:kern w:val="0"/>
                <w:sz w:val="24"/>
                <w:szCs w:val="20"/>
                <w:lang w:val="en-US" w:eastAsia="zh-CN" w:bidi="ar-SA"/>
              </w:rPr>
            </w:pPr>
            <w:r>
              <w:rPr>
                <w:rFonts w:hint="eastAsia" w:ascii="Times New Roman" w:hAnsi="Times New Roman" w:eastAsia="宋体" w:cs="Times New Roman"/>
                <w:kern w:val="0"/>
                <w:sz w:val="24"/>
                <w:szCs w:val="20"/>
                <w:lang w:val="en-US" w:eastAsia="zh-CN" w:bidi="ar-SA"/>
              </w:rPr>
              <w:t>6、主要原辅材料及能源消耗情况</w:t>
            </w:r>
          </w:p>
          <w:p>
            <w:pPr>
              <w:spacing w:line="440" w:lineRule="exact"/>
              <w:jc w:val="center"/>
              <w:rPr>
                <w:rFonts w:hint="eastAsia" w:ascii="Times New Roman" w:hAnsi="Times New Roman" w:eastAsia="宋体" w:cs="Times New Roman"/>
                <w:b/>
                <w:bCs/>
                <w:kern w:val="0"/>
                <w:sz w:val="24"/>
                <w:szCs w:val="20"/>
                <w:lang w:val="en-US" w:eastAsia="zh-CN" w:bidi="ar-SA"/>
              </w:rPr>
            </w:pPr>
            <w:r>
              <w:rPr>
                <w:rFonts w:hint="eastAsia" w:ascii="Times New Roman" w:hAnsi="Times New Roman" w:eastAsia="宋体" w:cs="Times New Roman"/>
                <w:b/>
                <w:bCs/>
                <w:kern w:val="0"/>
                <w:sz w:val="24"/>
                <w:szCs w:val="20"/>
                <w:lang w:val="en-US" w:eastAsia="zh-CN" w:bidi="ar-SA"/>
              </w:rPr>
              <w:t>表2-6   项目主要原辅材料和资源、能源消耗一览表</w:t>
            </w:r>
          </w:p>
          <w:tbl>
            <w:tblPr>
              <w:tblStyle w:val="26"/>
              <w:tblW w:w="7555"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32"/>
              <w:gridCol w:w="948"/>
              <w:gridCol w:w="585"/>
              <w:gridCol w:w="675"/>
              <w:gridCol w:w="1095"/>
              <w:gridCol w:w="1125"/>
              <w:gridCol w:w="1200"/>
              <w:gridCol w:w="1595"/>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1059" w:hRule="atLeast"/>
                <w:jc w:val="center"/>
              </w:trPr>
              <w:tc>
                <w:tcPr>
                  <w:tcW w:w="219" w:type="pct"/>
                  <w:tcBorders>
                    <w:top w:val="single" w:color="auto" w:sz="4" w:space="0"/>
                    <w:bottom w:val="single" w:color="auto" w:sz="4" w:space="0"/>
                    <w:right w:val="single" w:color="auto" w:sz="4" w:space="0"/>
                  </w:tcBorders>
                  <w:vAlign w:val="center"/>
                </w:tcPr>
                <w:p>
                  <w:pPr>
                    <w:widowControl/>
                    <w:autoSpaceDE w:val="0"/>
                    <w:spacing w:line="340" w:lineRule="exact"/>
                    <w:jc w:val="center"/>
                    <w:rPr>
                      <w:b/>
                      <w:bCs/>
                    </w:rPr>
                  </w:pPr>
                  <w:r>
                    <w:rPr>
                      <w:rFonts w:hint="eastAsia"/>
                      <w:b/>
                      <w:bCs/>
                    </w:rPr>
                    <w:t>类别</w:t>
                  </w:r>
                </w:p>
              </w:tc>
              <w:tc>
                <w:tcPr>
                  <w:tcW w:w="627"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b/>
                      <w:bCs/>
                    </w:rPr>
                  </w:pPr>
                  <w:r>
                    <w:rPr>
                      <w:rFonts w:hint="eastAsia"/>
                      <w:b/>
                      <w:bCs/>
                    </w:rPr>
                    <w:t>名称</w:t>
                  </w:r>
                </w:p>
              </w:tc>
              <w:tc>
                <w:tcPr>
                  <w:tcW w:w="387"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b/>
                      <w:bCs/>
                    </w:rPr>
                  </w:pPr>
                  <w:r>
                    <w:rPr>
                      <w:rFonts w:hint="eastAsia"/>
                      <w:b/>
                      <w:bCs/>
                    </w:rPr>
                    <w:t>单位</w:t>
                  </w:r>
                </w:p>
              </w:tc>
              <w:tc>
                <w:tcPr>
                  <w:tcW w:w="446" w:type="pct"/>
                  <w:tcBorders>
                    <w:top w:val="single" w:color="auto" w:sz="4" w:space="0"/>
                    <w:left w:val="nil"/>
                    <w:bottom w:val="single" w:color="auto" w:sz="4" w:space="0"/>
                    <w:right w:val="single" w:color="auto" w:sz="4" w:space="0"/>
                  </w:tcBorders>
                  <w:vAlign w:val="center"/>
                </w:tcPr>
                <w:p>
                  <w:pPr>
                    <w:autoSpaceDE w:val="0"/>
                    <w:spacing w:line="340" w:lineRule="exact"/>
                    <w:jc w:val="center"/>
                    <w:rPr>
                      <w:rFonts w:hint="default"/>
                      <w:b/>
                      <w:bCs/>
                      <w:lang w:val="en-US" w:eastAsia="zh-CN"/>
                    </w:rPr>
                  </w:pPr>
                  <w:r>
                    <w:rPr>
                      <w:rFonts w:hint="eastAsia"/>
                      <w:b/>
                      <w:bCs/>
                      <w:lang w:val="en-US" w:eastAsia="zh-CN"/>
                    </w:rPr>
                    <w:t>储存方式</w:t>
                  </w:r>
                </w:p>
              </w:tc>
              <w:tc>
                <w:tcPr>
                  <w:tcW w:w="724" w:type="pct"/>
                  <w:tcBorders>
                    <w:top w:val="single" w:color="auto" w:sz="4" w:space="0"/>
                    <w:left w:val="nil"/>
                    <w:bottom w:val="single" w:color="auto" w:sz="4" w:space="0"/>
                    <w:right w:val="single" w:color="auto" w:sz="4" w:space="0"/>
                  </w:tcBorders>
                  <w:vAlign w:val="center"/>
                </w:tcPr>
                <w:p>
                  <w:pPr>
                    <w:autoSpaceDE w:val="0"/>
                    <w:spacing w:line="340" w:lineRule="exact"/>
                    <w:jc w:val="center"/>
                    <w:rPr>
                      <w:b/>
                      <w:bCs/>
                    </w:rPr>
                  </w:pPr>
                  <w:r>
                    <w:rPr>
                      <w:rFonts w:hint="eastAsia"/>
                      <w:b/>
                      <w:bCs/>
                    </w:rPr>
                    <w:t>改扩建前年用量</w:t>
                  </w:r>
                </w:p>
              </w:tc>
              <w:tc>
                <w:tcPr>
                  <w:tcW w:w="744" w:type="pct"/>
                  <w:tcBorders>
                    <w:top w:val="single" w:color="auto" w:sz="4" w:space="0"/>
                    <w:left w:val="nil"/>
                    <w:bottom w:val="single" w:color="auto" w:sz="4" w:space="0"/>
                    <w:right w:val="single" w:color="auto" w:sz="4" w:space="0"/>
                  </w:tcBorders>
                  <w:vAlign w:val="center"/>
                </w:tcPr>
                <w:p>
                  <w:pPr>
                    <w:autoSpaceDE w:val="0"/>
                    <w:spacing w:line="340" w:lineRule="exact"/>
                    <w:jc w:val="center"/>
                    <w:rPr>
                      <w:b/>
                      <w:bCs/>
                    </w:rPr>
                  </w:pPr>
                  <w:r>
                    <w:rPr>
                      <w:rFonts w:hint="eastAsia"/>
                      <w:b/>
                      <w:bCs/>
                    </w:rPr>
                    <w:t>改扩建后年用量</w:t>
                  </w:r>
                </w:p>
              </w:tc>
              <w:tc>
                <w:tcPr>
                  <w:tcW w:w="794"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textAlignment w:val="center"/>
                    <w:rPr>
                      <w:rFonts w:hint="eastAsia" w:ascii="Times New Roman" w:hAnsi="Times New Roman" w:eastAsia="宋体" w:cs="Times New Roman"/>
                      <w:b/>
                      <w:bCs/>
                      <w:kern w:val="2"/>
                      <w:sz w:val="21"/>
                      <w:szCs w:val="24"/>
                      <w:lang w:val="en-US" w:eastAsia="zh-CN" w:bidi="ar-SA"/>
                    </w:rPr>
                  </w:pPr>
                  <w:r>
                    <w:rPr>
                      <w:rFonts w:hint="eastAsia"/>
                      <w:b/>
                      <w:bCs/>
                      <w:lang w:val="en-US" w:eastAsia="zh-CN"/>
                    </w:rPr>
                    <w:t>增减量</w:t>
                  </w:r>
                </w:p>
              </w:tc>
              <w:tc>
                <w:tcPr>
                  <w:tcW w:w="1055" w:type="pct"/>
                  <w:tcBorders>
                    <w:top w:val="single" w:color="auto" w:sz="4" w:space="0"/>
                    <w:left w:val="nil"/>
                    <w:bottom w:val="single" w:color="auto" w:sz="4" w:space="0"/>
                  </w:tcBorders>
                  <w:vAlign w:val="center"/>
                </w:tcPr>
                <w:p>
                  <w:pPr>
                    <w:autoSpaceDE w:val="0"/>
                    <w:spacing w:line="340" w:lineRule="exact"/>
                    <w:jc w:val="center"/>
                    <w:rPr>
                      <w:b/>
                      <w:bCs/>
                    </w:rPr>
                  </w:pPr>
                  <w:r>
                    <w:rPr>
                      <w:rFonts w:hint="eastAsia"/>
                      <w:b/>
                      <w:bCs/>
                    </w:rPr>
                    <w:t>备注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1739" w:hRule="atLeast"/>
                <w:jc w:val="center"/>
              </w:trPr>
              <w:tc>
                <w:tcPr>
                  <w:tcW w:w="219" w:type="pct"/>
                  <w:tcBorders>
                    <w:top w:val="single" w:color="auto" w:sz="4" w:space="0"/>
                    <w:bottom w:val="single" w:color="auto" w:sz="4" w:space="0"/>
                    <w:right w:val="single" w:color="auto" w:sz="4" w:space="0"/>
                  </w:tcBorders>
                  <w:vAlign w:val="center"/>
                </w:tcPr>
                <w:p>
                  <w:pPr>
                    <w:widowControl/>
                    <w:autoSpaceDE w:val="0"/>
                    <w:spacing w:line="340" w:lineRule="exact"/>
                    <w:ind w:left="10" w:hanging="10" w:hangingChars="5"/>
                    <w:jc w:val="center"/>
                  </w:pPr>
                  <w:r>
                    <w:rPr>
                      <w:rFonts w:hint="eastAsia"/>
                    </w:rPr>
                    <w:t>1</w:t>
                  </w:r>
                </w:p>
              </w:tc>
              <w:tc>
                <w:tcPr>
                  <w:tcW w:w="627" w:type="pct"/>
                  <w:tcBorders>
                    <w:top w:val="single" w:color="auto" w:sz="4" w:space="0"/>
                    <w:left w:val="nil"/>
                    <w:bottom w:val="single" w:color="auto" w:sz="4" w:space="0"/>
                    <w:right w:val="single" w:color="auto" w:sz="4" w:space="0"/>
                  </w:tcBorders>
                  <w:vAlign w:val="center"/>
                </w:tcPr>
                <w:p>
                  <w:pPr>
                    <w:pStyle w:val="84"/>
                  </w:pPr>
                  <w:r>
                    <w:rPr>
                      <w:rFonts w:hint="default"/>
                      <w:lang w:val="en-US" w:eastAsia="zh-CN"/>
                    </w:rPr>
                    <w:t>江砂（含水率20%）</w:t>
                  </w:r>
                </w:p>
              </w:tc>
              <w:tc>
                <w:tcPr>
                  <w:tcW w:w="387" w:type="pct"/>
                  <w:tcBorders>
                    <w:top w:val="single" w:color="auto" w:sz="4" w:space="0"/>
                    <w:left w:val="nil"/>
                    <w:bottom w:val="single" w:color="auto" w:sz="4" w:space="0"/>
                    <w:right w:val="single" w:color="auto" w:sz="4" w:space="0"/>
                  </w:tcBorders>
                  <w:vAlign w:val="center"/>
                </w:tcPr>
                <w:p>
                  <w:pPr>
                    <w:autoSpaceDE w:val="0"/>
                    <w:spacing w:line="340" w:lineRule="exact"/>
                    <w:jc w:val="center"/>
                  </w:pPr>
                  <w:r>
                    <w:rPr>
                      <w:rFonts w:hint="eastAsia"/>
                    </w:rPr>
                    <w:t>吨</w:t>
                  </w:r>
                </w:p>
              </w:tc>
              <w:tc>
                <w:tcPr>
                  <w:tcW w:w="446" w:type="pct"/>
                  <w:tcBorders>
                    <w:top w:val="single" w:color="auto" w:sz="4" w:space="0"/>
                    <w:left w:val="nil"/>
                    <w:bottom w:val="single" w:color="auto" w:sz="4" w:space="0"/>
                    <w:right w:val="single" w:color="auto" w:sz="4" w:space="0"/>
                  </w:tcBorders>
                  <w:vAlign w:val="center"/>
                </w:tcPr>
                <w:p>
                  <w:pPr>
                    <w:pStyle w:val="84"/>
                    <w:rPr>
                      <w:rFonts w:hint="default"/>
                      <w:lang w:val="en-US" w:eastAsia="zh-CN"/>
                    </w:rPr>
                  </w:pPr>
                  <w:r>
                    <w:rPr>
                      <w:rFonts w:hint="eastAsia"/>
                      <w:lang w:val="en-US" w:eastAsia="zh-CN"/>
                    </w:rPr>
                    <w:t>/</w:t>
                  </w:r>
                </w:p>
              </w:tc>
              <w:tc>
                <w:tcPr>
                  <w:tcW w:w="724" w:type="pct"/>
                  <w:tcBorders>
                    <w:top w:val="single" w:color="auto" w:sz="4" w:space="0"/>
                    <w:left w:val="nil"/>
                    <w:bottom w:val="single" w:color="auto" w:sz="4" w:space="0"/>
                    <w:right w:val="single" w:color="auto" w:sz="4" w:space="0"/>
                  </w:tcBorders>
                  <w:vAlign w:val="center"/>
                </w:tcPr>
                <w:p>
                  <w:pPr>
                    <w:pStyle w:val="84"/>
                  </w:pPr>
                  <w:r>
                    <w:rPr>
                      <w:rFonts w:hint="eastAsia"/>
                      <w:lang w:val="en-US" w:eastAsia="zh-CN"/>
                    </w:rPr>
                    <w:t>145090</w:t>
                  </w:r>
                </w:p>
              </w:tc>
              <w:tc>
                <w:tcPr>
                  <w:tcW w:w="744" w:type="pct"/>
                  <w:tcBorders>
                    <w:top w:val="single" w:color="auto" w:sz="4" w:space="0"/>
                    <w:left w:val="nil"/>
                    <w:bottom w:val="single" w:color="auto" w:sz="4" w:space="0"/>
                    <w:right w:val="single" w:color="auto" w:sz="4" w:space="0"/>
                  </w:tcBorders>
                  <w:vAlign w:val="center"/>
                </w:tcPr>
                <w:p>
                  <w:pPr>
                    <w:pStyle w:val="84"/>
                  </w:pPr>
                  <w:r>
                    <w:rPr>
                      <w:rFonts w:hint="eastAsia"/>
                      <w:lang w:val="en-US" w:eastAsia="zh-CN"/>
                    </w:rPr>
                    <w:t>15090</w:t>
                  </w:r>
                </w:p>
              </w:tc>
              <w:tc>
                <w:tcPr>
                  <w:tcW w:w="794"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kern w:val="2"/>
                      <w:sz w:val="21"/>
                      <w:szCs w:val="24"/>
                      <w:lang w:val="en-US" w:eastAsia="zh-CN" w:bidi="ar-SA"/>
                    </w:rPr>
                  </w:pPr>
                  <w:r>
                    <w:rPr>
                      <w:rFonts w:hint="eastAsia"/>
                      <w:lang w:val="en-US" w:eastAsia="zh-CN"/>
                    </w:rPr>
                    <w:t>-130000</w:t>
                  </w:r>
                </w:p>
              </w:tc>
              <w:tc>
                <w:tcPr>
                  <w:tcW w:w="1055" w:type="pct"/>
                  <w:tcBorders>
                    <w:top w:val="single" w:color="auto" w:sz="4" w:space="0"/>
                    <w:left w:val="nil"/>
                    <w:bottom w:val="single" w:color="auto" w:sz="4" w:space="0"/>
                  </w:tcBorders>
                  <w:vAlign w:val="center"/>
                </w:tcPr>
                <w:p>
                  <w:pPr>
                    <w:autoSpaceDE w:val="0"/>
                    <w:spacing w:line="340" w:lineRule="exact"/>
                    <w:jc w:val="center"/>
                    <w:rPr>
                      <w:rFonts w:hint="default"/>
                      <w:lang w:val="en-US" w:eastAsia="zh-CN"/>
                    </w:rPr>
                  </w:pPr>
                  <w:r>
                    <w:rPr>
                      <w:rFonts w:hint="eastAsia"/>
                    </w:rPr>
                    <w:t>外购、汽车运输</w:t>
                  </w:r>
                  <w:r>
                    <w:rPr>
                      <w:rFonts w:hint="eastAsia"/>
                      <w:lang w:eastAsia="zh-CN"/>
                    </w:rPr>
                    <w:t>。</w:t>
                  </w:r>
                  <w:r>
                    <w:rPr>
                      <w:rFonts w:hint="eastAsia"/>
                      <w:lang w:val="en-US" w:eastAsia="zh-CN"/>
                    </w:rPr>
                    <w:t>新建机制砂项目成品砂作为部分原料。只需再采购一小部分江砂</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719" w:hRule="atLeast"/>
                <w:jc w:val="center"/>
              </w:trPr>
              <w:tc>
                <w:tcPr>
                  <w:tcW w:w="219" w:type="pct"/>
                  <w:tcBorders>
                    <w:top w:val="single" w:color="auto" w:sz="4" w:space="0"/>
                    <w:bottom w:val="single" w:color="auto" w:sz="4" w:space="0"/>
                    <w:right w:val="single" w:color="auto" w:sz="4" w:space="0"/>
                  </w:tcBorders>
                  <w:vAlign w:val="center"/>
                </w:tcPr>
                <w:p>
                  <w:pPr>
                    <w:widowControl/>
                    <w:autoSpaceDE w:val="0"/>
                    <w:spacing w:line="340" w:lineRule="exact"/>
                    <w:ind w:left="10" w:hanging="10" w:hangingChars="5"/>
                    <w:jc w:val="center"/>
                  </w:pPr>
                  <w:r>
                    <w:rPr>
                      <w:rFonts w:hint="eastAsia"/>
                    </w:rPr>
                    <w:t>2</w:t>
                  </w:r>
                </w:p>
              </w:tc>
              <w:tc>
                <w:tcPr>
                  <w:tcW w:w="627" w:type="pct"/>
                  <w:tcBorders>
                    <w:top w:val="single" w:color="auto" w:sz="4" w:space="0"/>
                    <w:left w:val="nil"/>
                    <w:bottom w:val="single" w:color="auto" w:sz="4" w:space="0"/>
                    <w:right w:val="single" w:color="auto" w:sz="4" w:space="0"/>
                  </w:tcBorders>
                  <w:vAlign w:val="center"/>
                </w:tcPr>
                <w:p>
                  <w:pPr>
                    <w:adjustRightInd w:val="0"/>
                    <w:snapToGrid w:val="0"/>
                    <w:jc w:val="center"/>
                    <w:rPr>
                      <w:lang w:val="en-US" w:eastAsia="zh-CN"/>
                    </w:rPr>
                  </w:pPr>
                  <w:r>
                    <w:t>青石、鹅卵石</w:t>
                  </w:r>
                </w:p>
              </w:tc>
              <w:tc>
                <w:tcPr>
                  <w:tcW w:w="387" w:type="pct"/>
                  <w:tcBorders>
                    <w:top w:val="single" w:color="auto" w:sz="4" w:space="0"/>
                    <w:left w:val="nil"/>
                    <w:bottom w:val="single" w:color="auto" w:sz="4" w:space="0"/>
                    <w:right w:val="single" w:color="auto" w:sz="4" w:space="0"/>
                  </w:tcBorders>
                  <w:vAlign w:val="center"/>
                </w:tcPr>
                <w:p>
                  <w:pPr>
                    <w:autoSpaceDE w:val="0"/>
                    <w:spacing w:line="340" w:lineRule="exact"/>
                    <w:jc w:val="center"/>
                  </w:pPr>
                  <w:r>
                    <w:rPr>
                      <w:rFonts w:hint="eastAsia"/>
                    </w:rPr>
                    <w:t>吨</w:t>
                  </w:r>
                </w:p>
              </w:tc>
              <w:tc>
                <w:tcPr>
                  <w:tcW w:w="446" w:type="pct"/>
                  <w:tcBorders>
                    <w:top w:val="single" w:color="auto" w:sz="4" w:space="0"/>
                    <w:left w:val="nil"/>
                    <w:bottom w:val="single" w:color="auto" w:sz="4" w:space="0"/>
                    <w:right w:val="single" w:color="auto" w:sz="4" w:space="0"/>
                  </w:tcBorders>
                  <w:vAlign w:val="center"/>
                </w:tcPr>
                <w:p>
                  <w:pPr>
                    <w:pStyle w:val="84"/>
                    <w:rPr>
                      <w:rFonts w:hint="default"/>
                      <w:lang w:val="en-US" w:eastAsia="zh-CN"/>
                    </w:rPr>
                  </w:pPr>
                  <w:r>
                    <w:rPr>
                      <w:rFonts w:hint="eastAsia"/>
                      <w:lang w:val="en-US" w:eastAsia="zh-CN"/>
                    </w:rPr>
                    <w:t>袋装</w:t>
                  </w:r>
                </w:p>
              </w:tc>
              <w:tc>
                <w:tcPr>
                  <w:tcW w:w="724" w:type="pct"/>
                  <w:tcBorders>
                    <w:top w:val="single" w:color="auto" w:sz="4" w:space="0"/>
                    <w:left w:val="nil"/>
                    <w:bottom w:val="single" w:color="auto" w:sz="4" w:space="0"/>
                    <w:right w:val="single" w:color="auto" w:sz="4" w:space="0"/>
                  </w:tcBorders>
                  <w:vAlign w:val="center"/>
                </w:tcPr>
                <w:p>
                  <w:pPr>
                    <w:pStyle w:val="84"/>
                    <w:rPr>
                      <w:rFonts w:hint="eastAsia"/>
                      <w:lang w:val="en-US" w:eastAsia="zh-CN"/>
                    </w:rPr>
                  </w:pPr>
                  <w:r>
                    <w:rPr>
                      <w:rFonts w:hint="eastAsia"/>
                      <w:lang w:val="en-US" w:eastAsia="zh-CN"/>
                    </w:rPr>
                    <w:t>0</w:t>
                  </w:r>
                </w:p>
              </w:tc>
              <w:tc>
                <w:tcPr>
                  <w:tcW w:w="744" w:type="pct"/>
                  <w:tcBorders>
                    <w:top w:val="single" w:color="auto" w:sz="4" w:space="0"/>
                    <w:left w:val="nil"/>
                    <w:bottom w:val="single" w:color="auto" w:sz="4" w:space="0"/>
                    <w:right w:val="single" w:color="auto" w:sz="4" w:space="0"/>
                  </w:tcBorders>
                  <w:vAlign w:val="center"/>
                </w:tcPr>
                <w:p>
                  <w:pPr>
                    <w:adjustRightInd w:val="0"/>
                    <w:snapToGrid w:val="0"/>
                    <w:spacing w:line="240" w:lineRule="atLeast"/>
                    <w:jc w:val="center"/>
                    <w:rPr>
                      <w:rFonts w:hint="default"/>
                      <w:lang w:val="en-US" w:eastAsia="zh-CN"/>
                    </w:rPr>
                  </w:pPr>
                  <w:r>
                    <w:rPr>
                      <w:rFonts w:hint="eastAsia"/>
                      <w:lang w:eastAsia="zh-CN"/>
                    </w:rPr>
                    <w:t>14</w:t>
                  </w:r>
                  <w:r>
                    <w:rPr>
                      <w:rFonts w:hint="eastAsia"/>
                      <w:lang w:val="en-US" w:eastAsia="zh-CN"/>
                    </w:rPr>
                    <w:t>0000</w:t>
                  </w:r>
                </w:p>
              </w:tc>
              <w:tc>
                <w:tcPr>
                  <w:tcW w:w="794"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kern w:val="2"/>
                      <w:sz w:val="21"/>
                      <w:szCs w:val="24"/>
                      <w:lang w:val="en-US" w:eastAsia="zh-CN" w:bidi="ar-SA"/>
                    </w:rPr>
                  </w:pPr>
                  <w:r>
                    <w:rPr>
                      <w:rFonts w:hint="eastAsia"/>
                      <w:lang w:val="en-US" w:eastAsia="zh-CN"/>
                    </w:rPr>
                    <w:t>+140000</w:t>
                  </w:r>
                </w:p>
              </w:tc>
              <w:tc>
                <w:tcPr>
                  <w:tcW w:w="1055" w:type="pct"/>
                  <w:tcBorders>
                    <w:top w:val="single" w:color="auto" w:sz="4" w:space="0"/>
                    <w:left w:val="nil"/>
                    <w:bottom w:val="single" w:color="auto" w:sz="4" w:space="0"/>
                  </w:tcBorders>
                  <w:vAlign w:val="center"/>
                </w:tcPr>
                <w:p>
                  <w:pPr>
                    <w:autoSpaceDE w:val="0"/>
                    <w:spacing w:line="340" w:lineRule="exact"/>
                    <w:jc w:val="center"/>
                  </w:pPr>
                  <w:r>
                    <w:rPr>
                      <w:rFonts w:hint="eastAsia"/>
                    </w:rPr>
                    <w:t>外购、汽车运输</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719" w:hRule="atLeast"/>
                <w:jc w:val="center"/>
              </w:trPr>
              <w:tc>
                <w:tcPr>
                  <w:tcW w:w="219" w:type="pct"/>
                  <w:tcBorders>
                    <w:top w:val="single" w:color="auto" w:sz="4" w:space="0"/>
                    <w:bottom w:val="single" w:color="auto" w:sz="4" w:space="0"/>
                    <w:right w:val="single" w:color="auto" w:sz="4" w:space="0"/>
                  </w:tcBorders>
                  <w:vAlign w:val="center"/>
                </w:tcPr>
                <w:p>
                  <w:pPr>
                    <w:widowControl/>
                    <w:autoSpaceDE w:val="0"/>
                    <w:spacing w:line="340" w:lineRule="exact"/>
                    <w:ind w:left="10" w:hanging="10" w:hangingChars="5"/>
                    <w:jc w:val="center"/>
                  </w:pPr>
                  <w:r>
                    <w:rPr>
                      <w:rFonts w:hint="eastAsia"/>
                    </w:rPr>
                    <w:t>4</w:t>
                  </w:r>
                </w:p>
              </w:tc>
              <w:tc>
                <w:tcPr>
                  <w:tcW w:w="627" w:type="pct"/>
                  <w:tcBorders>
                    <w:top w:val="single" w:color="auto" w:sz="4" w:space="0"/>
                    <w:left w:val="nil"/>
                    <w:bottom w:val="single" w:color="auto" w:sz="4" w:space="0"/>
                    <w:right w:val="single" w:color="auto" w:sz="4" w:space="0"/>
                  </w:tcBorders>
                  <w:vAlign w:val="center"/>
                </w:tcPr>
                <w:p>
                  <w:pPr>
                    <w:adjustRightInd w:val="0"/>
                    <w:jc w:val="center"/>
                    <w:textAlignment w:val="center"/>
                    <w:rPr>
                      <w:lang w:val="en-US" w:eastAsia="zh-CN"/>
                    </w:rPr>
                  </w:pPr>
                  <w:r>
                    <w:rPr>
                      <w:lang w:eastAsia="zh-CN"/>
                    </w:rPr>
                    <w:t>聚丙烯酰胺</w:t>
                  </w:r>
                </w:p>
              </w:tc>
              <w:tc>
                <w:tcPr>
                  <w:tcW w:w="387" w:type="pct"/>
                  <w:tcBorders>
                    <w:top w:val="single" w:color="auto" w:sz="4" w:space="0"/>
                    <w:left w:val="nil"/>
                    <w:bottom w:val="single" w:color="auto" w:sz="4" w:space="0"/>
                    <w:right w:val="single" w:color="auto" w:sz="4" w:space="0"/>
                  </w:tcBorders>
                  <w:vAlign w:val="center"/>
                </w:tcPr>
                <w:p>
                  <w:pPr>
                    <w:autoSpaceDE w:val="0"/>
                    <w:spacing w:line="340" w:lineRule="exact"/>
                    <w:jc w:val="center"/>
                  </w:pPr>
                  <w:r>
                    <w:rPr>
                      <w:rFonts w:hint="eastAsia"/>
                    </w:rPr>
                    <w:t>吨</w:t>
                  </w:r>
                </w:p>
              </w:tc>
              <w:tc>
                <w:tcPr>
                  <w:tcW w:w="446" w:type="pct"/>
                  <w:tcBorders>
                    <w:top w:val="single" w:color="auto" w:sz="4" w:space="0"/>
                    <w:left w:val="nil"/>
                    <w:bottom w:val="single" w:color="auto" w:sz="4" w:space="0"/>
                    <w:right w:val="single" w:color="auto" w:sz="4" w:space="0"/>
                  </w:tcBorders>
                  <w:vAlign w:val="center"/>
                </w:tcPr>
                <w:p>
                  <w:pPr>
                    <w:autoSpaceDE w:val="0"/>
                    <w:spacing w:line="340" w:lineRule="exact"/>
                    <w:jc w:val="center"/>
                    <w:rPr>
                      <w:rFonts w:hint="default"/>
                      <w:lang w:val="en-US" w:eastAsia="zh-CN"/>
                    </w:rPr>
                  </w:pPr>
                  <w:r>
                    <w:rPr>
                      <w:rFonts w:hint="eastAsia"/>
                      <w:lang w:val="en-US" w:eastAsia="zh-CN"/>
                    </w:rPr>
                    <w:t>袋装</w:t>
                  </w:r>
                </w:p>
              </w:tc>
              <w:tc>
                <w:tcPr>
                  <w:tcW w:w="724" w:type="pct"/>
                  <w:tcBorders>
                    <w:top w:val="single" w:color="auto" w:sz="4" w:space="0"/>
                    <w:left w:val="nil"/>
                    <w:bottom w:val="single" w:color="auto" w:sz="4" w:space="0"/>
                    <w:right w:val="single" w:color="auto" w:sz="4" w:space="0"/>
                  </w:tcBorders>
                  <w:vAlign w:val="center"/>
                </w:tcPr>
                <w:p>
                  <w:pPr>
                    <w:autoSpaceDE w:val="0"/>
                    <w:spacing w:line="340" w:lineRule="exact"/>
                    <w:jc w:val="center"/>
                    <w:rPr>
                      <w:rFonts w:hint="default"/>
                      <w:lang w:val="en-US" w:eastAsia="zh-CN"/>
                    </w:rPr>
                  </w:pPr>
                  <w:r>
                    <w:rPr>
                      <w:rFonts w:hint="eastAsia"/>
                      <w:lang w:val="en-US" w:eastAsia="zh-CN"/>
                    </w:rPr>
                    <w:t>15</w:t>
                  </w:r>
                </w:p>
              </w:tc>
              <w:tc>
                <w:tcPr>
                  <w:tcW w:w="744" w:type="pct"/>
                  <w:tcBorders>
                    <w:top w:val="single" w:color="auto" w:sz="4" w:space="0"/>
                    <w:left w:val="nil"/>
                    <w:bottom w:val="single" w:color="auto" w:sz="4" w:space="0"/>
                    <w:right w:val="single" w:color="auto" w:sz="4" w:space="0"/>
                  </w:tcBorders>
                  <w:vAlign w:val="center"/>
                </w:tcPr>
                <w:p>
                  <w:pPr>
                    <w:adjustRightInd w:val="0"/>
                    <w:snapToGrid w:val="0"/>
                    <w:spacing w:line="240" w:lineRule="atLeast"/>
                    <w:jc w:val="center"/>
                    <w:rPr>
                      <w:rFonts w:hint="default"/>
                      <w:lang w:val="en-US" w:eastAsia="zh-CN"/>
                    </w:rPr>
                  </w:pPr>
                  <w:r>
                    <w:rPr>
                      <w:rFonts w:hint="eastAsia"/>
                      <w:lang w:val="en-US" w:eastAsia="zh-CN"/>
                    </w:rPr>
                    <w:t>30</w:t>
                  </w:r>
                </w:p>
              </w:tc>
              <w:tc>
                <w:tcPr>
                  <w:tcW w:w="794"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kern w:val="2"/>
                      <w:sz w:val="21"/>
                      <w:szCs w:val="24"/>
                      <w:lang w:val="en-US" w:eastAsia="zh-CN" w:bidi="ar-SA"/>
                    </w:rPr>
                  </w:pPr>
                  <w:r>
                    <w:rPr>
                      <w:rFonts w:hint="eastAsia"/>
                      <w:lang w:val="en-US" w:eastAsia="zh-CN"/>
                    </w:rPr>
                    <w:t>+15</w:t>
                  </w:r>
                </w:p>
              </w:tc>
              <w:tc>
                <w:tcPr>
                  <w:tcW w:w="1055" w:type="pct"/>
                  <w:tcBorders>
                    <w:top w:val="single" w:color="auto" w:sz="4" w:space="0"/>
                    <w:left w:val="nil"/>
                    <w:bottom w:val="single" w:color="auto" w:sz="4" w:space="0"/>
                  </w:tcBorders>
                  <w:vAlign w:val="center"/>
                </w:tcPr>
                <w:p>
                  <w:pPr>
                    <w:autoSpaceDE w:val="0"/>
                    <w:spacing w:line="340" w:lineRule="exact"/>
                    <w:jc w:val="center"/>
                    <w:rPr>
                      <w:rFonts w:hint="default" w:eastAsia="宋体"/>
                      <w:lang w:val="en-US" w:eastAsia="zh-CN"/>
                    </w:rPr>
                  </w:pPr>
                  <w:r>
                    <w:rPr>
                      <w:rFonts w:hint="eastAsia"/>
                    </w:rPr>
                    <w:t>外购、汽车运输</w:t>
                  </w:r>
                  <w:r>
                    <w:rPr>
                      <w:rFonts w:hint="eastAsia"/>
                      <w:lang w:eastAsia="zh-CN"/>
                    </w:rPr>
                    <w:t>。</w:t>
                  </w:r>
                  <w:r>
                    <w:rPr>
                      <w:rFonts w:hint="eastAsia"/>
                      <w:lang w:val="en-US" w:eastAsia="zh-CN"/>
                    </w:rPr>
                    <w:t>做废水絮凝剂使用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719" w:hRule="atLeast"/>
                <w:jc w:val="center"/>
              </w:trPr>
              <w:tc>
                <w:tcPr>
                  <w:tcW w:w="219" w:type="pct"/>
                  <w:tcBorders>
                    <w:top w:val="single" w:color="auto" w:sz="4" w:space="0"/>
                    <w:bottom w:val="single" w:color="auto" w:sz="4" w:space="0"/>
                    <w:right w:val="single" w:color="auto" w:sz="4" w:space="0"/>
                  </w:tcBorders>
                  <w:vAlign w:val="center"/>
                </w:tcPr>
                <w:p>
                  <w:pPr>
                    <w:widowControl/>
                    <w:autoSpaceDE w:val="0"/>
                    <w:spacing w:line="340" w:lineRule="exact"/>
                    <w:ind w:left="10" w:hanging="10" w:hangingChars="5"/>
                    <w:jc w:val="center"/>
                  </w:pPr>
                  <w:r>
                    <w:rPr>
                      <w:rFonts w:hint="eastAsia"/>
                    </w:rPr>
                    <w:t>5</w:t>
                  </w:r>
                </w:p>
              </w:tc>
              <w:tc>
                <w:tcPr>
                  <w:tcW w:w="627" w:type="pct"/>
                  <w:tcBorders>
                    <w:top w:val="single" w:color="auto" w:sz="4" w:space="0"/>
                    <w:left w:val="nil"/>
                    <w:bottom w:val="single" w:color="auto" w:sz="4" w:space="0"/>
                    <w:right w:val="single" w:color="auto" w:sz="4" w:space="0"/>
                  </w:tcBorders>
                  <w:vAlign w:val="center"/>
                </w:tcPr>
                <w:p>
                  <w:pPr>
                    <w:adjustRightInd w:val="0"/>
                    <w:jc w:val="center"/>
                    <w:textAlignment w:val="center"/>
                    <w:rPr>
                      <w:lang w:val="en-US" w:eastAsia="zh-CN"/>
                    </w:rPr>
                  </w:pPr>
                  <w:r>
                    <w:rPr>
                      <w:rFonts w:hint="eastAsia"/>
                      <w:lang w:eastAsia="zh-CN"/>
                    </w:rPr>
                    <w:t>润滑油</w:t>
                  </w:r>
                </w:p>
              </w:tc>
              <w:tc>
                <w:tcPr>
                  <w:tcW w:w="387" w:type="pct"/>
                  <w:tcBorders>
                    <w:top w:val="single" w:color="auto" w:sz="4" w:space="0"/>
                    <w:left w:val="nil"/>
                    <w:bottom w:val="single" w:color="auto" w:sz="4" w:space="0"/>
                    <w:right w:val="single" w:color="auto" w:sz="4" w:space="0"/>
                  </w:tcBorders>
                  <w:vAlign w:val="center"/>
                </w:tcPr>
                <w:p>
                  <w:pPr>
                    <w:autoSpaceDE w:val="0"/>
                    <w:spacing w:line="340" w:lineRule="exact"/>
                    <w:jc w:val="center"/>
                  </w:pPr>
                  <w:r>
                    <w:rPr>
                      <w:rFonts w:hint="eastAsia"/>
                    </w:rPr>
                    <w:t>吨</w:t>
                  </w:r>
                </w:p>
              </w:tc>
              <w:tc>
                <w:tcPr>
                  <w:tcW w:w="446" w:type="pct"/>
                  <w:tcBorders>
                    <w:top w:val="single" w:color="auto" w:sz="4" w:space="0"/>
                    <w:left w:val="nil"/>
                    <w:bottom w:val="single" w:color="auto" w:sz="4" w:space="0"/>
                    <w:right w:val="single" w:color="auto" w:sz="4" w:space="0"/>
                  </w:tcBorders>
                  <w:vAlign w:val="center"/>
                </w:tcPr>
                <w:p>
                  <w:pPr>
                    <w:autoSpaceDE w:val="0"/>
                    <w:spacing w:line="340" w:lineRule="exact"/>
                    <w:jc w:val="center"/>
                    <w:rPr>
                      <w:rFonts w:hint="default"/>
                      <w:lang w:val="en-US" w:eastAsia="zh-CN"/>
                    </w:rPr>
                  </w:pPr>
                  <w:r>
                    <w:rPr>
                      <w:rFonts w:hint="eastAsia"/>
                      <w:lang w:val="en-US" w:eastAsia="zh-CN"/>
                    </w:rPr>
                    <w:t>桶装</w:t>
                  </w:r>
                </w:p>
              </w:tc>
              <w:tc>
                <w:tcPr>
                  <w:tcW w:w="724" w:type="pct"/>
                  <w:tcBorders>
                    <w:top w:val="single" w:color="auto" w:sz="4" w:space="0"/>
                    <w:left w:val="nil"/>
                    <w:bottom w:val="single" w:color="auto" w:sz="4" w:space="0"/>
                    <w:right w:val="single" w:color="auto" w:sz="4" w:space="0"/>
                  </w:tcBorders>
                  <w:vAlign w:val="center"/>
                </w:tcPr>
                <w:p>
                  <w:pPr>
                    <w:autoSpaceDE w:val="0"/>
                    <w:spacing w:line="340" w:lineRule="exact"/>
                    <w:jc w:val="center"/>
                    <w:rPr>
                      <w:rFonts w:hint="default"/>
                      <w:lang w:val="en-US" w:eastAsia="zh-CN"/>
                    </w:rPr>
                  </w:pPr>
                  <w:r>
                    <w:rPr>
                      <w:rFonts w:hint="eastAsia"/>
                      <w:lang w:val="en-US" w:eastAsia="zh-CN"/>
                    </w:rPr>
                    <w:t>0.25</w:t>
                  </w:r>
                </w:p>
              </w:tc>
              <w:tc>
                <w:tcPr>
                  <w:tcW w:w="744" w:type="pct"/>
                  <w:tcBorders>
                    <w:top w:val="single" w:color="auto" w:sz="4" w:space="0"/>
                    <w:left w:val="nil"/>
                    <w:bottom w:val="single" w:color="auto" w:sz="4" w:space="0"/>
                    <w:right w:val="single" w:color="auto" w:sz="4" w:space="0"/>
                  </w:tcBorders>
                  <w:vAlign w:val="center"/>
                </w:tcPr>
                <w:p>
                  <w:pPr>
                    <w:adjustRightInd w:val="0"/>
                    <w:snapToGrid w:val="0"/>
                    <w:spacing w:line="240" w:lineRule="atLeast"/>
                    <w:jc w:val="center"/>
                    <w:rPr>
                      <w:lang w:val="en-US" w:eastAsia="zh-CN"/>
                    </w:rPr>
                  </w:pPr>
                  <w:r>
                    <w:rPr>
                      <w:rFonts w:hint="eastAsia"/>
                      <w:lang w:eastAsia="zh-CN"/>
                    </w:rPr>
                    <w:t>0.5</w:t>
                  </w:r>
                </w:p>
              </w:tc>
              <w:tc>
                <w:tcPr>
                  <w:tcW w:w="794" w:type="pct"/>
                  <w:tcBorders>
                    <w:top w:val="single" w:color="auto" w:sz="4" w:space="0"/>
                    <w:left w:val="nil"/>
                    <w:bottom w:val="single" w:color="auto" w:sz="4" w:space="0"/>
                    <w:right w:val="single" w:color="auto" w:sz="4" w:space="0"/>
                  </w:tcBorders>
                  <w:vAlign w:val="center"/>
                </w:tcPr>
                <w:p>
                  <w:pPr>
                    <w:adjustRightInd w:val="0"/>
                    <w:snapToGrid w:val="0"/>
                    <w:spacing w:line="240" w:lineRule="atLeast"/>
                    <w:jc w:val="center"/>
                    <w:rPr>
                      <w:rFonts w:hint="default"/>
                      <w:lang w:val="en-US" w:eastAsia="zh-CN"/>
                    </w:rPr>
                  </w:pPr>
                  <w:r>
                    <w:rPr>
                      <w:rFonts w:hint="eastAsia"/>
                      <w:lang w:val="en-US" w:eastAsia="zh-CN"/>
                    </w:rPr>
                    <w:t>+0.25</w:t>
                  </w:r>
                </w:p>
              </w:tc>
              <w:tc>
                <w:tcPr>
                  <w:tcW w:w="1055" w:type="pct"/>
                  <w:tcBorders>
                    <w:top w:val="single" w:color="auto" w:sz="4" w:space="0"/>
                    <w:left w:val="nil"/>
                    <w:bottom w:val="single" w:color="auto" w:sz="4" w:space="0"/>
                  </w:tcBorders>
                  <w:vAlign w:val="center"/>
                </w:tcPr>
                <w:p>
                  <w:pPr>
                    <w:autoSpaceDE w:val="0"/>
                    <w:spacing w:line="340" w:lineRule="exact"/>
                    <w:jc w:val="center"/>
                  </w:pPr>
                  <w:r>
                    <w:rPr>
                      <w:rFonts w:hint="eastAsia"/>
                    </w:rPr>
                    <w:t>外购、汽车运输</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719" w:hRule="atLeast"/>
                <w:jc w:val="center"/>
              </w:trPr>
              <w:tc>
                <w:tcPr>
                  <w:tcW w:w="219" w:type="pct"/>
                  <w:tcBorders>
                    <w:top w:val="single" w:color="auto" w:sz="4" w:space="0"/>
                    <w:bottom w:val="single" w:color="auto" w:sz="4" w:space="0"/>
                    <w:right w:val="single" w:color="auto" w:sz="4" w:space="0"/>
                  </w:tcBorders>
                  <w:vAlign w:val="center"/>
                </w:tcPr>
                <w:p>
                  <w:pPr>
                    <w:widowControl/>
                    <w:autoSpaceDE w:val="0"/>
                    <w:spacing w:line="340" w:lineRule="exact"/>
                    <w:ind w:left="10" w:hanging="10" w:hangingChars="5"/>
                    <w:jc w:val="center"/>
                  </w:pPr>
                  <w:r>
                    <w:rPr>
                      <w:rFonts w:hint="eastAsia"/>
                    </w:rPr>
                    <w:t>6</w:t>
                  </w:r>
                </w:p>
              </w:tc>
              <w:tc>
                <w:tcPr>
                  <w:tcW w:w="627"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default"/>
                      <w:lang w:val="en-US" w:eastAsia="zh-CN"/>
                    </w:rPr>
                    <w:t>水</w:t>
                  </w:r>
                </w:p>
              </w:tc>
              <w:tc>
                <w:tcPr>
                  <w:tcW w:w="387" w:type="pct"/>
                  <w:tcBorders>
                    <w:top w:val="single" w:color="auto" w:sz="4" w:space="0"/>
                    <w:left w:val="nil"/>
                    <w:bottom w:val="single" w:color="auto" w:sz="4" w:space="0"/>
                    <w:right w:val="single" w:color="auto" w:sz="4" w:space="0"/>
                  </w:tcBorders>
                  <w:vAlign w:val="center"/>
                </w:tcPr>
                <w:p>
                  <w:pPr>
                    <w:autoSpaceDE w:val="0"/>
                    <w:spacing w:line="340" w:lineRule="exact"/>
                    <w:jc w:val="center"/>
                  </w:pPr>
                  <w:r>
                    <w:rPr>
                      <w:rFonts w:hint="eastAsia"/>
                    </w:rPr>
                    <w:t>吨</w:t>
                  </w:r>
                </w:p>
              </w:tc>
              <w:tc>
                <w:tcPr>
                  <w:tcW w:w="446"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eastAsia"/>
                      <w:lang w:val="en-US" w:eastAsia="zh-CN"/>
                    </w:rPr>
                    <w:t>/</w:t>
                  </w:r>
                </w:p>
              </w:tc>
              <w:tc>
                <w:tcPr>
                  <w:tcW w:w="724"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eastAsia"/>
                      <w:lang w:val="en-US" w:eastAsia="zh-CN"/>
                    </w:rPr>
                    <w:t>33000</w:t>
                  </w:r>
                </w:p>
              </w:tc>
              <w:tc>
                <w:tcPr>
                  <w:tcW w:w="744" w:type="pct"/>
                  <w:tcBorders>
                    <w:top w:val="single" w:color="auto" w:sz="4" w:space="0"/>
                    <w:left w:val="nil"/>
                    <w:bottom w:val="single" w:color="auto" w:sz="4" w:space="0"/>
                    <w:right w:val="single" w:color="auto" w:sz="4" w:space="0"/>
                  </w:tcBorders>
                  <w:vAlign w:val="center"/>
                </w:tcPr>
                <w:p>
                  <w:pPr>
                    <w:autoSpaceDE w:val="0"/>
                    <w:spacing w:line="340" w:lineRule="exact"/>
                    <w:jc w:val="center"/>
                    <w:rPr>
                      <w:rFonts w:hint="default"/>
                      <w:lang w:val="en-US" w:eastAsia="zh-CN"/>
                    </w:rPr>
                  </w:pPr>
                  <w:r>
                    <w:rPr>
                      <w:rFonts w:hint="eastAsia"/>
                      <w:lang w:val="en-US" w:eastAsia="zh-CN"/>
                    </w:rPr>
                    <w:t>91225.18</w:t>
                  </w:r>
                </w:p>
              </w:tc>
              <w:tc>
                <w:tcPr>
                  <w:tcW w:w="794" w:type="pct"/>
                  <w:tcBorders>
                    <w:top w:val="single" w:color="auto" w:sz="4" w:space="0"/>
                    <w:left w:val="nil"/>
                    <w:bottom w:val="single" w:color="auto" w:sz="4" w:space="0"/>
                    <w:right w:val="single" w:color="auto" w:sz="4" w:space="0"/>
                  </w:tcBorders>
                  <w:vAlign w:val="center"/>
                </w:tcPr>
                <w:p>
                  <w:pPr>
                    <w:autoSpaceDE w:val="0"/>
                    <w:spacing w:line="340" w:lineRule="exact"/>
                    <w:jc w:val="center"/>
                    <w:rPr>
                      <w:rFonts w:hint="default"/>
                      <w:lang w:val="en-US" w:eastAsia="zh-CN"/>
                    </w:rPr>
                  </w:pPr>
                  <w:r>
                    <w:rPr>
                      <w:rFonts w:hint="eastAsia"/>
                      <w:lang w:val="en-US" w:eastAsia="zh-CN"/>
                    </w:rPr>
                    <w:t>+58225.18</w:t>
                  </w:r>
                </w:p>
              </w:tc>
              <w:tc>
                <w:tcPr>
                  <w:tcW w:w="1055" w:type="pct"/>
                  <w:tcBorders>
                    <w:top w:val="single" w:color="auto" w:sz="4" w:space="0"/>
                    <w:left w:val="nil"/>
                    <w:bottom w:val="single" w:color="auto" w:sz="4" w:space="0"/>
                  </w:tcBorders>
                  <w:vAlign w:val="center"/>
                </w:tcPr>
                <w:p>
                  <w:pPr>
                    <w:autoSpaceDE w:val="0"/>
                    <w:spacing w:line="340" w:lineRule="exact"/>
                    <w:jc w:val="center"/>
                  </w:pPr>
                  <w:r>
                    <w:t>市政给水管网</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1440" w:hRule="atLeast"/>
                <w:jc w:val="center"/>
              </w:trPr>
              <w:tc>
                <w:tcPr>
                  <w:tcW w:w="219" w:type="pct"/>
                  <w:tcBorders>
                    <w:top w:val="single" w:color="auto" w:sz="4" w:space="0"/>
                    <w:bottom w:val="single" w:color="auto" w:sz="4" w:space="0"/>
                    <w:right w:val="single" w:color="auto" w:sz="4" w:space="0"/>
                  </w:tcBorders>
                  <w:vAlign w:val="center"/>
                </w:tcPr>
                <w:p>
                  <w:pPr>
                    <w:widowControl/>
                    <w:autoSpaceDE w:val="0"/>
                    <w:spacing w:line="340" w:lineRule="exact"/>
                    <w:ind w:left="10" w:hanging="10" w:hangingChars="5"/>
                    <w:jc w:val="center"/>
                  </w:pPr>
                  <w:r>
                    <w:rPr>
                      <w:rFonts w:hint="eastAsia"/>
                    </w:rPr>
                    <w:t>7</w:t>
                  </w:r>
                </w:p>
              </w:tc>
              <w:tc>
                <w:tcPr>
                  <w:tcW w:w="627"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default"/>
                      <w:lang w:val="en-US" w:eastAsia="zh-CN"/>
                    </w:rPr>
                    <w:t>电</w:t>
                  </w:r>
                </w:p>
              </w:tc>
              <w:tc>
                <w:tcPr>
                  <w:tcW w:w="387" w:type="pct"/>
                  <w:tcBorders>
                    <w:top w:val="single" w:color="auto" w:sz="4" w:space="0"/>
                    <w:left w:val="nil"/>
                    <w:bottom w:val="single" w:color="auto" w:sz="4" w:space="0"/>
                    <w:right w:val="single" w:color="auto" w:sz="4" w:space="0"/>
                  </w:tcBorders>
                  <w:vAlign w:val="center"/>
                </w:tcPr>
                <w:p>
                  <w:pPr>
                    <w:autoSpaceDE w:val="0"/>
                    <w:spacing w:line="340" w:lineRule="exact"/>
                    <w:jc w:val="center"/>
                  </w:pPr>
                  <w:r>
                    <w:rPr>
                      <w:rFonts w:hint="eastAsia"/>
                    </w:rPr>
                    <w:t>万KWh/a</w:t>
                  </w:r>
                </w:p>
              </w:tc>
              <w:tc>
                <w:tcPr>
                  <w:tcW w:w="446"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eastAsia"/>
                      <w:lang w:val="en-US" w:eastAsia="zh-CN"/>
                    </w:rPr>
                    <w:t>/</w:t>
                  </w:r>
                </w:p>
              </w:tc>
              <w:tc>
                <w:tcPr>
                  <w:tcW w:w="724"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default"/>
                      <w:lang w:val="en-US" w:eastAsia="zh-CN"/>
                    </w:rPr>
                    <w:t>20</w:t>
                  </w:r>
                </w:p>
              </w:tc>
              <w:tc>
                <w:tcPr>
                  <w:tcW w:w="744"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rFonts w:hint="default"/>
                      <w:lang w:val="en-US" w:eastAsia="zh-CN"/>
                    </w:rPr>
                  </w:pPr>
                  <w:r>
                    <w:rPr>
                      <w:rFonts w:hint="eastAsia"/>
                      <w:lang w:val="en-US" w:eastAsia="zh-CN"/>
                    </w:rPr>
                    <w:t>40</w:t>
                  </w:r>
                </w:p>
              </w:tc>
              <w:tc>
                <w:tcPr>
                  <w:tcW w:w="794"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rFonts w:hint="default"/>
                      <w:lang w:val="en-US" w:eastAsia="zh-CN"/>
                    </w:rPr>
                  </w:pPr>
                  <w:r>
                    <w:rPr>
                      <w:rFonts w:hint="eastAsia"/>
                      <w:lang w:val="en-US" w:eastAsia="zh-CN"/>
                    </w:rPr>
                    <w:t>+20</w:t>
                  </w:r>
                </w:p>
              </w:tc>
              <w:tc>
                <w:tcPr>
                  <w:tcW w:w="1055" w:type="pct"/>
                  <w:tcBorders>
                    <w:top w:val="single" w:color="auto" w:sz="4" w:space="0"/>
                    <w:left w:val="nil"/>
                    <w:bottom w:val="single" w:color="auto" w:sz="4" w:space="0"/>
                  </w:tcBorders>
                  <w:vAlign w:val="center"/>
                </w:tcPr>
                <w:p>
                  <w:pPr>
                    <w:widowControl/>
                    <w:autoSpaceDE w:val="0"/>
                    <w:spacing w:line="340" w:lineRule="exact"/>
                    <w:jc w:val="center"/>
                  </w:pPr>
                  <w:r>
                    <w:t>市政电网</w:t>
                  </w:r>
                </w:p>
              </w:tc>
            </w:tr>
          </w:tbl>
          <w:p>
            <w:pPr>
              <w:spacing w:line="360" w:lineRule="auto"/>
              <w:ind w:firstLine="482" w:firstLineChars="200"/>
              <w:jc w:val="center"/>
              <w:rPr>
                <w:rFonts w:hint="eastAsia" w:ascii="宋体" w:hAnsi="宋体" w:eastAsia="宋体" w:cs="宋体"/>
                <w:b/>
                <w:bCs/>
                <w:kern w:val="0"/>
                <w:sz w:val="24"/>
                <w:szCs w:val="24"/>
                <w:lang w:val="en-US" w:eastAsia="zh-CN" w:bidi="ar-SA"/>
              </w:rPr>
            </w:pPr>
            <w:r>
              <w:rPr>
                <w:rFonts w:hint="eastAsia" w:ascii="宋体" w:hAnsi="宋体" w:eastAsia="宋体" w:cs="宋体"/>
                <w:b/>
                <w:bCs/>
                <w:sz w:val="24"/>
                <w:szCs w:val="24"/>
                <w:lang w:val="en-US" w:eastAsia="zh-CN"/>
              </w:rPr>
              <w:t>表 2-8  主要原辅材料理化性质</w:t>
            </w:r>
          </w:p>
          <w:tbl>
            <w:tblPr>
              <w:tblStyle w:val="27"/>
              <w:tblW w:w="4933"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31"/>
              <w:gridCol w:w="1297"/>
              <w:gridCol w:w="5488"/>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831" w:type="dxa"/>
                </w:tcPr>
                <w:p>
                  <w:pPr>
                    <w:pStyle w:val="6"/>
                    <w:numPr>
                      <w:ilvl w:val="0"/>
                      <w:numId w:val="0"/>
                    </w:numPr>
                    <w:jc w:val="center"/>
                    <w:rPr>
                      <w:rFonts w:hint="eastAsia"/>
                      <w:b/>
                      <w:bCs/>
                      <w:sz w:val="21"/>
                      <w:szCs w:val="21"/>
                      <w:lang w:val="en-US" w:eastAsia="zh-CN"/>
                    </w:rPr>
                  </w:pPr>
                  <w:r>
                    <w:rPr>
                      <w:rFonts w:hint="eastAsia"/>
                      <w:b/>
                      <w:bCs/>
                      <w:sz w:val="21"/>
                      <w:szCs w:val="21"/>
                      <w:lang w:val="en-US" w:eastAsia="zh-CN"/>
                    </w:rPr>
                    <w:t>序号</w:t>
                  </w:r>
                </w:p>
              </w:tc>
              <w:tc>
                <w:tcPr>
                  <w:tcW w:w="1297" w:type="dxa"/>
                </w:tcPr>
                <w:p>
                  <w:pPr>
                    <w:pStyle w:val="6"/>
                    <w:numPr>
                      <w:ilvl w:val="0"/>
                      <w:numId w:val="0"/>
                    </w:numPr>
                    <w:jc w:val="center"/>
                    <w:rPr>
                      <w:rFonts w:hint="eastAsia"/>
                      <w:b/>
                      <w:bCs/>
                      <w:sz w:val="21"/>
                      <w:szCs w:val="21"/>
                      <w:lang w:val="en-US" w:eastAsia="zh-CN"/>
                    </w:rPr>
                  </w:pPr>
                  <w:r>
                    <w:rPr>
                      <w:rFonts w:hint="eastAsia"/>
                      <w:b/>
                      <w:bCs/>
                      <w:sz w:val="21"/>
                      <w:szCs w:val="21"/>
                      <w:lang w:val="en-US" w:eastAsia="zh-CN"/>
                    </w:rPr>
                    <w:t>名称</w:t>
                  </w:r>
                </w:p>
              </w:tc>
              <w:tc>
                <w:tcPr>
                  <w:tcW w:w="5488" w:type="dxa"/>
                </w:tcPr>
                <w:p>
                  <w:pPr>
                    <w:pStyle w:val="6"/>
                    <w:numPr>
                      <w:ilvl w:val="0"/>
                      <w:numId w:val="0"/>
                    </w:numPr>
                    <w:jc w:val="center"/>
                    <w:rPr>
                      <w:rFonts w:hint="default"/>
                      <w:b/>
                      <w:bCs/>
                      <w:sz w:val="21"/>
                      <w:szCs w:val="21"/>
                      <w:lang w:val="en-US" w:eastAsia="zh-CN"/>
                    </w:rPr>
                  </w:pPr>
                  <w:r>
                    <w:rPr>
                      <w:rFonts w:hint="eastAsia"/>
                      <w:b/>
                      <w:bCs/>
                      <w:sz w:val="21"/>
                      <w:szCs w:val="21"/>
                      <w:lang w:val="en-US" w:eastAsia="zh-CN"/>
                    </w:rPr>
                    <w:t>基本性状</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71" w:hRule="atLeast"/>
                <w:jc w:val="center"/>
              </w:trPr>
              <w:tc>
                <w:tcPr>
                  <w:tcW w:w="831" w:type="dxa"/>
                  <w:vAlign w:val="center"/>
                </w:tcPr>
                <w:p>
                  <w:pPr>
                    <w:pStyle w:val="6"/>
                    <w:numPr>
                      <w:ilvl w:val="0"/>
                      <w:numId w:val="0"/>
                    </w:numPr>
                    <w:jc w:val="center"/>
                    <w:rPr>
                      <w:rFonts w:hint="eastAsia"/>
                      <w:lang w:val="en-US" w:eastAsia="zh-CN"/>
                    </w:rPr>
                  </w:pPr>
                  <w:r>
                    <w:rPr>
                      <w:rFonts w:hint="eastAsia"/>
                      <w:lang w:val="en-US" w:eastAsia="zh-CN"/>
                    </w:rPr>
                    <w:t>1</w:t>
                  </w:r>
                </w:p>
              </w:tc>
              <w:tc>
                <w:tcPr>
                  <w:tcW w:w="1297" w:type="dxa"/>
                  <w:vAlign w:val="center"/>
                </w:tcPr>
                <w:p>
                  <w:pPr>
                    <w:adjustRightInd w:val="0"/>
                    <w:jc w:val="center"/>
                    <w:textAlignment w:val="center"/>
                    <w:rPr>
                      <w:lang w:val="en-US" w:eastAsia="zh-CN"/>
                    </w:rPr>
                  </w:pPr>
                  <w:r>
                    <w:rPr>
                      <w:lang w:eastAsia="zh-CN"/>
                    </w:rPr>
                    <w:t>聚丙烯酰胺</w:t>
                  </w:r>
                </w:p>
              </w:tc>
              <w:tc>
                <w:tcPr>
                  <w:tcW w:w="5488" w:type="dxa"/>
                </w:tcPr>
                <w:p>
                  <w:pPr>
                    <w:pStyle w:val="6"/>
                    <w:numPr>
                      <w:ilvl w:val="0"/>
                      <w:numId w:val="0"/>
                    </w:numPr>
                    <w:jc w:val="center"/>
                    <w:rPr>
                      <w:rFonts w:hint="eastAsia"/>
                      <w:lang w:val="en-US" w:eastAsia="zh-CN"/>
                    </w:rPr>
                  </w:pPr>
                  <w:r>
                    <w:rPr>
                      <w:rFonts w:hint="eastAsia" w:ascii="Times New Roman" w:hAnsi="Times New Roman" w:eastAsia="宋体" w:cs="Times New Roman"/>
                      <w:spacing w:val="0"/>
                      <w:kern w:val="2"/>
                      <w:sz w:val="21"/>
                      <w:szCs w:val="24"/>
                      <w:lang w:val="en-US" w:eastAsia="zh-CN" w:bidi="ar-SA"/>
                    </w:rPr>
                    <w:t>白色粒状固体，稀释后呈无色液体,无臭。水处理中作助凝剂、絮凝剂、污泥脱水剂。在污水处理中，采用聚丙烯酰胺可以增加水回用循环的使用率，还可用作污泥脱水；工业水处理中用作一种重要的配方药剂</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60" w:hRule="atLeast"/>
                <w:jc w:val="center"/>
              </w:trPr>
              <w:tc>
                <w:tcPr>
                  <w:tcW w:w="831" w:type="dxa"/>
                  <w:vAlign w:val="center"/>
                </w:tcPr>
                <w:p>
                  <w:pPr>
                    <w:pStyle w:val="6"/>
                    <w:numPr>
                      <w:ilvl w:val="0"/>
                      <w:numId w:val="0"/>
                    </w:numPr>
                    <w:jc w:val="center"/>
                    <w:rPr>
                      <w:rFonts w:hint="eastAsia"/>
                      <w:lang w:val="en-US" w:eastAsia="zh-CN"/>
                    </w:rPr>
                  </w:pPr>
                  <w:r>
                    <w:rPr>
                      <w:rFonts w:hint="eastAsia"/>
                      <w:lang w:val="en-US" w:eastAsia="zh-CN"/>
                    </w:rPr>
                    <w:t>2</w:t>
                  </w:r>
                </w:p>
              </w:tc>
              <w:tc>
                <w:tcPr>
                  <w:tcW w:w="1297" w:type="dxa"/>
                  <w:vAlign w:val="center"/>
                </w:tcPr>
                <w:p>
                  <w:pPr>
                    <w:adjustRightInd w:val="0"/>
                    <w:jc w:val="center"/>
                    <w:textAlignment w:val="center"/>
                    <w:rPr>
                      <w:lang w:val="en-US" w:eastAsia="zh-CN"/>
                    </w:rPr>
                  </w:pPr>
                  <w:r>
                    <w:rPr>
                      <w:rFonts w:hint="eastAsia"/>
                      <w:lang w:eastAsia="zh-CN"/>
                    </w:rPr>
                    <w:t>润滑油</w:t>
                  </w:r>
                </w:p>
              </w:tc>
              <w:tc>
                <w:tcPr>
                  <w:tcW w:w="5488" w:type="dxa"/>
                </w:tcPr>
                <w:p>
                  <w:pPr>
                    <w:pStyle w:val="6"/>
                    <w:numPr>
                      <w:ilvl w:val="0"/>
                      <w:numId w:val="0"/>
                    </w:numPr>
                    <w:jc w:val="center"/>
                    <w:rPr>
                      <w:rFonts w:hint="eastAsia"/>
                      <w:lang w:val="en-US" w:eastAsia="zh-CN"/>
                    </w:rPr>
                  </w:pPr>
                  <w:r>
                    <w:rPr>
                      <w:rFonts w:hint="eastAsia" w:ascii="Times New Roman" w:hAnsi="Times New Roman" w:eastAsia="宋体" w:cs="Times New Roman"/>
                      <w:spacing w:val="0"/>
                      <w:kern w:val="2"/>
                      <w:sz w:val="21"/>
                      <w:szCs w:val="24"/>
                      <w:lang w:val="en-US" w:eastAsia="zh-CN" w:bidi="ar-SA"/>
                    </w:rPr>
                    <w:t>发动机润滑油，外观为淡黄色液体，加入抗磨、抗氧、防锈、金属钝化、抗泡沫、抗乳化等多种添加剂，具有良好的抗氧化、防锈性、润滑性、抗磨性和较好的空气释放性等。</w:t>
                  </w:r>
                </w:p>
              </w:tc>
            </w:tr>
          </w:tbl>
          <w:p>
            <w:pPr>
              <w:spacing w:line="360" w:lineRule="auto"/>
              <w:ind w:firstLine="480" w:firstLineChars="200"/>
              <w:rPr>
                <w:rFonts w:hint="eastAsia" w:ascii="Times New Roman" w:hAnsi="Times New Roman" w:eastAsia="宋体" w:cs="Times New Roman"/>
                <w:kern w:val="0"/>
                <w:sz w:val="24"/>
                <w:szCs w:val="20"/>
                <w:lang w:val="en-US" w:eastAsia="zh-CN" w:bidi="ar-SA"/>
              </w:rPr>
            </w:pPr>
          </w:p>
          <w:p>
            <w:pPr>
              <w:adjustRightInd w:val="0"/>
              <w:spacing w:line="440" w:lineRule="exact"/>
              <w:ind w:firstLine="480" w:firstLineChars="200"/>
              <w:rPr>
                <w:rFonts w:hint="eastAsia" w:ascii="Times New Roman" w:hAnsi="Times New Roman" w:eastAsia="宋体" w:cs="Times New Roman"/>
                <w:kern w:val="0"/>
                <w:sz w:val="24"/>
                <w:szCs w:val="20"/>
                <w:lang w:val="en-US" w:eastAsia="zh-CN" w:bidi="ar-SA"/>
              </w:rPr>
            </w:pPr>
            <w:r>
              <w:rPr>
                <w:rFonts w:hint="eastAsia" w:cs="Times New Roman"/>
                <w:kern w:val="0"/>
                <w:sz w:val="24"/>
                <w:szCs w:val="20"/>
                <w:lang w:val="en-US" w:eastAsia="zh-CN" w:bidi="ar-SA"/>
              </w:rPr>
              <w:t>7</w:t>
            </w:r>
            <w:r>
              <w:rPr>
                <w:rFonts w:hint="eastAsia" w:ascii="Times New Roman" w:hAnsi="Times New Roman" w:eastAsia="宋体" w:cs="Times New Roman"/>
                <w:kern w:val="0"/>
                <w:sz w:val="24"/>
                <w:szCs w:val="20"/>
                <w:lang w:val="en-US" w:eastAsia="zh-CN" w:bidi="ar-SA"/>
              </w:rPr>
              <w:t xml:space="preserve">、项目平面布局合理性 </w:t>
            </w:r>
          </w:p>
          <w:p>
            <w:pPr>
              <w:pStyle w:val="14"/>
              <w:spacing w:before="0" w:beforeAutospacing="0" w:after="0" w:line="360" w:lineRule="auto"/>
              <w:ind w:left="0" w:leftChars="0" w:firstLine="480" w:firstLineChars="200"/>
              <w:rPr>
                <w:rFonts w:hint="eastAsia" w:ascii="Times New Roman" w:hAnsi="Times New Roman" w:eastAsia="宋体" w:cs="Times New Roman"/>
                <w:kern w:val="0"/>
                <w:sz w:val="24"/>
                <w:szCs w:val="20"/>
                <w:lang w:val="en-US" w:eastAsia="zh-CN" w:bidi="ar-SA"/>
              </w:rPr>
            </w:pPr>
            <w:r>
              <w:rPr>
                <w:rFonts w:hint="eastAsia" w:cs="Times New Roman"/>
                <w:kern w:val="0"/>
                <w:sz w:val="24"/>
                <w:szCs w:val="20"/>
                <w:lang w:val="en-US" w:eastAsia="zh-CN" w:bidi="ar-SA"/>
              </w:rPr>
              <w:t>（1）</w:t>
            </w:r>
            <w:r>
              <w:rPr>
                <w:rFonts w:hint="eastAsia" w:ascii="Times New Roman" w:hAnsi="Times New Roman" w:eastAsia="宋体" w:cs="Times New Roman"/>
                <w:kern w:val="0"/>
                <w:sz w:val="24"/>
                <w:szCs w:val="20"/>
                <w:lang w:val="en-US" w:eastAsia="zh-CN" w:bidi="ar-SA"/>
              </w:rPr>
              <w:t xml:space="preserve">生产布局角度 </w:t>
            </w:r>
          </w:p>
          <w:p>
            <w:pPr>
              <w:pStyle w:val="14"/>
              <w:spacing w:before="0" w:beforeAutospacing="0" w:after="0" w:line="360" w:lineRule="auto"/>
              <w:ind w:left="0" w:leftChars="0" w:firstLine="480" w:firstLineChars="200"/>
              <w:rPr>
                <w:rFonts w:hint="eastAsia" w:ascii="Times New Roman" w:hAnsi="Times New Roman" w:eastAsia="宋体" w:cs="Times New Roman"/>
                <w:kern w:val="0"/>
                <w:sz w:val="24"/>
                <w:szCs w:val="20"/>
                <w:lang w:val="en-US" w:eastAsia="zh-CN" w:bidi="ar-SA"/>
              </w:rPr>
            </w:pPr>
            <w:r>
              <w:rPr>
                <w:rFonts w:hint="eastAsia" w:ascii="Times New Roman" w:hAnsi="Times New Roman" w:eastAsia="宋体" w:cs="Times New Roman"/>
                <w:kern w:val="0"/>
                <w:sz w:val="24"/>
                <w:szCs w:val="20"/>
                <w:lang w:val="en-US" w:eastAsia="zh-CN" w:bidi="ar-SA"/>
              </w:rPr>
              <w:t xml:space="preserve">本项目位于芜湖市三山区经济开发区春洲路2号。总平面布置上，项目分为生产区、成品砂储存区、原砂储存区、休息室。本项目生产区内各设施按照工艺流程进行合理布设，物料输送短捷，可以满足物料流程的需要，确保厂房污染程度最低。本项目布局紧凑，可以满足节约占地的要求。各功能区分区明确，满足非生产及无关人员进入生产区的要求。 </w:t>
            </w:r>
          </w:p>
          <w:p>
            <w:pPr>
              <w:pStyle w:val="14"/>
              <w:spacing w:before="0" w:beforeAutospacing="0" w:after="0" w:line="360" w:lineRule="auto"/>
              <w:ind w:left="0" w:leftChars="0" w:firstLine="480" w:firstLineChars="200"/>
              <w:rPr>
                <w:rFonts w:hint="eastAsia" w:ascii="Times New Roman" w:hAnsi="Times New Roman" w:eastAsia="宋体" w:cs="Times New Roman"/>
                <w:kern w:val="0"/>
                <w:sz w:val="24"/>
                <w:szCs w:val="20"/>
                <w:lang w:val="en-US" w:eastAsia="zh-CN" w:bidi="ar-SA"/>
              </w:rPr>
            </w:pPr>
            <w:r>
              <w:rPr>
                <w:rFonts w:hint="eastAsia" w:cs="Times New Roman"/>
                <w:kern w:val="0"/>
                <w:sz w:val="24"/>
                <w:szCs w:val="20"/>
                <w:lang w:val="en-US" w:eastAsia="zh-CN" w:bidi="ar-SA"/>
              </w:rPr>
              <w:t>（2）</w:t>
            </w:r>
            <w:r>
              <w:rPr>
                <w:rFonts w:hint="eastAsia" w:ascii="Times New Roman" w:hAnsi="Times New Roman" w:eastAsia="宋体" w:cs="Times New Roman"/>
                <w:kern w:val="0"/>
                <w:sz w:val="24"/>
                <w:szCs w:val="20"/>
                <w:lang w:val="en-US" w:eastAsia="zh-CN" w:bidi="ar-SA"/>
              </w:rPr>
              <w:t xml:space="preserve">环境保护角度 </w:t>
            </w:r>
          </w:p>
          <w:p>
            <w:pPr>
              <w:pStyle w:val="14"/>
              <w:spacing w:before="0" w:beforeAutospacing="0" w:after="0" w:line="360" w:lineRule="auto"/>
              <w:ind w:left="0" w:leftChars="0" w:firstLine="480" w:firstLineChars="200"/>
              <w:rPr>
                <w:rFonts w:hint="eastAsia" w:ascii="Times New Roman" w:hAnsi="Times New Roman" w:eastAsia="宋体" w:cs="Times New Roman"/>
                <w:kern w:val="0"/>
                <w:sz w:val="24"/>
                <w:szCs w:val="20"/>
                <w:lang w:val="en-US" w:eastAsia="zh-CN" w:bidi="ar-SA"/>
              </w:rPr>
            </w:pPr>
            <w:r>
              <w:rPr>
                <w:rFonts w:hint="eastAsia" w:ascii="Times New Roman" w:hAnsi="Times New Roman" w:eastAsia="宋体" w:cs="Times New Roman"/>
                <w:kern w:val="0"/>
                <w:sz w:val="24"/>
                <w:szCs w:val="20"/>
                <w:lang w:val="en-US" w:eastAsia="zh-CN" w:bidi="ar-SA"/>
              </w:rPr>
              <w:t>本项目对</w:t>
            </w:r>
            <w:r>
              <w:rPr>
                <w:rFonts w:hint="default" w:ascii="Times New Roman" w:hAnsi="Times New Roman" w:eastAsia="宋体" w:cs="Times New Roman"/>
                <w:kern w:val="0"/>
                <w:sz w:val="24"/>
                <w:szCs w:val="20"/>
                <w:lang w:val="en-US" w:eastAsia="zh-CN" w:bidi="ar-SA"/>
              </w:rPr>
              <w:t>卸料及上料</w:t>
            </w:r>
            <w:r>
              <w:rPr>
                <w:rFonts w:hint="eastAsia" w:ascii="Times New Roman" w:hAnsi="Times New Roman" w:eastAsia="宋体" w:cs="Times New Roman"/>
                <w:kern w:val="0"/>
                <w:sz w:val="24"/>
                <w:szCs w:val="20"/>
                <w:lang w:val="en-US" w:eastAsia="zh-CN" w:bidi="ar-SA"/>
              </w:rPr>
              <w:t>、破碎筛分</w:t>
            </w:r>
            <w:r>
              <w:rPr>
                <w:rFonts w:hint="default" w:ascii="Times New Roman" w:hAnsi="Times New Roman" w:eastAsia="宋体" w:cs="Times New Roman"/>
                <w:kern w:val="0"/>
                <w:sz w:val="24"/>
                <w:szCs w:val="20"/>
                <w:lang w:val="en-US" w:eastAsia="zh-CN" w:bidi="ar-SA"/>
              </w:rPr>
              <w:t>区均</w:t>
            </w:r>
            <w:r>
              <w:rPr>
                <w:rFonts w:hint="eastAsia" w:ascii="Times New Roman" w:hAnsi="Times New Roman" w:eastAsia="宋体" w:cs="Times New Roman"/>
                <w:kern w:val="0"/>
                <w:sz w:val="24"/>
                <w:szCs w:val="20"/>
                <w:lang w:val="en-US" w:eastAsia="zh-CN" w:bidi="ar-SA"/>
              </w:rPr>
              <w:t>进行合理</w:t>
            </w:r>
            <w:r>
              <w:rPr>
                <w:rFonts w:hint="default" w:ascii="Times New Roman" w:hAnsi="Times New Roman" w:eastAsia="宋体" w:cs="Times New Roman"/>
                <w:kern w:val="0"/>
                <w:sz w:val="24"/>
                <w:szCs w:val="20"/>
                <w:lang w:val="en-US" w:eastAsia="zh-CN" w:bidi="ar-SA"/>
              </w:rPr>
              <w:t>配置喷淋系统</w:t>
            </w:r>
            <w:r>
              <w:rPr>
                <w:rFonts w:hint="eastAsia" w:ascii="Times New Roman" w:hAnsi="Times New Roman" w:eastAsia="宋体" w:cs="Times New Roman"/>
                <w:kern w:val="0"/>
                <w:sz w:val="24"/>
                <w:szCs w:val="20"/>
                <w:lang w:val="en-US" w:eastAsia="zh-CN" w:bidi="ar-SA"/>
              </w:rPr>
              <w:t>，将生活办公区及生产区进行分开，避免影响。本项目噪声源均采取一定的减震、隔声措施。一般固废暂存依托</w:t>
            </w:r>
            <w:r>
              <w:rPr>
                <w:rFonts w:hint="default" w:ascii="Times New Roman" w:hAnsi="Times New Roman" w:eastAsia="宋体" w:cs="Times New Roman"/>
                <w:kern w:val="0"/>
                <w:sz w:val="24"/>
                <w:szCs w:val="20"/>
                <w:lang w:val="en-US" w:eastAsia="zh-CN" w:bidi="ar-SA"/>
              </w:rPr>
              <w:t>芜湖新兴铸管有限责任公司</w:t>
            </w:r>
            <w:r>
              <w:rPr>
                <w:rFonts w:hint="eastAsia" w:ascii="Times New Roman" w:hAnsi="Times New Roman" w:eastAsia="宋体" w:cs="Times New Roman"/>
                <w:kern w:val="0"/>
                <w:sz w:val="24"/>
                <w:szCs w:val="20"/>
                <w:lang w:val="en-US" w:eastAsia="zh-CN" w:bidi="ar-SA"/>
              </w:rPr>
              <w:t>已建设的</w:t>
            </w:r>
            <w:r>
              <w:rPr>
                <w:rFonts w:hint="default" w:ascii="Times New Roman" w:hAnsi="Times New Roman" w:eastAsia="宋体" w:cs="Times New Roman"/>
                <w:kern w:val="0"/>
                <w:sz w:val="24"/>
                <w:szCs w:val="20"/>
                <w:lang w:val="en-US" w:eastAsia="zh-CN" w:bidi="ar-SA"/>
              </w:rPr>
              <w:t>1座7200m</w:t>
            </w:r>
            <w:r>
              <w:rPr>
                <w:rFonts w:hint="default" w:ascii="Times New Roman" w:hAnsi="Times New Roman" w:eastAsia="宋体" w:cs="Times New Roman"/>
                <w:kern w:val="0"/>
                <w:sz w:val="24"/>
                <w:szCs w:val="20"/>
                <w:vertAlign w:val="superscript"/>
                <w:lang w:val="en-US" w:eastAsia="zh-CN" w:bidi="ar-SA"/>
              </w:rPr>
              <w:t>2</w:t>
            </w:r>
            <w:r>
              <w:rPr>
                <w:rFonts w:hint="default" w:ascii="Times New Roman" w:hAnsi="Times New Roman" w:eastAsia="宋体" w:cs="Times New Roman"/>
                <w:kern w:val="0"/>
                <w:sz w:val="24"/>
                <w:szCs w:val="20"/>
                <w:lang w:val="en-US" w:eastAsia="zh-CN" w:bidi="ar-SA"/>
              </w:rPr>
              <w:t>一般</w:t>
            </w:r>
            <w:r>
              <w:rPr>
                <w:rFonts w:hint="eastAsia" w:ascii="Times New Roman" w:hAnsi="Times New Roman" w:eastAsia="宋体" w:cs="Times New Roman"/>
                <w:kern w:val="0"/>
                <w:sz w:val="24"/>
                <w:szCs w:val="20"/>
                <w:lang w:val="en-US" w:eastAsia="zh-CN" w:bidi="ar-SA"/>
              </w:rPr>
              <w:t>固废暂存库，有防扬散、防流失、防渗漏等措施，远离敏感点，对周围环境影响较小。新建10</w:t>
            </w:r>
            <w:r>
              <w:rPr>
                <w:rFonts w:hint="default" w:ascii="Times New Roman" w:hAnsi="Times New Roman" w:eastAsia="宋体" w:cs="Times New Roman"/>
                <w:kern w:val="0"/>
                <w:sz w:val="24"/>
                <w:szCs w:val="20"/>
                <w:lang w:val="en-US" w:eastAsia="zh-CN" w:bidi="ar-SA"/>
              </w:rPr>
              <w:t>m</w:t>
            </w:r>
            <w:r>
              <w:rPr>
                <w:rFonts w:hint="default" w:ascii="Times New Roman" w:hAnsi="Times New Roman" w:eastAsia="宋体" w:cs="Times New Roman"/>
                <w:kern w:val="0"/>
                <w:sz w:val="24"/>
                <w:szCs w:val="20"/>
                <w:vertAlign w:val="superscript"/>
                <w:lang w:val="en-US" w:eastAsia="zh-CN" w:bidi="ar-SA"/>
              </w:rPr>
              <w:t>2</w:t>
            </w:r>
            <w:r>
              <w:rPr>
                <w:rFonts w:hint="eastAsia" w:ascii="Times New Roman" w:hAnsi="Times New Roman" w:eastAsia="宋体" w:cs="Times New Roman"/>
                <w:kern w:val="0"/>
                <w:sz w:val="24"/>
                <w:szCs w:val="20"/>
                <w:lang w:val="en-US" w:eastAsia="zh-CN" w:bidi="ar-SA"/>
              </w:rPr>
              <w:t xml:space="preserve">危废暂存间，将危险废物分类收集，并做好相应的纪录，同时对暂存场应建设基础防渗设施、防风、防雨、防晒并配备照明设施等，并与厂区内其它生产单元、办公生活区严格区分、单独隔离。从环境保护角度进行了合理布局。 </w:t>
            </w:r>
          </w:p>
          <w:p>
            <w:pPr>
              <w:pStyle w:val="14"/>
              <w:spacing w:before="0" w:beforeAutospacing="0" w:after="0" w:line="360" w:lineRule="auto"/>
              <w:ind w:left="0" w:leftChars="0" w:firstLine="480" w:firstLineChars="200"/>
              <w:rPr>
                <w:rFonts w:hint="eastAsia" w:ascii="Times New Roman" w:hAnsi="Times New Roman" w:eastAsia="宋体" w:cs="Times New Roman"/>
                <w:kern w:val="0"/>
                <w:sz w:val="24"/>
                <w:szCs w:val="20"/>
                <w:lang w:val="en-US" w:eastAsia="zh-CN" w:bidi="ar-SA"/>
              </w:rPr>
            </w:pPr>
            <w:r>
              <w:rPr>
                <w:rFonts w:hint="eastAsia" w:ascii="Times New Roman" w:hAnsi="Times New Roman" w:eastAsia="宋体" w:cs="Times New Roman"/>
                <w:kern w:val="0"/>
                <w:sz w:val="24"/>
                <w:szCs w:val="20"/>
                <w:lang w:val="en-US" w:eastAsia="zh-CN" w:bidi="ar-SA"/>
              </w:rPr>
              <w:t>通过以上分析，本项目总体布局合理、紧凑，分区明确，平面布置合理，便于生产管理。本项目工艺流程合理、功能分区明确、人流分流，其安全疏散宽度和疏散出口应满足防火规范要求。</w:t>
            </w:r>
          </w:p>
          <w:p>
            <w:pPr>
              <w:keepNext w:val="0"/>
              <w:keepLines w:val="0"/>
              <w:widowControl/>
              <w:suppressLineNumbers w:val="0"/>
              <w:ind w:firstLine="480" w:firstLineChars="200"/>
              <w:jc w:val="left"/>
              <w:rPr>
                <w:rFonts w:hint="eastAsia" w:ascii="Times New Roman" w:hAnsi="Times New Roman" w:eastAsia="宋体" w:cs="Times New Roman"/>
                <w:kern w:val="0"/>
                <w:sz w:val="24"/>
                <w:szCs w:val="20"/>
                <w:lang w:val="en-US" w:eastAsia="zh-CN" w:bidi="ar-SA"/>
              </w:rPr>
            </w:pPr>
            <w:r>
              <w:rPr>
                <w:rFonts w:hint="eastAsia" w:cs="Times New Roman"/>
                <w:kern w:val="0"/>
                <w:sz w:val="24"/>
                <w:szCs w:val="20"/>
                <w:lang w:val="en-US" w:eastAsia="zh-CN" w:bidi="ar-SA"/>
              </w:rPr>
              <w:t>8</w:t>
            </w:r>
            <w:r>
              <w:rPr>
                <w:rFonts w:hint="eastAsia" w:ascii="Times New Roman" w:hAnsi="Times New Roman" w:eastAsia="宋体" w:cs="Times New Roman"/>
                <w:kern w:val="0"/>
                <w:sz w:val="24"/>
                <w:szCs w:val="20"/>
                <w:lang w:val="en-US" w:eastAsia="zh-CN" w:bidi="ar-SA"/>
              </w:rPr>
              <w:t xml:space="preserve">、生产制度和劳动定员 </w:t>
            </w:r>
          </w:p>
          <w:p>
            <w:pPr>
              <w:pStyle w:val="14"/>
              <w:spacing w:before="0" w:beforeAutospacing="0" w:after="0" w:line="360" w:lineRule="auto"/>
              <w:ind w:left="0" w:leftChars="0" w:firstLine="480" w:firstLineChars="200"/>
              <w:rPr>
                <w:rFonts w:hint="eastAsia" w:ascii="Times New Roman" w:hAnsi="Times New Roman" w:eastAsia="宋体" w:cs="Times New Roman"/>
                <w:bCs/>
                <w:color w:val="000000"/>
                <w:kern w:val="2"/>
                <w:sz w:val="24"/>
                <w:szCs w:val="24"/>
                <w:lang w:val="en-US" w:eastAsia="zh-CN" w:bidi="ar-SA"/>
              </w:rPr>
            </w:pPr>
            <w:r>
              <w:rPr>
                <w:rFonts w:hint="eastAsia" w:ascii="Times New Roman" w:hAnsi="Times New Roman" w:eastAsia="宋体" w:cs="Times New Roman"/>
                <w:kern w:val="0"/>
                <w:sz w:val="24"/>
                <w:szCs w:val="20"/>
                <w:lang w:val="en-US" w:eastAsia="zh-CN" w:bidi="ar-SA"/>
              </w:rPr>
              <w:t>本项目原有员工8人为新兴铸管调配员工，不新增劳动人员，</w:t>
            </w:r>
            <w:r>
              <w:rPr>
                <w:rFonts w:hint="default" w:ascii="Times New Roman" w:hAnsi="Times New Roman" w:eastAsia="宋体" w:cs="Times New Roman"/>
                <w:kern w:val="0"/>
                <w:sz w:val="24"/>
                <w:szCs w:val="20"/>
                <w:lang w:val="en-US" w:eastAsia="zh-CN" w:bidi="ar-SA"/>
              </w:rPr>
              <w:t>1</w:t>
            </w:r>
            <w:r>
              <w:rPr>
                <w:rFonts w:hint="eastAsia" w:ascii="Times New Roman" w:hAnsi="Times New Roman" w:eastAsia="宋体" w:cs="Times New Roman"/>
                <w:kern w:val="0"/>
                <w:sz w:val="24"/>
                <w:szCs w:val="20"/>
                <w:lang w:val="en-US" w:eastAsia="zh-CN" w:bidi="ar-SA"/>
              </w:rPr>
              <w:t>班</w:t>
            </w:r>
            <w:r>
              <w:rPr>
                <w:rFonts w:hint="default" w:ascii="Times New Roman" w:hAnsi="Times New Roman" w:eastAsia="宋体" w:cs="Times New Roman"/>
                <w:kern w:val="0"/>
                <w:sz w:val="24"/>
                <w:szCs w:val="20"/>
                <w:lang w:val="en-US" w:eastAsia="zh-CN" w:bidi="ar-SA"/>
              </w:rPr>
              <w:t>/</w:t>
            </w:r>
            <w:r>
              <w:rPr>
                <w:rFonts w:hint="eastAsia" w:ascii="Times New Roman" w:hAnsi="Times New Roman" w:eastAsia="宋体" w:cs="Times New Roman"/>
                <w:kern w:val="0"/>
                <w:sz w:val="24"/>
                <w:szCs w:val="20"/>
                <w:lang w:val="en-US" w:eastAsia="zh-CN" w:bidi="ar-SA"/>
              </w:rPr>
              <w:t>天，</w:t>
            </w:r>
            <w:r>
              <w:rPr>
                <w:rFonts w:hAnsi="宋体"/>
                <w:color w:val="0D0D0D"/>
                <w:kern w:val="24"/>
                <w:sz w:val="24"/>
              </w:rPr>
              <w:t>实行</w:t>
            </w:r>
            <w:r>
              <w:rPr>
                <w:rFonts w:hint="eastAsia" w:hAnsi="宋体"/>
                <w:color w:val="0D0D0D"/>
                <w:kern w:val="24"/>
                <w:sz w:val="24"/>
              </w:rPr>
              <w:t>白班</w:t>
            </w:r>
            <w:r>
              <w:rPr>
                <w:rFonts w:hAnsi="宋体"/>
                <w:color w:val="0D0D0D"/>
                <w:kern w:val="24"/>
                <w:sz w:val="24"/>
              </w:rPr>
              <w:t>制</w:t>
            </w:r>
            <w:r>
              <w:rPr>
                <w:rFonts w:hint="eastAsia" w:hAnsi="宋体"/>
                <w:color w:val="0D0D0D"/>
                <w:kern w:val="24"/>
                <w:sz w:val="24"/>
              </w:rPr>
              <w:t>生产</w:t>
            </w:r>
            <w:r>
              <w:rPr>
                <w:rFonts w:hAnsi="宋体"/>
                <w:color w:val="0D0D0D"/>
                <w:kern w:val="24"/>
                <w:sz w:val="24"/>
              </w:rPr>
              <w:t>，无住宿</w:t>
            </w:r>
            <w:r>
              <w:rPr>
                <w:rFonts w:hint="eastAsia" w:hAnsi="宋体"/>
                <w:color w:val="0D0D0D"/>
                <w:kern w:val="24"/>
                <w:sz w:val="24"/>
                <w:lang w:eastAsia="zh-CN"/>
              </w:rPr>
              <w:t>，</w:t>
            </w:r>
            <w:r>
              <w:rPr>
                <w:rFonts w:hint="eastAsia" w:ascii="Times New Roman" w:hAnsi="Times New Roman" w:eastAsia="宋体" w:cs="Times New Roman"/>
                <w:kern w:val="0"/>
                <w:sz w:val="24"/>
                <w:szCs w:val="20"/>
                <w:lang w:val="en-US" w:eastAsia="zh-CN" w:bidi="ar-SA"/>
              </w:rPr>
              <w:t>每天工作12小时，年工作日</w:t>
            </w:r>
            <w:r>
              <w:rPr>
                <w:rFonts w:hint="default" w:ascii="Times New Roman" w:hAnsi="Times New Roman" w:eastAsia="宋体" w:cs="Times New Roman"/>
                <w:kern w:val="0"/>
                <w:sz w:val="24"/>
                <w:szCs w:val="20"/>
                <w:lang w:val="en-US" w:eastAsia="zh-CN" w:bidi="ar-SA"/>
              </w:rPr>
              <w:t>300</w:t>
            </w:r>
            <w:r>
              <w:rPr>
                <w:rFonts w:hint="eastAsia" w:ascii="Times New Roman" w:hAnsi="Times New Roman" w:eastAsia="宋体" w:cs="Times New Roman"/>
                <w:kern w:val="0"/>
                <w:sz w:val="24"/>
                <w:szCs w:val="20"/>
                <w:lang w:val="en-US" w:eastAsia="zh-CN" w:bidi="ar-SA"/>
              </w:rPr>
              <w:t>天。</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71" w:hRule="atLeast"/>
          <w:jc w:val="center"/>
        </w:trPr>
        <w:tc>
          <w:tcPr>
            <w:tcW w:w="889" w:type="dxa"/>
            <w:vAlign w:val="center"/>
          </w:tcPr>
          <w:p>
            <w:pPr>
              <w:pStyle w:val="24"/>
              <w:adjustRightInd w:val="0"/>
              <w:snapToGrid w:val="0"/>
              <w:spacing w:before="0" w:beforeAutospacing="0" w:after="0" w:afterAutospacing="0"/>
              <w:jc w:val="center"/>
              <w:rPr>
                <w:rFonts w:ascii="Times New Roman" w:hAnsi="Times New Roman" w:cs="宋体"/>
                <w:sz w:val="21"/>
                <w:szCs w:val="21"/>
              </w:rPr>
            </w:pPr>
            <w:r>
              <w:rPr>
                <w:rFonts w:hint="eastAsia" w:ascii="Times New Roman" w:hAnsi="Times New Roman" w:cs="宋体"/>
                <w:szCs w:val="24"/>
              </w:rPr>
              <w:t>工艺流程和产排污环节</w:t>
            </w:r>
          </w:p>
        </w:tc>
        <w:tc>
          <w:tcPr>
            <w:tcW w:w="7935" w:type="dxa"/>
          </w:tcPr>
          <w:p>
            <w:pPr>
              <w:numPr>
                <w:ilvl w:val="0"/>
                <w:numId w:val="2"/>
              </w:numPr>
              <w:autoSpaceDE w:val="0"/>
              <w:spacing w:line="360" w:lineRule="auto"/>
              <w:ind w:firstLine="482" w:firstLineChars="200"/>
              <w:jc w:val="left"/>
              <w:rPr>
                <w:b/>
                <w:bCs/>
                <w:color w:val="auto"/>
                <w:sz w:val="24"/>
              </w:rPr>
            </w:pPr>
            <w:r>
              <w:rPr>
                <w:b/>
                <w:bCs/>
                <w:color w:val="auto"/>
                <w:sz w:val="24"/>
              </w:rPr>
              <w:t xml:space="preserve">生产工艺流程 </w:t>
            </w:r>
          </w:p>
          <w:p>
            <w:pPr>
              <w:numPr>
                <w:ilvl w:val="0"/>
                <w:numId w:val="0"/>
              </w:numPr>
              <w:autoSpaceDE w:val="0"/>
              <w:spacing w:line="360" w:lineRule="auto"/>
              <w:jc w:val="center"/>
              <w:rPr>
                <w:b/>
                <w:bCs/>
                <w:color w:val="auto"/>
                <w:sz w:val="24"/>
              </w:rPr>
            </w:pPr>
            <w:r>
              <w:drawing>
                <wp:inline distT="0" distB="0" distL="114300" distR="114300">
                  <wp:extent cx="2763520" cy="3938905"/>
                  <wp:effectExtent l="0" t="0" r="17780" b="4445"/>
                  <wp:docPr id="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pic:cNvPicPr>
                            <a:picLocks noChangeAspect="1"/>
                          </pic:cNvPicPr>
                        </pic:nvPicPr>
                        <pic:blipFill>
                          <a:blip r:embed="rId6"/>
                          <a:stretch>
                            <a:fillRect/>
                          </a:stretch>
                        </pic:blipFill>
                        <pic:spPr>
                          <a:xfrm>
                            <a:off x="0" y="0"/>
                            <a:ext cx="2763520" cy="3938905"/>
                          </a:xfrm>
                          <a:prstGeom prst="rect">
                            <a:avLst/>
                          </a:prstGeom>
                          <a:noFill/>
                          <a:ln>
                            <a:noFill/>
                          </a:ln>
                        </pic:spPr>
                      </pic:pic>
                    </a:graphicData>
                  </a:graphic>
                </wp:inline>
              </w:drawing>
            </w:r>
          </w:p>
          <w:p>
            <w:pPr>
              <w:spacing w:line="360" w:lineRule="auto"/>
              <w:ind w:firstLine="482" w:firstLineChars="200"/>
              <w:jc w:val="center"/>
              <w:rPr>
                <w:b/>
                <w:color w:val="auto"/>
                <w:sz w:val="24"/>
              </w:rPr>
            </w:pPr>
            <w:r>
              <w:rPr>
                <w:rFonts w:hint="eastAsia"/>
                <w:b/>
                <w:color w:val="auto"/>
                <w:sz w:val="24"/>
              </w:rPr>
              <w:t>图</w:t>
            </w:r>
            <w:r>
              <w:rPr>
                <w:b/>
                <w:color w:val="auto"/>
                <w:sz w:val="24"/>
              </w:rPr>
              <w:t>2</w:t>
            </w:r>
            <w:r>
              <w:rPr>
                <w:rFonts w:hint="eastAsia"/>
                <w:b/>
                <w:color w:val="auto"/>
                <w:sz w:val="24"/>
              </w:rPr>
              <w:t>-</w:t>
            </w:r>
            <w:r>
              <w:rPr>
                <w:rFonts w:hint="eastAsia"/>
                <w:b/>
                <w:color w:val="auto"/>
                <w:sz w:val="24"/>
                <w:lang w:val="en-US" w:eastAsia="zh-CN"/>
              </w:rPr>
              <w:t>1</w:t>
            </w:r>
            <w:r>
              <w:rPr>
                <w:rFonts w:hint="eastAsia"/>
                <w:b/>
                <w:color w:val="auto"/>
                <w:sz w:val="24"/>
              </w:rPr>
              <w:t xml:space="preserve"> 生产工艺流程图</w:t>
            </w:r>
          </w:p>
          <w:p>
            <w:pPr>
              <w:spacing w:line="360" w:lineRule="auto"/>
              <w:ind w:firstLine="480" w:firstLineChars="200"/>
              <w:rPr>
                <w:rFonts w:ascii="Times New Roman" w:hAnsi="Times New Roman"/>
                <w:sz w:val="24"/>
                <w:szCs w:val="24"/>
              </w:rPr>
            </w:pPr>
            <w:r>
              <w:rPr>
                <w:rFonts w:ascii="Times New Roman" w:hAnsi="Times New Roman"/>
                <w:sz w:val="24"/>
                <w:szCs w:val="24"/>
              </w:rPr>
              <w:t>工艺说明：</w:t>
            </w:r>
          </w:p>
          <w:p>
            <w:pPr>
              <w:spacing w:line="360" w:lineRule="auto"/>
              <w:ind w:firstLine="482" w:firstLineChars="200"/>
              <w:rPr>
                <w:rFonts w:ascii="Times New Roman" w:hAnsi="Times New Roman"/>
                <w:sz w:val="24"/>
                <w:szCs w:val="24"/>
              </w:rPr>
            </w:pPr>
            <w:r>
              <w:rPr>
                <w:rFonts w:hint="eastAsia" w:ascii="Times New Roman" w:hAnsi="Times New Roman"/>
                <w:b/>
                <w:bCs/>
                <w:sz w:val="24"/>
                <w:szCs w:val="24"/>
              </w:rPr>
              <w:t>本项目破碎</w:t>
            </w:r>
            <w:r>
              <w:rPr>
                <w:rFonts w:hint="eastAsia"/>
                <w:b/>
                <w:bCs/>
                <w:sz w:val="24"/>
                <w:szCs w:val="24"/>
                <w:lang w:val="en-US" w:eastAsia="zh-CN"/>
              </w:rPr>
              <w:t>以及</w:t>
            </w:r>
            <w:r>
              <w:rPr>
                <w:rFonts w:hint="eastAsia" w:ascii="Times New Roman" w:hAnsi="Times New Roman"/>
                <w:b/>
                <w:bCs/>
                <w:sz w:val="24"/>
                <w:szCs w:val="24"/>
              </w:rPr>
              <w:t>筛分工序采用湿法工艺，目的为有效减少干法</w:t>
            </w:r>
            <w:r>
              <w:rPr>
                <w:rFonts w:hint="eastAsia"/>
                <w:b/>
                <w:bCs/>
                <w:sz w:val="24"/>
                <w:szCs w:val="24"/>
                <w:lang w:val="en-US" w:eastAsia="zh-CN"/>
              </w:rPr>
              <w:t>破碎</w:t>
            </w:r>
            <w:r>
              <w:rPr>
                <w:rFonts w:hint="eastAsia" w:ascii="Times New Roman" w:hAnsi="Times New Roman"/>
                <w:b/>
                <w:bCs/>
                <w:sz w:val="24"/>
                <w:szCs w:val="24"/>
              </w:rPr>
              <w:t>及筛分时逸散的粉尘，湿法破碎</w:t>
            </w:r>
            <w:r>
              <w:rPr>
                <w:rFonts w:hint="eastAsia"/>
                <w:b/>
                <w:bCs/>
                <w:sz w:val="24"/>
                <w:szCs w:val="24"/>
                <w:lang w:val="en-US" w:eastAsia="zh-CN"/>
              </w:rPr>
              <w:t>筛分</w:t>
            </w:r>
            <w:r>
              <w:rPr>
                <w:rFonts w:hint="eastAsia" w:ascii="Times New Roman" w:hAnsi="Times New Roman"/>
                <w:b/>
                <w:bCs/>
                <w:sz w:val="24"/>
                <w:szCs w:val="24"/>
              </w:rPr>
              <w:t>的方法在</w:t>
            </w:r>
            <w:r>
              <w:rPr>
                <w:rFonts w:hint="eastAsia"/>
                <w:b/>
                <w:bCs/>
                <w:sz w:val="24"/>
                <w:szCs w:val="24"/>
                <w:lang w:val="en-US" w:eastAsia="zh-CN"/>
              </w:rPr>
              <w:t>破碎和筛分口料口安装喷淋装置</w:t>
            </w:r>
            <w:r>
              <w:rPr>
                <w:rFonts w:hint="eastAsia" w:ascii="Times New Roman" w:hAnsi="Times New Roman"/>
                <w:b/>
                <w:bCs/>
                <w:sz w:val="24"/>
                <w:szCs w:val="24"/>
              </w:rPr>
              <w:t>将物料打湿，使其产品含水率为</w:t>
            </w:r>
            <w:r>
              <w:rPr>
                <w:rFonts w:hint="eastAsia"/>
                <w:b/>
                <w:bCs/>
                <w:sz w:val="24"/>
                <w:szCs w:val="24"/>
                <w:lang w:val="en-US" w:eastAsia="zh-CN"/>
              </w:rPr>
              <w:t>2</w:t>
            </w:r>
            <w:r>
              <w:rPr>
                <w:rFonts w:hint="eastAsia" w:ascii="Times New Roman" w:hAnsi="Times New Roman"/>
                <w:b/>
                <w:bCs/>
                <w:sz w:val="24"/>
                <w:szCs w:val="24"/>
              </w:rPr>
              <w:t>0%，采用上述湿法工艺破碎筛分</w:t>
            </w:r>
            <w:r>
              <w:rPr>
                <w:rFonts w:hint="eastAsia"/>
                <w:b/>
                <w:bCs/>
                <w:sz w:val="24"/>
                <w:szCs w:val="24"/>
                <w:lang w:val="en-US" w:eastAsia="zh-CN"/>
              </w:rPr>
              <w:t>碎</w:t>
            </w:r>
            <w:r>
              <w:rPr>
                <w:rFonts w:hint="eastAsia" w:ascii="Times New Roman" w:hAnsi="Times New Roman"/>
                <w:b/>
                <w:bCs/>
                <w:sz w:val="24"/>
                <w:szCs w:val="24"/>
              </w:rPr>
              <w:t>石可以有效的抑制粉尘的产生。</w:t>
            </w:r>
          </w:p>
          <w:p>
            <w:pPr>
              <w:spacing w:line="360" w:lineRule="auto"/>
              <w:ind w:firstLine="480" w:firstLineChars="200"/>
              <w:rPr>
                <w:rFonts w:ascii="Times New Roman" w:hAnsi="Times New Roman"/>
                <w:sz w:val="24"/>
                <w:szCs w:val="24"/>
              </w:rPr>
            </w:pPr>
            <w:r>
              <w:rPr>
                <w:rFonts w:ascii="Times New Roman" w:hAnsi="Times New Roman"/>
                <w:sz w:val="24"/>
                <w:szCs w:val="24"/>
              </w:rPr>
              <w:t>①外购</w:t>
            </w:r>
            <w:r>
              <w:rPr>
                <w:rFonts w:hint="eastAsia"/>
                <w:sz w:val="24"/>
                <w:szCs w:val="24"/>
                <w:lang w:val="en-US" w:eastAsia="zh-CN"/>
              </w:rPr>
              <w:t>青石、鹅卵石</w:t>
            </w:r>
            <w:r>
              <w:rPr>
                <w:rFonts w:ascii="Times New Roman" w:hAnsi="Times New Roman"/>
                <w:sz w:val="24"/>
                <w:szCs w:val="24"/>
              </w:rPr>
              <w:t>原料，通过汽车将砂石原料运输到厂房里，此过程在卸货时候会产生少量的粉尘颗粒，以无组织形式排放。</w:t>
            </w:r>
            <w:r>
              <w:rPr>
                <w:rFonts w:hint="eastAsia"/>
                <w:sz w:val="24"/>
                <w:szCs w:val="24"/>
                <w:lang w:val="en-US" w:eastAsia="zh-CN"/>
              </w:rPr>
              <w:t>原材料仓库</w:t>
            </w:r>
            <w:r>
              <w:rPr>
                <w:rFonts w:hint="eastAsia" w:ascii="Times New Roman" w:hAnsi="Times New Roman"/>
                <w:sz w:val="24"/>
                <w:szCs w:val="24"/>
              </w:rPr>
              <w:t>设置在全封闭车间内，原料上方</w:t>
            </w:r>
            <w:r>
              <w:rPr>
                <w:rFonts w:ascii="Times New Roman" w:hAnsi="Times New Roman"/>
                <w:sz w:val="24"/>
                <w:szCs w:val="24"/>
              </w:rPr>
              <w:t>设置盖布，</w:t>
            </w:r>
            <w:r>
              <w:rPr>
                <w:rFonts w:hint="eastAsia" w:ascii="Times New Roman" w:hAnsi="Times New Roman"/>
                <w:sz w:val="24"/>
                <w:szCs w:val="24"/>
              </w:rPr>
              <w:t>并</w:t>
            </w:r>
            <w:r>
              <w:rPr>
                <w:rFonts w:ascii="Times New Roman" w:hAnsi="Times New Roman"/>
                <w:sz w:val="24"/>
                <w:szCs w:val="24"/>
              </w:rPr>
              <w:t>进行洒水处理。</w:t>
            </w:r>
          </w:p>
          <w:p>
            <w:pPr>
              <w:spacing w:line="360" w:lineRule="auto"/>
              <w:ind w:firstLine="480" w:firstLineChars="200"/>
              <w:rPr>
                <w:rFonts w:hint="default" w:ascii="Times New Roman" w:hAnsi="Times New Roman"/>
                <w:sz w:val="24"/>
                <w:szCs w:val="24"/>
                <w:lang w:val="en-US"/>
              </w:rPr>
            </w:pPr>
            <w:r>
              <w:rPr>
                <w:rFonts w:ascii="Times New Roman" w:hAnsi="Times New Roman"/>
                <w:sz w:val="24"/>
                <w:szCs w:val="24"/>
              </w:rPr>
              <w:t>②破碎：砂石进场后，</w:t>
            </w:r>
            <w:r>
              <w:rPr>
                <w:rFonts w:hint="eastAsia" w:ascii="Times New Roman" w:hAnsi="Times New Roman"/>
                <w:sz w:val="24"/>
                <w:szCs w:val="24"/>
              </w:rPr>
              <w:t>原料通过给料机进入破碎机内，首先使用</w:t>
            </w:r>
            <w:r>
              <w:rPr>
                <w:rFonts w:hint="eastAsia"/>
                <w:sz w:val="24"/>
                <w:szCs w:val="24"/>
                <w:lang w:val="en-US" w:eastAsia="zh-CN"/>
              </w:rPr>
              <w:t>头破</w:t>
            </w:r>
            <w:r>
              <w:rPr>
                <w:rFonts w:hint="eastAsia" w:ascii="Times New Roman" w:hAnsi="Times New Roman"/>
                <w:sz w:val="24"/>
                <w:szCs w:val="24"/>
              </w:rPr>
              <w:t>机对原料进行</w:t>
            </w:r>
            <w:r>
              <w:rPr>
                <w:rFonts w:hint="eastAsia"/>
                <w:sz w:val="24"/>
                <w:szCs w:val="24"/>
                <w:lang w:val="en-US" w:eastAsia="zh-CN"/>
              </w:rPr>
              <w:t>粗</w:t>
            </w:r>
            <w:r>
              <w:rPr>
                <w:rFonts w:hint="eastAsia" w:ascii="Times New Roman" w:hAnsi="Times New Roman"/>
                <w:sz w:val="24"/>
                <w:szCs w:val="24"/>
              </w:rPr>
              <w:t>破，</w:t>
            </w:r>
            <w:r>
              <w:rPr>
                <w:rFonts w:hint="eastAsia"/>
                <w:sz w:val="24"/>
                <w:szCs w:val="24"/>
                <w:lang w:val="en-US" w:eastAsia="zh-CN"/>
              </w:rPr>
              <w:t>破碎后</w:t>
            </w:r>
            <w:r>
              <w:rPr>
                <w:rFonts w:hint="eastAsia" w:ascii="Times New Roman" w:hAnsi="Times New Roman"/>
                <w:sz w:val="24"/>
                <w:szCs w:val="24"/>
              </w:rPr>
              <w:t>经皮带机送至圆锥破进行破</w:t>
            </w:r>
            <w:r>
              <w:rPr>
                <w:rFonts w:hint="eastAsia"/>
                <w:sz w:val="24"/>
                <w:szCs w:val="24"/>
                <w:lang w:val="en-US" w:eastAsia="zh-CN"/>
              </w:rPr>
              <w:t>碎，接着送入制砂机细碎。破碎过程会产生粉尘，在头破机、圆锥机、制砂机料口设置喷淋装置，将物料打</w:t>
            </w:r>
            <w:r>
              <w:rPr>
                <w:rFonts w:hint="eastAsia" w:ascii="Times New Roman" w:hAnsi="Times New Roman" w:eastAsia="宋体" w:cs="Times New Roman"/>
                <w:sz w:val="24"/>
                <w:szCs w:val="24"/>
                <w:lang w:val="en-US" w:eastAsia="zh-CN"/>
              </w:rPr>
              <w:t>湿进行湿式破碎可有效的抑制粉尘的排放。</w:t>
            </w:r>
          </w:p>
          <w:p>
            <w:pPr>
              <w:spacing w:line="360" w:lineRule="auto"/>
              <w:ind w:firstLine="480" w:firstLineChars="200"/>
              <w:rPr>
                <w:rFonts w:ascii="Times New Roman" w:hAnsi="Times New Roman"/>
                <w:sz w:val="24"/>
                <w:szCs w:val="24"/>
              </w:rPr>
            </w:pPr>
            <w:r>
              <w:rPr>
                <w:rFonts w:ascii="Times New Roman" w:hAnsi="Times New Roman"/>
                <w:sz w:val="24"/>
                <w:szCs w:val="24"/>
              </w:rPr>
              <w:t>③筛</w:t>
            </w:r>
            <w:r>
              <w:rPr>
                <w:rFonts w:hint="eastAsia"/>
                <w:sz w:val="24"/>
                <w:szCs w:val="24"/>
                <w:lang w:val="en-US" w:eastAsia="zh-CN"/>
              </w:rPr>
              <w:t>分</w:t>
            </w:r>
            <w:r>
              <w:rPr>
                <w:rFonts w:ascii="Times New Roman" w:hAnsi="Times New Roman"/>
                <w:sz w:val="24"/>
                <w:szCs w:val="24"/>
              </w:rPr>
              <w:t>：</w:t>
            </w:r>
            <w:r>
              <w:rPr>
                <w:rFonts w:hint="eastAsia" w:ascii="Times New Roman" w:hAnsi="Times New Roman"/>
                <w:sz w:val="24"/>
                <w:szCs w:val="24"/>
              </w:rPr>
              <w:t>破</w:t>
            </w:r>
            <w:r>
              <w:rPr>
                <w:rFonts w:hint="eastAsia"/>
                <w:sz w:val="24"/>
                <w:szCs w:val="24"/>
                <w:lang w:val="en-US" w:eastAsia="zh-CN"/>
              </w:rPr>
              <w:t>碎</w:t>
            </w:r>
            <w:r>
              <w:rPr>
                <w:rFonts w:hint="eastAsia" w:ascii="Times New Roman" w:hAnsi="Times New Roman"/>
                <w:sz w:val="24"/>
                <w:szCs w:val="24"/>
              </w:rPr>
              <w:t>后</w:t>
            </w:r>
            <w:r>
              <w:rPr>
                <w:rFonts w:hint="eastAsia"/>
                <w:sz w:val="24"/>
                <w:szCs w:val="24"/>
                <w:lang w:val="en-US" w:eastAsia="zh-CN"/>
              </w:rPr>
              <w:t>进入</w:t>
            </w:r>
            <w:r>
              <w:rPr>
                <w:rFonts w:hint="eastAsia" w:ascii="Times New Roman" w:hAnsi="Times New Roman"/>
                <w:sz w:val="24"/>
                <w:szCs w:val="24"/>
              </w:rPr>
              <w:t>振动筛筛分出的</w:t>
            </w:r>
            <w:r>
              <w:rPr>
                <w:rFonts w:hint="eastAsia"/>
                <w:sz w:val="24"/>
                <w:szCs w:val="24"/>
                <w:lang w:val="en-US" w:eastAsia="zh-CN"/>
              </w:rPr>
              <w:t>大于32mm</w:t>
            </w:r>
            <w:r>
              <w:rPr>
                <w:rFonts w:hint="eastAsia" w:ascii="Times New Roman" w:hAnsi="Times New Roman"/>
                <w:sz w:val="24"/>
                <w:szCs w:val="24"/>
              </w:rPr>
              <w:t>粒径石子返回</w:t>
            </w:r>
            <w:r>
              <w:rPr>
                <w:rFonts w:hint="eastAsia"/>
                <w:sz w:val="24"/>
                <w:szCs w:val="24"/>
                <w:lang w:val="en-US" w:eastAsia="zh-CN"/>
              </w:rPr>
              <w:t>圆锥机</w:t>
            </w:r>
            <w:r>
              <w:rPr>
                <w:rFonts w:hint="eastAsia" w:ascii="Times New Roman" w:hAnsi="Times New Roman"/>
                <w:sz w:val="24"/>
                <w:szCs w:val="24"/>
              </w:rPr>
              <w:t>重新破碎，</w:t>
            </w:r>
            <w:r>
              <w:rPr>
                <w:rFonts w:hint="eastAsia"/>
                <w:sz w:val="24"/>
                <w:szCs w:val="24"/>
                <w:lang w:val="en-US" w:eastAsia="zh-CN"/>
              </w:rPr>
              <w:t>大于4mm小于32mm返回制砂机破碎</w:t>
            </w:r>
            <w:r>
              <w:rPr>
                <w:rFonts w:ascii="Times New Roman" w:hAnsi="Times New Roman"/>
                <w:sz w:val="24"/>
                <w:szCs w:val="24"/>
              </w:rPr>
              <w:t>。</w:t>
            </w:r>
            <w:r>
              <w:rPr>
                <w:rFonts w:hint="eastAsia" w:ascii="Times New Roman" w:hAnsi="Times New Roman"/>
                <w:sz w:val="24"/>
                <w:szCs w:val="24"/>
              </w:rPr>
              <w:t>筛分出的</w:t>
            </w:r>
            <w:r>
              <w:rPr>
                <w:rFonts w:hint="eastAsia"/>
                <w:sz w:val="24"/>
                <w:szCs w:val="24"/>
                <w:lang w:val="en-US" w:eastAsia="zh-CN"/>
              </w:rPr>
              <w:t>成品进行</w:t>
            </w:r>
            <w:r>
              <w:rPr>
                <w:rFonts w:hint="eastAsia" w:ascii="Times New Roman" w:hAnsi="Times New Roman"/>
                <w:sz w:val="24"/>
                <w:szCs w:val="24"/>
              </w:rPr>
              <w:t>水洗</w:t>
            </w:r>
            <w:r>
              <w:rPr>
                <w:rFonts w:ascii="Times New Roman" w:hAnsi="Times New Roman"/>
                <w:sz w:val="24"/>
                <w:szCs w:val="24"/>
              </w:rPr>
              <w:t>。</w:t>
            </w:r>
            <w:r>
              <w:rPr>
                <w:rFonts w:hint="eastAsia"/>
                <w:sz w:val="24"/>
                <w:szCs w:val="24"/>
                <w:lang w:val="en-US" w:eastAsia="zh-CN"/>
              </w:rPr>
              <w:t>在振动筛上方设置喷淋装置，进行湿式筛分</w:t>
            </w:r>
            <w:r>
              <w:rPr>
                <w:rFonts w:hint="eastAsia" w:ascii="Times New Roman" w:hAnsi="Times New Roman" w:eastAsia="宋体" w:cs="Times New Roman"/>
                <w:sz w:val="24"/>
                <w:szCs w:val="24"/>
                <w:lang w:val="en-US" w:eastAsia="zh-CN"/>
              </w:rPr>
              <w:t>可有效的抑制筛分粉尘的排放。</w:t>
            </w:r>
          </w:p>
          <w:p>
            <w:pPr>
              <w:spacing w:line="360" w:lineRule="auto"/>
              <w:ind w:firstLine="480" w:firstLineChars="200"/>
              <w:rPr>
                <w:rFonts w:hint="default" w:ascii="Times New Roman" w:hAnsi="Times New Roman" w:eastAsia="宋体"/>
                <w:sz w:val="24"/>
                <w:szCs w:val="24"/>
                <w:lang w:val="en-US" w:eastAsia="zh-CN"/>
              </w:rPr>
            </w:pPr>
            <w:r>
              <w:rPr>
                <w:rFonts w:ascii="Times New Roman" w:hAnsi="Times New Roman"/>
                <w:sz w:val="24"/>
                <w:szCs w:val="24"/>
              </w:rPr>
              <w:t>④水洗</w:t>
            </w:r>
            <w:r>
              <w:rPr>
                <w:rFonts w:hint="eastAsia"/>
                <w:sz w:val="24"/>
                <w:szCs w:val="24"/>
                <w:lang w:val="en-US" w:eastAsia="zh-CN"/>
              </w:rPr>
              <w:t>脱水</w:t>
            </w:r>
            <w:r>
              <w:rPr>
                <w:rFonts w:hint="eastAsia"/>
                <w:sz w:val="24"/>
                <w:szCs w:val="24"/>
                <w:lang w:eastAsia="zh-CN"/>
              </w:rPr>
              <w:t>：利用洗砂机进行水洗，将附着在砂石上的泥砂进行清洗去除，通过脱水筛脱水得到粒径均匀、泥砂含量低的机制砂产品，然后通过高架输送带运送至</w:t>
            </w:r>
            <w:r>
              <w:rPr>
                <w:rFonts w:hint="eastAsia"/>
                <w:sz w:val="24"/>
                <w:szCs w:val="24"/>
                <w:lang w:val="en-US" w:eastAsia="zh-CN"/>
              </w:rPr>
              <w:t>成品区</w:t>
            </w:r>
            <w:r>
              <w:rPr>
                <w:rFonts w:ascii="Times New Roman" w:hAnsi="Times New Roman"/>
                <w:sz w:val="24"/>
                <w:szCs w:val="24"/>
              </w:rPr>
              <w:t>。</w:t>
            </w:r>
          </w:p>
          <w:p>
            <w:pPr>
              <w:pStyle w:val="6"/>
              <w:ind w:left="0" w:leftChars="0" w:firstLine="560" w:firstLineChars="200"/>
              <w:rPr>
                <w:rFonts w:ascii="Times New Roman" w:hAnsi="Times New Roman"/>
                <w:sz w:val="24"/>
                <w:szCs w:val="24"/>
              </w:rPr>
            </w:pPr>
            <w:r>
              <w:rPr>
                <w:rFonts w:hint="eastAsia" w:ascii="Times New Roman" w:hAnsi="Times New Roman"/>
                <w:sz w:val="24"/>
                <w:szCs w:val="24"/>
                <w:lang w:val="en-US" w:eastAsia="zh-CN"/>
              </w:rPr>
              <w:t>⑤</w:t>
            </w:r>
            <w:r>
              <w:rPr>
                <w:rFonts w:hint="eastAsia" w:ascii="Times New Roman" w:hAnsi="Times New Roman" w:eastAsia="宋体" w:cs="Times New Roman"/>
                <w:spacing w:val="0"/>
                <w:kern w:val="2"/>
                <w:sz w:val="24"/>
                <w:szCs w:val="24"/>
                <w:lang w:val="en-US" w:eastAsia="zh-CN" w:bidi="ar-SA"/>
              </w:rPr>
              <w:t>产品储存：本项目厂区全封闭建设，机制砂含水率7%，储存过程中无粉尘产生。</w:t>
            </w:r>
          </w:p>
          <w:p>
            <w:pPr>
              <w:numPr>
                <w:ilvl w:val="0"/>
                <w:numId w:val="0"/>
              </w:numPr>
              <w:spacing w:line="360" w:lineRule="auto"/>
              <w:ind w:leftChars="0"/>
              <w:rPr>
                <w:rFonts w:hint="eastAsia"/>
                <w:color w:val="000000"/>
                <w:sz w:val="24"/>
                <w:lang w:val="en-US" w:eastAsia="zh-CN"/>
              </w:rPr>
            </w:pPr>
            <w:r>
              <w:rPr>
                <w:rFonts w:hint="eastAsia"/>
                <w:b/>
                <w:bCs/>
                <w:color w:val="auto"/>
                <w:sz w:val="24"/>
                <w:lang w:val="en-US" w:eastAsia="zh-CN"/>
              </w:rPr>
              <w:t>2、物料平衡</w:t>
            </w:r>
          </w:p>
          <w:p>
            <w:pPr>
              <w:keepNext w:val="0"/>
              <w:keepLines w:val="0"/>
              <w:widowControl/>
              <w:suppressLineNumbers w:val="0"/>
              <w:jc w:val="center"/>
            </w:pPr>
            <w:r>
              <w:rPr>
                <w:rFonts w:hint="eastAsia" w:ascii="宋体" w:hAnsi="宋体" w:eastAsia="宋体" w:cs="宋体"/>
                <w:b/>
                <w:bCs/>
                <w:color w:val="000000"/>
                <w:kern w:val="0"/>
                <w:sz w:val="24"/>
                <w:szCs w:val="24"/>
                <w:lang w:val="en-US" w:eastAsia="zh-CN" w:bidi="ar"/>
              </w:rPr>
              <w:t xml:space="preserve">表 </w:t>
            </w:r>
            <w:r>
              <w:rPr>
                <w:rFonts w:hint="eastAsia" w:cs="Times New Roman"/>
                <w:b/>
                <w:bCs/>
                <w:color w:val="000000"/>
                <w:kern w:val="0"/>
                <w:sz w:val="24"/>
                <w:szCs w:val="24"/>
                <w:lang w:val="en-US" w:eastAsia="zh-CN" w:bidi="ar"/>
              </w:rPr>
              <w:t>2-9</w:t>
            </w:r>
            <w:r>
              <w:rPr>
                <w:rFonts w:hint="default" w:ascii="Times New Roman" w:hAnsi="Times New Roman" w:eastAsia="宋体" w:cs="Times New Roman"/>
                <w:b/>
                <w:bCs/>
                <w:color w:val="000000"/>
                <w:kern w:val="0"/>
                <w:sz w:val="24"/>
                <w:szCs w:val="24"/>
                <w:lang w:val="en-US" w:eastAsia="zh-CN" w:bidi="ar"/>
              </w:rPr>
              <w:t xml:space="preserve"> </w:t>
            </w:r>
            <w:r>
              <w:rPr>
                <w:rFonts w:hint="eastAsia" w:ascii="宋体" w:hAnsi="宋体" w:eastAsia="宋体" w:cs="宋体"/>
                <w:b/>
                <w:bCs/>
                <w:color w:val="000000"/>
                <w:kern w:val="0"/>
                <w:sz w:val="24"/>
                <w:szCs w:val="24"/>
                <w:lang w:val="en-US" w:eastAsia="zh-CN" w:bidi="ar"/>
              </w:rPr>
              <w:t>本项目物料平衡表</w:t>
            </w:r>
          </w:p>
          <w:tbl>
            <w:tblPr>
              <w:tblStyle w:val="27"/>
              <w:tblW w:w="4999" w:type="pct"/>
              <w:tblInd w:w="5"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929"/>
              <w:gridCol w:w="1929"/>
              <w:gridCol w:w="1929"/>
              <w:gridCol w:w="1931"/>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858" w:type="dxa"/>
                  <w:gridSpan w:val="2"/>
                  <w:vAlign w:val="top"/>
                </w:tcPr>
                <w:p>
                  <w:pPr>
                    <w:pStyle w:val="6"/>
                    <w:numPr>
                      <w:ilvl w:val="0"/>
                      <w:numId w:val="0"/>
                    </w:numPr>
                    <w:jc w:val="center"/>
                    <w:rPr>
                      <w:rFonts w:hint="default"/>
                      <w:b/>
                      <w:bCs/>
                      <w:vertAlign w:val="baseline"/>
                      <w:lang w:val="en-US" w:eastAsia="zh-CN"/>
                    </w:rPr>
                  </w:pPr>
                  <w:r>
                    <w:rPr>
                      <w:rFonts w:hint="eastAsia"/>
                      <w:b/>
                      <w:bCs/>
                      <w:vertAlign w:val="baseline"/>
                      <w:lang w:val="en-US" w:eastAsia="zh-CN"/>
                    </w:rPr>
                    <w:t>入方</w:t>
                  </w:r>
                </w:p>
              </w:tc>
              <w:tc>
                <w:tcPr>
                  <w:tcW w:w="3860" w:type="dxa"/>
                  <w:gridSpan w:val="2"/>
                  <w:vAlign w:val="top"/>
                </w:tcPr>
                <w:p>
                  <w:pPr>
                    <w:pStyle w:val="6"/>
                    <w:numPr>
                      <w:ilvl w:val="0"/>
                      <w:numId w:val="0"/>
                    </w:numPr>
                    <w:jc w:val="center"/>
                    <w:rPr>
                      <w:rFonts w:hint="default"/>
                      <w:b/>
                      <w:bCs/>
                      <w:vertAlign w:val="baseline"/>
                      <w:lang w:val="en-US" w:eastAsia="zh-CN"/>
                    </w:rPr>
                  </w:pPr>
                  <w:r>
                    <w:rPr>
                      <w:rFonts w:hint="eastAsia"/>
                      <w:b/>
                      <w:bCs/>
                      <w:vertAlign w:val="baseline"/>
                      <w:lang w:val="en-US" w:eastAsia="zh-CN"/>
                    </w:rPr>
                    <w:t>出方</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929" w:type="dxa"/>
                  <w:vAlign w:val="top"/>
                </w:tcPr>
                <w:p>
                  <w:pPr>
                    <w:pStyle w:val="6"/>
                    <w:numPr>
                      <w:ilvl w:val="0"/>
                      <w:numId w:val="0"/>
                    </w:numPr>
                    <w:jc w:val="center"/>
                    <w:rPr>
                      <w:rFonts w:hint="default"/>
                      <w:b/>
                      <w:bCs/>
                      <w:vertAlign w:val="baseline"/>
                      <w:lang w:val="en-US" w:eastAsia="zh-CN"/>
                    </w:rPr>
                  </w:pPr>
                  <w:r>
                    <w:rPr>
                      <w:rFonts w:hint="eastAsia"/>
                      <w:b/>
                      <w:bCs/>
                      <w:vertAlign w:val="baseline"/>
                      <w:lang w:val="en-US" w:eastAsia="zh-CN"/>
                    </w:rPr>
                    <w:t>名称</w:t>
                  </w:r>
                </w:p>
              </w:tc>
              <w:tc>
                <w:tcPr>
                  <w:tcW w:w="1929" w:type="dxa"/>
                  <w:vAlign w:val="top"/>
                </w:tcPr>
                <w:p>
                  <w:pPr>
                    <w:pStyle w:val="6"/>
                    <w:numPr>
                      <w:ilvl w:val="0"/>
                      <w:numId w:val="0"/>
                    </w:numPr>
                    <w:jc w:val="center"/>
                    <w:rPr>
                      <w:rFonts w:hint="default"/>
                      <w:b/>
                      <w:bCs/>
                      <w:vertAlign w:val="baseline"/>
                      <w:lang w:val="en-US" w:eastAsia="zh-CN"/>
                    </w:rPr>
                  </w:pPr>
                  <w:r>
                    <w:rPr>
                      <w:rFonts w:hint="eastAsia"/>
                      <w:b/>
                      <w:bCs/>
                      <w:vertAlign w:val="baseline"/>
                      <w:lang w:val="en-US" w:eastAsia="zh-CN"/>
                    </w:rPr>
                    <w:t>用量（t/a）</w:t>
                  </w:r>
                </w:p>
              </w:tc>
              <w:tc>
                <w:tcPr>
                  <w:tcW w:w="1929" w:type="dxa"/>
                  <w:vAlign w:val="top"/>
                </w:tcPr>
                <w:p>
                  <w:pPr>
                    <w:pStyle w:val="6"/>
                    <w:numPr>
                      <w:ilvl w:val="0"/>
                      <w:numId w:val="0"/>
                    </w:numPr>
                    <w:jc w:val="center"/>
                    <w:rPr>
                      <w:rFonts w:hint="default"/>
                      <w:b/>
                      <w:bCs/>
                      <w:vertAlign w:val="baseline"/>
                      <w:lang w:val="en-US" w:eastAsia="zh-CN"/>
                    </w:rPr>
                  </w:pPr>
                  <w:r>
                    <w:rPr>
                      <w:rFonts w:hint="eastAsia"/>
                      <w:b/>
                      <w:bCs/>
                      <w:vertAlign w:val="baseline"/>
                      <w:lang w:val="en-US" w:eastAsia="zh-CN"/>
                    </w:rPr>
                    <w:t>去向</w:t>
                  </w:r>
                </w:p>
              </w:tc>
              <w:tc>
                <w:tcPr>
                  <w:tcW w:w="1931" w:type="dxa"/>
                  <w:vAlign w:val="top"/>
                </w:tcPr>
                <w:p>
                  <w:pPr>
                    <w:pStyle w:val="6"/>
                    <w:numPr>
                      <w:ilvl w:val="0"/>
                      <w:numId w:val="0"/>
                    </w:numPr>
                    <w:jc w:val="center"/>
                    <w:rPr>
                      <w:rFonts w:hint="default"/>
                      <w:b/>
                      <w:bCs/>
                      <w:vertAlign w:val="baseline"/>
                      <w:lang w:val="en-US" w:eastAsia="zh-CN"/>
                    </w:rPr>
                  </w:pPr>
                  <w:r>
                    <w:rPr>
                      <w:rFonts w:hint="eastAsia"/>
                      <w:b/>
                      <w:bCs/>
                      <w:vertAlign w:val="baseline"/>
                      <w:lang w:val="en-US" w:eastAsia="zh-CN"/>
                    </w:rPr>
                    <w:t>数量（t/a）</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929" w:type="dxa"/>
                  <w:vAlign w:val="top"/>
                </w:tcPr>
                <w:p>
                  <w:pPr>
                    <w:pStyle w:val="6"/>
                    <w:numPr>
                      <w:ilvl w:val="0"/>
                      <w:numId w:val="0"/>
                    </w:numPr>
                    <w:jc w:val="center"/>
                    <w:rPr>
                      <w:rFonts w:hint="default"/>
                      <w:vertAlign w:val="baseline"/>
                      <w:lang w:val="en-US" w:eastAsia="zh-CN"/>
                    </w:rPr>
                  </w:pPr>
                  <w:r>
                    <w:rPr>
                      <w:rFonts w:hint="eastAsia"/>
                      <w:vertAlign w:val="baseline"/>
                      <w:lang w:val="en-US" w:eastAsia="zh-CN"/>
                    </w:rPr>
                    <w:t>青石、鹅卵石</w:t>
                  </w:r>
                </w:p>
              </w:tc>
              <w:tc>
                <w:tcPr>
                  <w:tcW w:w="1929" w:type="dxa"/>
                  <w:vAlign w:val="top"/>
                </w:tcPr>
                <w:p>
                  <w:pPr>
                    <w:pStyle w:val="6"/>
                    <w:numPr>
                      <w:ilvl w:val="0"/>
                      <w:numId w:val="0"/>
                    </w:numPr>
                    <w:jc w:val="center"/>
                    <w:rPr>
                      <w:rFonts w:hint="default"/>
                      <w:vertAlign w:val="baseline"/>
                      <w:lang w:val="en-US" w:eastAsia="zh-CN"/>
                    </w:rPr>
                  </w:pPr>
                  <w:r>
                    <w:rPr>
                      <w:rFonts w:hint="eastAsia"/>
                      <w:vertAlign w:val="baseline"/>
                      <w:lang w:val="en-US" w:eastAsia="zh-CN"/>
                    </w:rPr>
                    <w:t>140000</w:t>
                  </w:r>
                </w:p>
              </w:tc>
              <w:tc>
                <w:tcPr>
                  <w:tcW w:w="1929" w:type="dxa"/>
                  <w:vAlign w:val="top"/>
                </w:tcPr>
                <w:p>
                  <w:pPr>
                    <w:pStyle w:val="6"/>
                    <w:numPr>
                      <w:ilvl w:val="0"/>
                      <w:numId w:val="0"/>
                    </w:numPr>
                    <w:jc w:val="center"/>
                    <w:rPr>
                      <w:rFonts w:hint="default"/>
                      <w:vertAlign w:val="baseline"/>
                      <w:lang w:val="en-US" w:eastAsia="zh-CN"/>
                    </w:rPr>
                  </w:pPr>
                  <w:r>
                    <w:rPr>
                      <w:rFonts w:hint="eastAsia"/>
                      <w:vertAlign w:val="baseline"/>
                      <w:lang w:val="en-US" w:eastAsia="zh-CN"/>
                    </w:rPr>
                    <w:t>机制砂</w:t>
                  </w:r>
                </w:p>
              </w:tc>
              <w:tc>
                <w:tcPr>
                  <w:tcW w:w="1931" w:type="dxa"/>
                  <w:vAlign w:val="top"/>
                </w:tcPr>
                <w:p>
                  <w:pPr>
                    <w:pStyle w:val="6"/>
                    <w:numPr>
                      <w:ilvl w:val="0"/>
                      <w:numId w:val="0"/>
                    </w:numPr>
                    <w:jc w:val="center"/>
                    <w:rPr>
                      <w:rFonts w:hint="default"/>
                      <w:vertAlign w:val="baseline"/>
                      <w:lang w:val="en-US" w:eastAsia="zh-CN"/>
                    </w:rPr>
                  </w:pPr>
                  <w:r>
                    <w:rPr>
                      <w:rFonts w:hint="eastAsia"/>
                      <w:vertAlign w:val="baseline"/>
                      <w:lang w:val="en-US" w:eastAsia="zh-CN"/>
                    </w:rPr>
                    <w:t>130000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929" w:type="dxa"/>
                  <w:vAlign w:val="top"/>
                </w:tcPr>
                <w:p>
                  <w:pPr>
                    <w:pStyle w:val="6"/>
                    <w:numPr>
                      <w:ilvl w:val="0"/>
                      <w:numId w:val="0"/>
                    </w:numPr>
                    <w:jc w:val="center"/>
                    <w:rPr>
                      <w:rFonts w:hint="default"/>
                      <w:vertAlign w:val="baseline"/>
                      <w:lang w:val="en-US" w:eastAsia="zh-CN"/>
                    </w:rPr>
                  </w:pPr>
                </w:p>
              </w:tc>
              <w:tc>
                <w:tcPr>
                  <w:tcW w:w="1929" w:type="dxa"/>
                  <w:vAlign w:val="top"/>
                </w:tcPr>
                <w:p>
                  <w:pPr>
                    <w:pStyle w:val="6"/>
                    <w:numPr>
                      <w:ilvl w:val="0"/>
                      <w:numId w:val="0"/>
                    </w:numPr>
                    <w:jc w:val="center"/>
                    <w:rPr>
                      <w:rFonts w:hint="default"/>
                      <w:vertAlign w:val="baseline"/>
                      <w:lang w:val="en-US" w:eastAsia="zh-CN"/>
                    </w:rPr>
                  </w:pPr>
                </w:p>
              </w:tc>
              <w:tc>
                <w:tcPr>
                  <w:tcW w:w="1929" w:type="dxa"/>
                  <w:vAlign w:val="top"/>
                </w:tcPr>
                <w:p>
                  <w:pPr>
                    <w:pStyle w:val="6"/>
                    <w:numPr>
                      <w:ilvl w:val="0"/>
                      <w:numId w:val="0"/>
                    </w:numPr>
                    <w:jc w:val="center"/>
                    <w:rPr>
                      <w:rFonts w:hint="default"/>
                      <w:vertAlign w:val="baseline"/>
                      <w:lang w:val="en-US" w:eastAsia="zh-CN"/>
                    </w:rPr>
                  </w:pPr>
                  <w:r>
                    <w:rPr>
                      <w:rFonts w:hint="eastAsia"/>
                      <w:color w:val="000000"/>
                      <w:sz w:val="24"/>
                      <w:lang w:val="en-US" w:eastAsia="zh-CN"/>
                    </w:rPr>
                    <w:t>装卸粉尘</w:t>
                  </w:r>
                </w:p>
              </w:tc>
              <w:tc>
                <w:tcPr>
                  <w:tcW w:w="1931" w:type="dxa"/>
                  <w:vAlign w:val="top"/>
                </w:tcPr>
                <w:p>
                  <w:pPr>
                    <w:pStyle w:val="6"/>
                    <w:numPr>
                      <w:ilvl w:val="0"/>
                      <w:numId w:val="0"/>
                    </w:numPr>
                    <w:jc w:val="center"/>
                    <w:rPr>
                      <w:rFonts w:hint="default"/>
                      <w:vertAlign w:val="baseline"/>
                      <w:lang w:val="en-US" w:eastAsia="zh-CN"/>
                    </w:rPr>
                  </w:pPr>
                  <w:r>
                    <w:rPr>
                      <w:rFonts w:hint="eastAsia"/>
                      <w:color w:val="000000"/>
                      <w:sz w:val="24"/>
                      <w:lang w:val="en-US" w:eastAsia="zh-CN"/>
                    </w:rPr>
                    <w:t>1.4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929" w:type="dxa"/>
                  <w:vAlign w:val="top"/>
                </w:tcPr>
                <w:p>
                  <w:pPr>
                    <w:pStyle w:val="6"/>
                    <w:numPr>
                      <w:ilvl w:val="0"/>
                      <w:numId w:val="0"/>
                    </w:numPr>
                    <w:jc w:val="center"/>
                    <w:rPr>
                      <w:rFonts w:hint="default"/>
                      <w:vertAlign w:val="baseline"/>
                      <w:lang w:val="en-US" w:eastAsia="zh-CN"/>
                    </w:rPr>
                  </w:pPr>
                </w:p>
              </w:tc>
              <w:tc>
                <w:tcPr>
                  <w:tcW w:w="1929" w:type="dxa"/>
                  <w:vAlign w:val="top"/>
                </w:tcPr>
                <w:p>
                  <w:pPr>
                    <w:pStyle w:val="6"/>
                    <w:numPr>
                      <w:ilvl w:val="0"/>
                      <w:numId w:val="0"/>
                    </w:numPr>
                    <w:jc w:val="center"/>
                    <w:rPr>
                      <w:rFonts w:hint="default"/>
                      <w:vertAlign w:val="baseline"/>
                      <w:lang w:val="en-US" w:eastAsia="zh-CN"/>
                    </w:rPr>
                  </w:pPr>
                </w:p>
              </w:tc>
              <w:tc>
                <w:tcPr>
                  <w:tcW w:w="1929" w:type="dxa"/>
                  <w:vAlign w:val="top"/>
                </w:tcPr>
                <w:p>
                  <w:pPr>
                    <w:pStyle w:val="6"/>
                    <w:numPr>
                      <w:ilvl w:val="0"/>
                      <w:numId w:val="0"/>
                    </w:numPr>
                    <w:jc w:val="center"/>
                    <w:rPr>
                      <w:rFonts w:hint="default"/>
                      <w:vertAlign w:val="baseline"/>
                      <w:lang w:val="en-US" w:eastAsia="zh-CN"/>
                    </w:rPr>
                  </w:pPr>
                  <w:r>
                    <w:rPr>
                      <w:rFonts w:hint="eastAsia"/>
                      <w:vertAlign w:val="baseline"/>
                      <w:lang w:val="en-US" w:eastAsia="zh-CN"/>
                    </w:rPr>
                    <w:t>破碎粉尘</w:t>
                  </w:r>
                </w:p>
              </w:tc>
              <w:tc>
                <w:tcPr>
                  <w:tcW w:w="1931" w:type="dxa"/>
                  <w:vAlign w:val="top"/>
                </w:tcPr>
                <w:p>
                  <w:pPr>
                    <w:pStyle w:val="6"/>
                    <w:numPr>
                      <w:ilvl w:val="0"/>
                      <w:numId w:val="0"/>
                    </w:numPr>
                    <w:jc w:val="center"/>
                    <w:rPr>
                      <w:rFonts w:hint="default"/>
                      <w:vertAlign w:val="baseline"/>
                      <w:lang w:val="en-US" w:eastAsia="zh-CN"/>
                    </w:rPr>
                  </w:pPr>
                  <w:r>
                    <w:rPr>
                      <w:rFonts w:hint="eastAsia"/>
                      <w:vertAlign w:val="baseline"/>
                      <w:lang w:val="en-US" w:eastAsia="zh-CN"/>
                    </w:rPr>
                    <w:t>42.098</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929" w:type="dxa"/>
                  <w:vAlign w:val="top"/>
                </w:tcPr>
                <w:p>
                  <w:pPr>
                    <w:pStyle w:val="6"/>
                    <w:numPr>
                      <w:ilvl w:val="0"/>
                      <w:numId w:val="0"/>
                    </w:numPr>
                    <w:jc w:val="center"/>
                    <w:rPr>
                      <w:rFonts w:hint="default"/>
                      <w:vertAlign w:val="baseline"/>
                      <w:lang w:val="en-US" w:eastAsia="zh-CN"/>
                    </w:rPr>
                  </w:pPr>
                </w:p>
              </w:tc>
              <w:tc>
                <w:tcPr>
                  <w:tcW w:w="1929" w:type="dxa"/>
                  <w:vAlign w:val="top"/>
                </w:tcPr>
                <w:p>
                  <w:pPr>
                    <w:pStyle w:val="6"/>
                    <w:numPr>
                      <w:ilvl w:val="0"/>
                      <w:numId w:val="0"/>
                    </w:numPr>
                    <w:jc w:val="center"/>
                    <w:rPr>
                      <w:rFonts w:hint="default"/>
                      <w:vertAlign w:val="baseline"/>
                      <w:lang w:val="en-US" w:eastAsia="zh-CN"/>
                    </w:rPr>
                  </w:pPr>
                </w:p>
              </w:tc>
              <w:tc>
                <w:tcPr>
                  <w:tcW w:w="1929" w:type="dxa"/>
                  <w:vAlign w:val="top"/>
                </w:tcPr>
                <w:p>
                  <w:pPr>
                    <w:pStyle w:val="6"/>
                    <w:numPr>
                      <w:ilvl w:val="0"/>
                      <w:numId w:val="0"/>
                    </w:numPr>
                    <w:jc w:val="center"/>
                    <w:rPr>
                      <w:rFonts w:hint="default"/>
                      <w:vertAlign w:val="baseline"/>
                      <w:lang w:val="en-US" w:eastAsia="zh-CN"/>
                    </w:rPr>
                  </w:pPr>
                  <w:r>
                    <w:rPr>
                      <w:rFonts w:hint="eastAsia"/>
                      <w:vertAlign w:val="baseline"/>
                      <w:lang w:val="en-US" w:eastAsia="zh-CN"/>
                    </w:rPr>
                    <w:t>筛分粉尘</w:t>
                  </w:r>
                </w:p>
              </w:tc>
              <w:tc>
                <w:tcPr>
                  <w:tcW w:w="1931" w:type="dxa"/>
                  <w:vAlign w:val="top"/>
                </w:tcPr>
                <w:p>
                  <w:pPr>
                    <w:pStyle w:val="6"/>
                    <w:numPr>
                      <w:ilvl w:val="0"/>
                      <w:numId w:val="0"/>
                    </w:numPr>
                    <w:jc w:val="center"/>
                    <w:rPr>
                      <w:rFonts w:hint="default"/>
                      <w:vertAlign w:val="baseline"/>
                      <w:lang w:val="en-US" w:eastAsia="zh-CN"/>
                    </w:rPr>
                  </w:pPr>
                  <w:r>
                    <w:rPr>
                      <w:rFonts w:hint="eastAsia"/>
                      <w:vertAlign w:val="baseline"/>
                      <w:lang w:val="en-US" w:eastAsia="zh-CN"/>
                    </w:rPr>
                    <w:t>56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929" w:type="dxa"/>
                  <w:vAlign w:val="top"/>
                </w:tcPr>
                <w:p>
                  <w:pPr>
                    <w:pStyle w:val="6"/>
                    <w:numPr>
                      <w:ilvl w:val="0"/>
                      <w:numId w:val="0"/>
                    </w:numPr>
                    <w:jc w:val="center"/>
                    <w:rPr>
                      <w:rFonts w:hint="default"/>
                      <w:vertAlign w:val="baseline"/>
                      <w:lang w:val="en-US" w:eastAsia="zh-CN"/>
                    </w:rPr>
                  </w:pPr>
                </w:p>
              </w:tc>
              <w:tc>
                <w:tcPr>
                  <w:tcW w:w="1929" w:type="dxa"/>
                  <w:vAlign w:val="top"/>
                </w:tcPr>
                <w:p>
                  <w:pPr>
                    <w:pStyle w:val="6"/>
                    <w:numPr>
                      <w:ilvl w:val="0"/>
                      <w:numId w:val="0"/>
                    </w:numPr>
                    <w:jc w:val="center"/>
                    <w:rPr>
                      <w:rFonts w:hint="default"/>
                      <w:vertAlign w:val="baseline"/>
                      <w:lang w:val="en-US" w:eastAsia="zh-CN"/>
                    </w:rPr>
                  </w:pPr>
                </w:p>
              </w:tc>
              <w:tc>
                <w:tcPr>
                  <w:tcW w:w="1929" w:type="dxa"/>
                  <w:vAlign w:val="top"/>
                </w:tcPr>
                <w:p>
                  <w:pPr>
                    <w:pStyle w:val="6"/>
                    <w:numPr>
                      <w:ilvl w:val="0"/>
                      <w:numId w:val="0"/>
                    </w:numPr>
                    <w:jc w:val="center"/>
                    <w:rPr>
                      <w:rFonts w:hint="default"/>
                      <w:vertAlign w:val="baseline"/>
                      <w:lang w:val="en-US" w:eastAsia="zh-CN"/>
                    </w:rPr>
                  </w:pPr>
                  <w:r>
                    <w:rPr>
                      <w:rFonts w:hint="eastAsia"/>
                      <w:vertAlign w:val="baseline"/>
                      <w:lang w:val="en-US" w:eastAsia="zh-CN"/>
                    </w:rPr>
                    <w:t>沉渣干重</w:t>
                  </w:r>
                </w:p>
              </w:tc>
              <w:tc>
                <w:tcPr>
                  <w:tcW w:w="1931" w:type="dxa"/>
                  <w:vAlign w:val="top"/>
                </w:tcPr>
                <w:p>
                  <w:pPr>
                    <w:pStyle w:val="6"/>
                    <w:numPr>
                      <w:ilvl w:val="0"/>
                      <w:numId w:val="0"/>
                    </w:numPr>
                    <w:jc w:val="center"/>
                    <w:rPr>
                      <w:rFonts w:hint="default"/>
                      <w:vertAlign w:val="baseline"/>
                      <w:lang w:val="en-US" w:eastAsia="zh-CN"/>
                    </w:rPr>
                  </w:pPr>
                  <w:r>
                    <w:rPr>
                      <w:rFonts w:hint="eastAsia"/>
                      <w:vertAlign w:val="baseline"/>
                      <w:lang w:val="en-US" w:eastAsia="zh-CN"/>
                    </w:rPr>
                    <w:t>9900.502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929" w:type="dxa"/>
                  <w:vAlign w:val="top"/>
                </w:tcPr>
                <w:p>
                  <w:pPr>
                    <w:pStyle w:val="6"/>
                    <w:numPr>
                      <w:ilvl w:val="0"/>
                      <w:numId w:val="0"/>
                    </w:numPr>
                    <w:jc w:val="center"/>
                    <w:rPr>
                      <w:rFonts w:hint="default"/>
                      <w:vertAlign w:val="baseline"/>
                      <w:lang w:val="en-US" w:eastAsia="zh-CN"/>
                    </w:rPr>
                  </w:pPr>
                  <w:r>
                    <w:rPr>
                      <w:rFonts w:hint="eastAsia"/>
                      <w:vertAlign w:val="baseline"/>
                      <w:lang w:val="en-US" w:eastAsia="zh-CN"/>
                    </w:rPr>
                    <w:t>合计</w:t>
                  </w:r>
                </w:p>
              </w:tc>
              <w:tc>
                <w:tcPr>
                  <w:tcW w:w="1929" w:type="dxa"/>
                  <w:vAlign w:val="top"/>
                </w:tcPr>
                <w:p>
                  <w:pPr>
                    <w:pStyle w:val="6"/>
                    <w:numPr>
                      <w:ilvl w:val="0"/>
                      <w:numId w:val="0"/>
                    </w:numPr>
                    <w:jc w:val="center"/>
                    <w:rPr>
                      <w:rFonts w:hint="default"/>
                      <w:vertAlign w:val="baseline"/>
                      <w:lang w:val="en-US" w:eastAsia="zh-CN"/>
                    </w:rPr>
                  </w:pPr>
                  <w:r>
                    <w:rPr>
                      <w:rFonts w:hint="eastAsia"/>
                      <w:vertAlign w:val="baseline"/>
                      <w:lang w:val="en-US" w:eastAsia="zh-CN"/>
                    </w:rPr>
                    <w:t>140000</w:t>
                  </w:r>
                </w:p>
              </w:tc>
              <w:tc>
                <w:tcPr>
                  <w:tcW w:w="1929" w:type="dxa"/>
                  <w:vAlign w:val="top"/>
                </w:tcPr>
                <w:p>
                  <w:pPr>
                    <w:pStyle w:val="6"/>
                    <w:numPr>
                      <w:ilvl w:val="0"/>
                      <w:numId w:val="0"/>
                    </w:numPr>
                    <w:jc w:val="center"/>
                    <w:rPr>
                      <w:rFonts w:hint="default"/>
                      <w:vertAlign w:val="baseline"/>
                      <w:lang w:val="en-US" w:eastAsia="zh-CN"/>
                    </w:rPr>
                  </w:pPr>
                  <w:r>
                    <w:rPr>
                      <w:rFonts w:hint="eastAsia"/>
                      <w:vertAlign w:val="baseline"/>
                      <w:lang w:val="en-US" w:eastAsia="zh-CN"/>
                    </w:rPr>
                    <w:t>合计</w:t>
                  </w:r>
                </w:p>
              </w:tc>
              <w:tc>
                <w:tcPr>
                  <w:tcW w:w="1931" w:type="dxa"/>
                  <w:vAlign w:val="top"/>
                </w:tcPr>
                <w:p>
                  <w:pPr>
                    <w:pStyle w:val="6"/>
                    <w:numPr>
                      <w:ilvl w:val="0"/>
                      <w:numId w:val="0"/>
                    </w:numPr>
                    <w:jc w:val="center"/>
                    <w:rPr>
                      <w:rFonts w:hint="default"/>
                      <w:vertAlign w:val="baseline"/>
                      <w:lang w:val="en-US" w:eastAsia="zh-CN"/>
                    </w:rPr>
                  </w:pPr>
                  <w:r>
                    <w:rPr>
                      <w:rFonts w:hint="eastAsia"/>
                      <w:vertAlign w:val="baseline"/>
                      <w:lang w:val="en-US" w:eastAsia="zh-CN"/>
                    </w:rPr>
                    <w:t>140000</w:t>
                  </w:r>
                </w:p>
              </w:tc>
            </w:tr>
          </w:tbl>
          <w:p>
            <w:pPr>
              <w:pStyle w:val="6"/>
              <w:numPr>
                <w:ilvl w:val="0"/>
                <w:numId w:val="0"/>
              </w:numPr>
              <w:ind w:leftChars="0"/>
              <w:rPr>
                <w:rFonts w:hint="default"/>
                <w:lang w:val="en-US" w:eastAsia="zh-CN"/>
              </w:rPr>
            </w:pPr>
          </w:p>
          <w:p>
            <w:pPr>
              <w:spacing w:line="360" w:lineRule="auto"/>
              <w:ind w:firstLine="420" w:firstLineChars="200"/>
              <w:jc w:val="center"/>
              <w:rPr>
                <w:rFonts w:hint="eastAsia"/>
                <w:color w:val="000000"/>
                <w:sz w:val="24"/>
              </w:rPr>
            </w:pPr>
            <w:r>
              <w:drawing>
                <wp:inline distT="0" distB="0" distL="114300" distR="114300">
                  <wp:extent cx="3498215" cy="4067810"/>
                  <wp:effectExtent l="0" t="0" r="6985" b="8890"/>
                  <wp:docPr id="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pic:cNvPicPr>
                            <a:picLocks noChangeAspect="1"/>
                          </pic:cNvPicPr>
                        </pic:nvPicPr>
                        <pic:blipFill>
                          <a:blip r:embed="rId7"/>
                          <a:stretch>
                            <a:fillRect/>
                          </a:stretch>
                        </pic:blipFill>
                        <pic:spPr>
                          <a:xfrm>
                            <a:off x="0" y="0"/>
                            <a:ext cx="3498215" cy="4067810"/>
                          </a:xfrm>
                          <a:prstGeom prst="rect">
                            <a:avLst/>
                          </a:prstGeom>
                          <a:noFill/>
                          <a:ln>
                            <a:noFill/>
                          </a:ln>
                        </pic:spPr>
                      </pic:pic>
                    </a:graphicData>
                  </a:graphic>
                </wp:inline>
              </w:drawing>
            </w:r>
          </w:p>
          <w:p>
            <w:pPr>
              <w:keepNext w:val="0"/>
              <w:keepLines w:val="0"/>
              <w:widowControl/>
              <w:suppressLineNumbers w:val="0"/>
              <w:jc w:val="center"/>
              <w:rPr>
                <w:rFonts w:hint="eastAsia"/>
                <w:color w:val="000000"/>
                <w:sz w:val="24"/>
              </w:rPr>
            </w:pPr>
            <w:r>
              <w:rPr>
                <w:rFonts w:hint="eastAsia" w:ascii="宋体" w:hAnsi="宋体" w:eastAsia="宋体" w:cs="宋体"/>
                <w:b/>
                <w:bCs/>
                <w:color w:val="000000"/>
                <w:kern w:val="0"/>
                <w:sz w:val="24"/>
                <w:szCs w:val="24"/>
                <w:lang w:val="en-US" w:eastAsia="zh-CN" w:bidi="ar"/>
              </w:rPr>
              <w:t xml:space="preserve">图 </w:t>
            </w:r>
            <w:r>
              <w:rPr>
                <w:rFonts w:hint="eastAsia" w:cs="Times New Roman"/>
                <w:b/>
                <w:bCs/>
                <w:color w:val="000000"/>
                <w:kern w:val="0"/>
                <w:sz w:val="24"/>
                <w:szCs w:val="24"/>
                <w:lang w:val="en-US" w:eastAsia="zh-CN" w:bidi="ar"/>
              </w:rPr>
              <w:t>2-2</w:t>
            </w:r>
            <w:r>
              <w:rPr>
                <w:rFonts w:hint="default" w:ascii="Times New Roman" w:hAnsi="Times New Roman" w:eastAsia="宋体" w:cs="Times New Roman"/>
                <w:b/>
                <w:bCs/>
                <w:color w:val="000000"/>
                <w:kern w:val="0"/>
                <w:sz w:val="24"/>
                <w:szCs w:val="24"/>
                <w:lang w:val="en-US" w:eastAsia="zh-CN" w:bidi="ar"/>
              </w:rPr>
              <w:t xml:space="preserve"> </w:t>
            </w:r>
            <w:r>
              <w:rPr>
                <w:rFonts w:hint="eastAsia" w:ascii="宋体" w:hAnsi="宋体" w:eastAsia="宋体" w:cs="宋体"/>
                <w:b/>
                <w:bCs/>
                <w:color w:val="000000"/>
                <w:kern w:val="0"/>
                <w:sz w:val="24"/>
                <w:szCs w:val="24"/>
                <w:lang w:val="en-US" w:eastAsia="zh-CN" w:bidi="ar"/>
              </w:rPr>
              <w:t xml:space="preserve">本项目物料平衡图 </w:t>
            </w:r>
            <w:r>
              <w:rPr>
                <w:rFonts w:hint="default" w:ascii="Times New Roman" w:hAnsi="Times New Roman" w:eastAsia="宋体" w:cs="Times New Roman"/>
                <w:b/>
                <w:bCs/>
                <w:color w:val="000000"/>
                <w:kern w:val="0"/>
                <w:sz w:val="24"/>
                <w:szCs w:val="24"/>
                <w:lang w:val="en-US" w:eastAsia="zh-CN" w:bidi="ar"/>
              </w:rPr>
              <w:t>(t/a)</w:t>
            </w:r>
          </w:p>
          <w:p>
            <w:pPr>
              <w:spacing w:line="360" w:lineRule="auto"/>
              <w:ind w:firstLine="420" w:firstLineChars="200"/>
              <w:rPr>
                <w:bCs/>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19" w:hRule="atLeast"/>
          <w:jc w:val="center"/>
        </w:trPr>
        <w:tc>
          <w:tcPr>
            <w:tcW w:w="889" w:type="dxa"/>
            <w:vAlign w:val="center"/>
          </w:tcPr>
          <w:p>
            <w:pPr>
              <w:pStyle w:val="24"/>
              <w:adjustRightInd w:val="0"/>
              <w:snapToGrid w:val="0"/>
              <w:spacing w:before="0" w:beforeAutospacing="0" w:after="0" w:afterAutospacing="0"/>
              <w:jc w:val="center"/>
              <w:rPr>
                <w:rFonts w:ascii="Times New Roman" w:hAnsi="Times New Roman" w:cs="宋体"/>
                <w:sz w:val="21"/>
                <w:szCs w:val="21"/>
              </w:rPr>
            </w:pPr>
            <w:r>
              <w:rPr>
                <w:rFonts w:hint="eastAsia" w:ascii="Times New Roman" w:hAnsi="Times New Roman" w:cs="宋体"/>
                <w:bCs/>
                <w:kern w:val="2"/>
                <w:szCs w:val="24"/>
              </w:rPr>
              <w:t>与项目有关的原有环境污染问题</w:t>
            </w:r>
          </w:p>
        </w:tc>
        <w:tc>
          <w:tcPr>
            <w:tcW w:w="7935" w:type="dxa"/>
          </w:tcPr>
          <w:p>
            <w:pPr>
              <w:autoSpaceDE w:val="0"/>
              <w:spacing w:line="360" w:lineRule="auto"/>
              <w:ind w:firstLine="482"/>
              <w:outlineLvl w:val="2"/>
              <w:rPr>
                <w:rFonts w:hint="eastAsia"/>
                <w:b/>
                <w:bCs/>
                <w:color w:val="000000"/>
                <w:sz w:val="24"/>
              </w:rPr>
            </w:pPr>
            <w:r>
              <w:rPr>
                <w:rFonts w:hint="default"/>
                <w:b/>
                <w:bCs/>
                <w:color w:val="000000"/>
                <w:sz w:val="24"/>
                <w:lang w:val="en-US" w:eastAsia="zh-CN"/>
              </w:rPr>
              <w:t>1</w:t>
            </w:r>
            <w:r>
              <w:rPr>
                <w:rFonts w:hint="eastAsia"/>
                <w:b/>
                <w:bCs/>
                <w:color w:val="000000"/>
                <w:sz w:val="24"/>
                <w:lang w:val="en-US" w:eastAsia="zh-CN"/>
              </w:rPr>
              <w:t xml:space="preserve">、现有项目环保“三同时”执行情况 </w:t>
            </w:r>
          </w:p>
          <w:p>
            <w:pPr>
              <w:spacing w:line="360" w:lineRule="auto"/>
              <w:ind w:firstLine="480" w:firstLineChars="200"/>
              <w:rPr>
                <w:rFonts w:hint="eastAsia"/>
                <w:color w:val="000000"/>
                <w:sz w:val="24"/>
                <w:lang w:val="en-US" w:eastAsia="zh-CN"/>
              </w:rPr>
            </w:pPr>
            <w:r>
              <w:rPr>
                <w:rFonts w:hint="eastAsia"/>
                <w:color w:val="000000"/>
                <w:sz w:val="24"/>
                <w:lang w:val="en-US" w:eastAsia="zh-CN"/>
              </w:rPr>
              <w:t xml:space="preserve">现有项目的环评手续履行情况见表 </w:t>
            </w:r>
            <w:r>
              <w:rPr>
                <w:rFonts w:hint="default"/>
                <w:color w:val="000000"/>
                <w:sz w:val="24"/>
                <w:lang w:val="en-US" w:eastAsia="zh-CN"/>
              </w:rPr>
              <w:t>2-</w:t>
            </w:r>
            <w:r>
              <w:rPr>
                <w:rFonts w:hint="eastAsia"/>
                <w:color w:val="000000"/>
                <w:sz w:val="24"/>
                <w:lang w:val="en-US" w:eastAsia="zh-CN"/>
              </w:rPr>
              <w:t xml:space="preserve">10。 </w:t>
            </w:r>
          </w:p>
          <w:p>
            <w:pPr>
              <w:jc w:val="center"/>
              <w:rPr>
                <w:rFonts w:hint="eastAsia"/>
                <w:b/>
                <w:color w:val="000000"/>
                <w:sz w:val="24"/>
                <w:lang w:val="en-US" w:eastAsia="zh-CN"/>
              </w:rPr>
            </w:pPr>
            <w:r>
              <w:rPr>
                <w:rFonts w:hint="eastAsia"/>
                <w:b/>
                <w:color w:val="000000"/>
                <w:sz w:val="24"/>
                <w:lang w:val="en-US" w:eastAsia="zh-CN"/>
              </w:rPr>
              <w:t xml:space="preserve">表 </w:t>
            </w:r>
            <w:r>
              <w:rPr>
                <w:rFonts w:hint="default"/>
                <w:b/>
                <w:color w:val="000000"/>
                <w:sz w:val="24"/>
                <w:lang w:val="en-US" w:eastAsia="zh-CN"/>
              </w:rPr>
              <w:t>2-</w:t>
            </w:r>
            <w:r>
              <w:rPr>
                <w:rFonts w:hint="eastAsia"/>
                <w:b/>
                <w:color w:val="000000"/>
                <w:sz w:val="24"/>
                <w:lang w:val="en-US" w:eastAsia="zh-CN"/>
              </w:rPr>
              <w:t>10</w:t>
            </w:r>
            <w:r>
              <w:rPr>
                <w:rFonts w:hint="default"/>
                <w:b/>
                <w:color w:val="000000"/>
                <w:sz w:val="24"/>
                <w:lang w:val="en-US" w:eastAsia="zh-CN"/>
              </w:rPr>
              <w:t xml:space="preserve"> </w:t>
            </w:r>
            <w:r>
              <w:rPr>
                <w:rFonts w:hint="eastAsia"/>
                <w:b/>
                <w:color w:val="000000"/>
                <w:sz w:val="24"/>
                <w:lang w:val="en-US" w:eastAsia="zh-CN"/>
              </w:rPr>
              <w:t>现有项目环评手续履行情况汇总表</w:t>
            </w:r>
          </w:p>
          <w:tbl>
            <w:tblPr>
              <w:tblStyle w:val="27"/>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10"/>
              <w:gridCol w:w="1007"/>
              <w:gridCol w:w="869"/>
              <w:gridCol w:w="738"/>
              <w:gridCol w:w="1155"/>
              <w:gridCol w:w="960"/>
              <w:gridCol w:w="1171"/>
              <w:gridCol w:w="1069"/>
              <w:gridCol w:w="440"/>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310" w:type="dxa"/>
                  <w:vMerge w:val="restart"/>
                  <w:vAlign w:val="center"/>
                </w:tcPr>
                <w:p>
                  <w:pPr>
                    <w:widowControl/>
                    <w:autoSpaceDE w:val="0"/>
                    <w:spacing w:line="340" w:lineRule="exact"/>
                    <w:jc w:val="center"/>
                    <w:rPr>
                      <w:rFonts w:hint="default"/>
                      <w:b/>
                      <w:bCs/>
                      <w:color w:val="000000"/>
                      <w:szCs w:val="21"/>
                      <w:lang w:val="en-US" w:eastAsia="zh-CN"/>
                    </w:rPr>
                  </w:pPr>
                  <w:r>
                    <w:rPr>
                      <w:rFonts w:hint="eastAsia"/>
                      <w:b/>
                      <w:bCs/>
                      <w:color w:val="000000"/>
                      <w:szCs w:val="21"/>
                      <w:lang w:val="en-US" w:eastAsia="zh-CN"/>
                    </w:rPr>
                    <w:t>序号</w:t>
                  </w:r>
                </w:p>
              </w:tc>
              <w:tc>
                <w:tcPr>
                  <w:tcW w:w="1007" w:type="dxa"/>
                  <w:vMerge w:val="restart"/>
                  <w:vAlign w:val="center"/>
                </w:tcPr>
                <w:p>
                  <w:pPr>
                    <w:widowControl/>
                    <w:autoSpaceDE w:val="0"/>
                    <w:spacing w:line="340" w:lineRule="exact"/>
                    <w:jc w:val="center"/>
                    <w:rPr>
                      <w:rFonts w:hint="default"/>
                      <w:b/>
                      <w:bCs/>
                      <w:color w:val="000000"/>
                      <w:szCs w:val="21"/>
                      <w:lang w:val="en-US" w:eastAsia="zh-CN"/>
                    </w:rPr>
                  </w:pPr>
                  <w:r>
                    <w:rPr>
                      <w:rFonts w:hint="eastAsia"/>
                      <w:b/>
                      <w:bCs/>
                      <w:color w:val="000000"/>
                      <w:szCs w:val="21"/>
                      <w:lang w:val="en-US" w:eastAsia="zh-CN"/>
                    </w:rPr>
                    <w:t>项目名称</w:t>
                  </w:r>
                </w:p>
              </w:tc>
              <w:tc>
                <w:tcPr>
                  <w:tcW w:w="869" w:type="dxa"/>
                  <w:vMerge w:val="restart"/>
                  <w:vAlign w:val="center"/>
                </w:tcPr>
                <w:p>
                  <w:pPr>
                    <w:widowControl/>
                    <w:autoSpaceDE w:val="0"/>
                    <w:spacing w:line="340" w:lineRule="exact"/>
                    <w:jc w:val="center"/>
                    <w:rPr>
                      <w:rFonts w:hint="default"/>
                      <w:b/>
                      <w:bCs/>
                      <w:color w:val="000000"/>
                      <w:szCs w:val="21"/>
                      <w:lang w:val="en-US" w:eastAsia="zh-CN"/>
                    </w:rPr>
                  </w:pPr>
                  <w:r>
                    <w:rPr>
                      <w:rFonts w:hint="eastAsia"/>
                      <w:b/>
                      <w:bCs/>
                      <w:color w:val="000000"/>
                      <w:szCs w:val="21"/>
                      <w:lang w:val="en-US" w:eastAsia="zh-CN"/>
                    </w:rPr>
                    <w:t>主要建设内容</w:t>
                  </w:r>
                </w:p>
              </w:tc>
              <w:tc>
                <w:tcPr>
                  <w:tcW w:w="2853" w:type="dxa"/>
                  <w:gridSpan w:val="3"/>
                  <w:vAlign w:val="center"/>
                </w:tcPr>
                <w:p>
                  <w:pPr>
                    <w:widowControl/>
                    <w:autoSpaceDE w:val="0"/>
                    <w:spacing w:line="340" w:lineRule="exact"/>
                    <w:jc w:val="center"/>
                    <w:rPr>
                      <w:rFonts w:hint="default"/>
                      <w:b/>
                      <w:bCs/>
                      <w:color w:val="000000"/>
                      <w:szCs w:val="21"/>
                      <w:lang w:val="en-US" w:eastAsia="zh-CN"/>
                    </w:rPr>
                  </w:pPr>
                  <w:r>
                    <w:rPr>
                      <w:rFonts w:hint="eastAsia"/>
                      <w:b/>
                      <w:bCs/>
                      <w:color w:val="000000"/>
                      <w:szCs w:val="21"/>
                      <w:lang w:val="en-US" w:eastAsia="zh-CN"/>
                    </w:rPr>
                    <w:t>产品及产能</w:t>
                  </w:r>
                </w:p>
              </w:tc>
              <w:tc>
                <w:tcPr>
                  <w:tcW w:w="1170" w:type="dxa"/>
                  <w:vMerge w:val="restart"/>
                  <w:vAlign w:val="center"/>
                </w:tcPr>
                <w:p>
                  <w:pPr>
                    <w:widowControl/>
                    <w:autoSpaceDE w:val="0"/>
                    <w:spacing w:line="340" w:lineRule="exact"/>
                    <w:jc w:val="center"/>
                    <w:rPr>
                      <w:rFonts w:hint="default"/>
                      <w:b/>
                      <w:bCs/>
                      <w:color w:val="000000"/>
                      <w:szCs w:val="21"/>
                      <w:lang w:val="en-US" w:eastAsia="zh-CN"/>
                    </w:rPr>
                  </w:pPr>
                  <w:r>
                    <w:rPr>
                      <w:rFonts w:hint="eastAsia"/>
                      <w:b/>
                      <w:bCs/>
                      <w:color w:val="000000"/>
                      <w:szCs w:val="21"/>
                      <w:lang w:val="en-US" w:eastAsia="zh-CN"/>
                    </w:rPr>
                    <w:t>环评批复</w:t>
                  </w:r>
                </w:p>
              </w:tc>
              <w:tc>
                <w:tcPr>
                  <w:tcW w:w="1068" w:type="dxa"/>
                  <w:vMerge w:val="restart"/>
                  <w:vAlign w:val="center"/>
                </w:tcPr>
                <w:p>
                  <w:pPr>
                    <w:widowControl/>
                    <w:autoSpaceDE w:val="0"/>
                    <w:spacing w:line="340" w:lineRule="exact"/>
                    <w:jc w:val="center"/>
                    <w:rPr>
                      <w:rFonts w:hint="default"/>
                      <w:b/>
                      <w:bCs/>
                      <w:color w:val="000000"/>
                      <w:szCs w:val="21"/>
                      <w:lang w:val="en-US" w:eastAsia="zh-CN"/>
                    </w:rPr>
                  </w:pPr>
                  <w:r>
                    <w:rPr>
                      <w:rFonts w:hint="eastAsia"/>
                      <w:b/>
                      <w:bCs/>
                      <w:color w:val="000000"/>
                      <w:szCs w:val="21"/>
                      <w:lang w:val="en-US" w:eastAsia="zh-CN"/>
                    </w:rPr>
                    <w:t>环保验收</w:t>
                  </w:r>
                </w:p>
              </w:tc>
              <w:tc>
                <w:tcPr>
                  <w:tcW w:w="439" w:type="dxa"/>
                  <w:vMerge w:val="restart"/>
                  <w:vAlign w:val="center"/>
                </w:tcPr>
                <w:p>
                  <w:pPr>
                    <w:widowControl/>
                    <w:autoSpaceDE w:val="0"/>
                    <w:spacing w:line="340" w:lineRule="exact"/>
                    <w:jc w:val="center"/>
                    <w:rPr>
                      <w:rFonts w:hint="default"/>
                      <w:b/>
                      <w:bCs/>
                      <w:color w:val="000000"/>
                      <w:szCs w:val="21"/>
                      <w:lang w:val="en-US" w:eastAsia="zh-CN"/>
                    </w:rPr>
                  </w:pPr>
                  <w:r>
                    <w:rPr>
                      <w:rFonts w:hint="eastAsia"/>
                      <w:b/>
                      <w:bCs/>
                      <w:color w:val="000000"/>
                      <w:szCs w:val="21"/>
                      <w:lang w:val="en-US" w:eastAsia="zh-CN"/>
                    </w:rPr>
                    <w:t>备注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310" w:type="dxa"/>
                  <w:vMerge w:val="continue"/>
                  <w:vAlign w:val="center"/>
                </w:tcPr>
                <w:p>
                  <w:pPr>
                    <w:widowControl/>
                    <w:autoSpaceDE w:val="0"/>
                    <w:spacing w:line="340" w:lineRule="exact"/>
                    <w:jc w:val="center"/>
                    <w:rPr>
                      <w:rFonts w:hint="eastAsia"/>
                      <w:color w:val="000000"/>
                      <w:szCs w:val="21"/>
                      <w:lang w:val="en-US" w:eastAsia="zh-CN"/>
                    </w:rPr>
                  </w:pPr>
                </w:p>
              </w:tc>
              <w:tc>
                <w:tcPr>
                  <w:tcW w:w="1007" w:type="dxa"/>
                  <w:vMerge w:val="continue"/>
                  <w:vAlign w:val="center"/>
                </w:tcPr>
                <w:p>
                  <w:pPr>
                    <w:widowControl/>
                    <w:autoSpaceDE w:val="0"/>
                    <w:spacing w:line="340" w:lineRule="exact"/>
                    <w:jc w:val="center"/>
                    <w:rPr>
                      <w:rFonts w:hint="eastAsia"/>
                      <w:color w:val="000000"/>
                      <w:szCs w:val="21"/>
                      <w:lang w:val="en-US" w:eastAsia="zh-CN"/>
                    </w:rPr>
                  </w:pPr>
                </w:p>
              </w:tc>
              <w:tc>
                <w:tcPr>
                  <w:tcW w:w="869" w:type="dxa"/>
                  <w:vMerge w:val="continue"/>
                  <w:vAlign w:val="center"/>
                </w:tcPr>
                <w:p>
                  <w:pPr>
                    <w:widowControl/>
                    <w:autoSpaceDE w:val="0"/>
                    <w:spacing w:line="340" w:lineRule="exact"/>
                    <w:jc w:val="center"/>
                    <w:rPr>
                      <w:rFonts w:hint="eastAsia"/>
                      <w:color w:val="000000"/>
                      <w:szCs w:val="21"/>
                      <w:lang w:val="en-US" w:eastAsia="zh-CN"/>
                    </w:rPr>
                  </w:pPr>
                </w:p>
              </w:tc>
              <w:tc>
                <w:tcPr>
                  <w:tcW w:w="738" w:type="dxa"/>
                  <w:vAlign w:val="center"/>
                </w:tcPr>
                <w:p>
                  <w:pPr>
                    <w:widowControl/>
                    <w:autoSpaceDE w:val="0"/>
                    <w:spacing w:line="340" w:lineRule="exact"/>
                    <w:jc w:val="center"/>
                    <w:rPr>
                      <w:rFonts w:hint="default"/>
                      <w:b/>
                      <w:bCs/>
                      <w:color w:val="000000"/>
                      <w:szCs w:val="21"/>
                      <w:lang w:val="en-US" w:eastAsia="zh-CN"/>
                    </w:rPr>
                  </w:pPr>
                  <w:r>
                    <w:rPr>
                      <w:rFonts w:hint="eastAsia"/>
                      <w:b/>
                      <w:bCs/>
                      <w:color w:val="000000"/>
                      <w:szCs w:val="21"/>
                      <w:lang w:val="en-US" w:eastAsia="zh-CN"/>
                    </w:rPr>
                    <w:t>产品</w:t>
                  </w:r>
                </w:p>
              </w:tc>
              <w:tc>
                <w:tcPr>
                  <w:tcW w:w="1155" w:type="dxa"/>
                  <w:vAlign w:val="center"/>
                </w:tcPr>
                <w:p>
                  <w:pPr>
                    <w:widowControl/>
                    <w:autoSpaceDE w:val="0"/>
                    <w:spacing w:line="340" w:lineRule="exact"/>
                    <w:jc w:val="center"/>
                    <w:rPr>
                      <w:rFonts w:hint="default"/>
                      <w:b/>
                      <w:bCs/>
                      <w:color w:val="000000"/>
                      <w:szCs w:val="21"/>
                      <w:lang w:val="en-US" w:eastAsia="zh-CN"/>
                    </w:rPr>
                  </w:pPr>
                  <w:r>
                    <w:rPr>
                      <w:rFonts w:hint="eastAsia"/>
                      <w:b/>
                      <w:bCs/>
                      <w:color w:val="000000"/>
                      <w:szCs w:val="21"/>
                      <w:lang w:val="en-US" w:eastAsia="zh-CN"/>
                    </w:rPr>
                    <w:t>设计产能</w:t>
                  </w:r>
                </w:p>
              </w:tc>
              <w:tc>
                <w:tcPr>
                  <w:tcW w:w="960" w:type="dxa"/>
                  <w:vAlign w:val="center"/>
                </w:tcPr>
                <w:p>
                  <w:pPr>
                    <w:widowControl/>
                    <w:autoSpaceDE w:val="0"/>
                    <w:spacing w:line="340" w:lineRule="exact"/>
                    <w:jc w:val="center"/>
                    <w:rPr>
                      <w:rFonts w:hint="default"/>
                      <w:b/>
                      <w:bCs/>
                      <w:color w:val="000000"/>
                      <w:szCs w:val="21"/>
                      <w:lang w:val="en-US" w:eastAsia="zh-CN"/>
                    </w:rPr>
                  </w:pPr>
                  <w:r>
                    <w:rPr>
                      <w:rFonts w:hint="eastAsia"/>
                      <w:b/>
                      <w:bCs/>
                      <w:color w:val="000000"/>
                      <w:szCs w:val="21"/>
                      <w:lang w:val="en-US" w:eastAsia="zh-CN"/>
                    </w:rPr>
                    <w:t>实际产能</w:t>
                  </w:r>
                </w:p>
              </w:tc>
              <w:tc>
                <w:tcPr>
                  <w:tcW w:w="1170" w:type="dxa"/>
                  <w:vMerge w:val="continue"/>
                  <w:vAlign w:val="center"/>
                </w:tcPr>
                <w:p>
                  <w:pPr>
                    <w:widowControl/>
                    <w:autoSpaceDE w:val="0"/>
                    <w:spacing w:line="340" w:lineRule="exact"/>
                    <w:jc w:val="center"/>
                    <w:rPr>
                      <w:rFonts w:hint="eastAsia"/>
                      <w:color w:val="000000"/>
                      <w:szCs w:val="21"/>
                      <w:lang w:val="en-US" w:eastAsia="zh-CN"/>
                    </w:rPr>
                  </w:pPr>
                </w:p>
              </w:tc>
              <w:tc>
                <w:tcPr>
                  <w:tcW w:w="1068" w:type="dxa"/>
                  <w:vMerge w:val="continue"/>
                  <w:vAlign w:val="center"/>
                </w:tcPr>
                <w:p>
                  <w:pPr>
                    <w:widowControl/>
                    <w:autoSpaceDE w:val="0"/>
                    <w:spacing w:line="340" w:lineRule="exact"/>
                    <w:jc w:val="center"/>
                    <w:rPr>
                      <w:rFonts w:hint="eastAsia"/>
                      <w:color w:val="000000"/>
                      <w:szCs w:val="21"/>
                      <w:lang w:val="en-US" w:eastAsia="zh-CN"/>
                    </w:rPr>
                  </w:pPr>
                </w:p>
              </w:tc>
              <w:tc>
                <w:tcPr>
                  <w:tcW w:w="439" w:type="dxa"/>
                  <w:vMerge w:val="continue"/>
                  <w:vAlign w:val="center"/>
                </w:tcPr>
                <w:p>
                  <w:pPr>
                    <w:widowControl/>
                    <w:autoSpaceDE w:val="0"/>
                    <w:spacing w:line="340" w:lineRule="exact"/>
                    <w:jc w:val="center"/>
                    <w:rPr>
                      <w:rFonts w:hint="eastAsia"/>
                      <w:color w:val="000000"/>
                      <w:szCs w:val="21"/>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310" w:type="dxa"/>
                  <w:vMerge w:val="restart"/>
                  <w:vAlign w:val="center"/>
                </w:tcPr>
                <w:p>
                  <w:pPr>
                    <w:widowControl/>
                    <w:autoSpaceDE w:val="0"/>
                    <w:spacing w:line="340" w:lineRule="exact"/>
                    <w:jc w:val="center"/>
                    <w:rPr>
                      <w:rFonts w:hint="default"/>
                      <w:color w:val="000000"/>
                      <w:szCs w:val="21"/>
                      <w:lang w:val="en-US" w:eastAsia="zh-CN"/>
                    </w:rPr>
                  </w:pPr>
                  <w:r>
                    <w:rPr>
                      <w:rFonts w:hint="eastAsia"/>
                      <w:color w:val="000000"/>
                      <w:szCs w:val="21"/>
                      <w:lang w:val="en-US" w:eastAsia="zh-CN"/>
                    </w:rPr>
                    <w:t>1</w:t>
                  </w:r>
                </w:p>
              </w:tc>
              <w:tc>
                <w:tcPr>
                  <w:tcW w:w="1007" w:type="dxa"/>
                  <w:vMerge w:val="restart"/>
                  <w:vAlign w:val="center"/>
                </w:tcPr>
                <w:p>
                  <w:pPr>
                    <w:widowControl/>
                    <w:autoSpaceDE w:val="0"/>
                    <w:spacing w:line="340" w:lineRule="exact"/>
                    <w:jc w:val="center"/>
                    <w:rPr>
                      <w:rFonts w:hint="eastAsia"/>
                      <w:color w:val="000000"/>
                      <w:szCs w:val="21"/>
                      <w:lang w:val="en-US" w:eastAsia="zh-CN"/>
                    </w:rPr>
                  </w:pPr>
                  <w:r>
                    <w:rPr>
                      <w:rFonts w:hint="eastAsia"/>
                      <w:color w:val="000000"/>
                      <w:szCs w:val="21"/>
                      <w:lang w:val="en-US" w:eastAsia="zh-CN"/>
                    </w:rPr>
                    <w:t>造型材料制品车间项目</w:t>
                  </w:r>
                </w:p>
              </w:tc>
              <w:tc>
                <w:tcPr>
                  <w:tcW w:w="869" w:type="dxa"/>
                  <w:vMerge w:val="restart"/>
                  <w:vAlign w:val="center"/>
                </w:tcPr>
                <w:p>
                  <w:pPr>
                    <w:widowControl/>
                    <w:autoSpaceDE w:val="0"/>
                    <w:spacing w:line="340" w:lineRule="exact"/>
                    <w:jc w:val="center"/>
                    <w:rPr>
                      <w:rFonts w:hint="default"/>
                      <w:color w:val="000000"/>
                      <w:szCs w:val="21"/>
                      <w:lang w:val="en-US" w:eastAsia="zh-CN"/>
                    </w:rPr>
                  </w:pPr>
                  <w:r>
                    <w:rPr>
                      <w:rFonts w:hint="eastAsia"/>
                      <w:color w:val="000000"/>
                      <w:szCs w:val="21"/>
                      <w:lang w:val="en-US" w:eastAsia="zh-CN"/>
                    </w:rPr>
                    <w:t>水洗砂</w:t>
                  </w:r>
                </w:p>
              </w:tc>
              <w:tc>
                <w:tcPr>
                  <w:tcW w:w="738" w:type="dxa"/>
                  <w:vAlign w:val="center"/>
                </w:tcPr>
                <w:p>
                  <w:pPr>
                    <w:widowControl/>
                    <w:autoSpaceDE w:val="0"/>
                    <w:spacing w:line="340" w:lineRule="exact"/>
                    <w:jc w:val="center"/>
                    <w:rPr>
                      <w:rFonts w:hint="eastAsia"/>
                      <w:color w:val="000000"/>
                      <w:szCs w:val="21"/>
                      <w:lang w:val="en-US" w:eastAsia="zh-CN"/>
                    </w:rPr>
                  </w:pPr>
                  <w:r>
                    <w:rPr>
                      <w:rFonts w:hint="default"/>
                      <w:color w:val="000000"/>
                      <w:szCs w:val="21"/>
                      <w:lang w:val="en-US" w:eastAsia="zh-CN"/>
                    </w:rPr>
                    <w:t>中砂</w:t>
                  </w:r>
                </w:p>
              </w:tc>
              <w:tc>
                <w:tcPr>
                  <w:tcW w:w="1155" w:type="dxa"/>
                  <w:vAlign w:val="center"/>
                </w:tcPr>
                <w:p>
                  <w:pPr>
                    <w:widowControl/>
                    <w:autoSpaceDE w:val="0"/>
                    <w:spacing w:line="340" w:lineRule="exact"/>
                    <w:jc w:val="center"/>
                    <w:rPr>
                      <w:rFonts w:hint="eastAsia"/>
                      <w:color w:val="000000"/>
                      <w:szCs w:val="21"/>
                      <w:lang w:val="en-US" w:eastAsia="zh-CN"/>
                    </w:rPr>
                  </w:pPr>
                  <w:r>
                    <w:rPr>
                      <w:rFonts w:hint="default"/>
                      <w:color w:val="000000"/>
                      <w:szCs w:val="21"/>
                      <w:lang w:val="en-US" w:eastAsia="zh-CN"/>
                    </w:rPr>
                    <w:t>48000</w:t>
                  </w:r>
                </w:p>
              </w:tc>
              <w:tc>
                <w:tcPr>
                  <w:tcW w:w="960" w:type="dxa"/>
                  <w:vAlign w:val="center"/>
                </w:tcPr>
                <w:p>
                  <w:pPr>
                    <w:widowControl/>
                    <w:autoSpaceDE w:val="0"/>
                    <w:spacing w:line="340" w:lineRule="exact"/>
                    <w:jc w:val="center"/>
                    <w:rPr>
                      <w:rFonts w:hint="eastAsia"/>
                      <w:color w:val="000000"/>
                      <w:szCs w:val="21"/>
                      <w:lang w:val="en-US" w:eastAsia="zh-CN"/>
                    </w:rPr>
                  </w:pPr>
                  <w:r>
                    <w:rPr>
                      <w:rFonts w:hint="default"/>
                      <w:color w:val="000000"/>
                      <w:szCs w:val="21"/>
                      <w:lang w:val="en-US" w:eastAsia="zh-CN"/>
                    </w:rPr>
                    <w:t>48000</w:t>
                  </w:r>
                </w:p>
              </w:tc>
              <w:tc>
                <w:tcPr>
                  <w:tcW w:w="1170" w:type="dxa"/>
                  <w:vMerge w:val="restart"/>
                  <w:vAlign w:val="center"/>
                </w:tcPr>
                <w:p>
                  <w:pPr>
                    <w:widowControl/>
                    <w:autoSpaceDE w:val="0"/>
                    <w:spacing w:line="340" w:lineRule="exact"/>
                    <w:jc w:val="center"/>
                    <w:rPr>
                      <w:rFonts w:hint="eastAsia"/>
                      <w:color w:val="000000"/>
                      <w:szCs w:val="21"/>
                      <w:lang w:val="en-US" w:eastAsia="zh-CN"/>
                    </w:rPr>
                  </w:pPr>
                  <w:r>
                    <w:rPr>
                      <w:rFonts w:hint="eastAsia"/>
                      <w:color w:val="000000"/>
                      <w:szCs w:val="21"/>
                      <w:lang w:eastAsia="zh-CN"/>
                    </w:rPr>
                    <w:t>芜环评审[2020]53号</w:t>
                  </w:r>
                </w:p>
              </w:tc>
              <w:tc>
                <w:tcPr>
                  <w:tcW w:w="1068" w:type="dxa"/>
                  <w:vMerge w:val="restart"/>
                  <w:vAlign w:val="center"/>
                </w:tcPr>
                <w:p>
                  <w:pPr>
                    <w:widowControl/>
                    <w:autoSpaceDE w:val="0"/>
                    <w:spacing w:line="340" w:lineRule="exact"/>
                    <w:jc w:val="center"/>
                    <w:rPr>
                      <w:rFonts w:hint="eastAsia"/>
                      <w:color w:val="000000"/>
                      <w:szCs w:val="21"/>
                      <w:lang w:val="en-US" w:eastAsia="zh-CN"/>
                    </w:rPr>
                  </w:pPr>
                  <w:r>
                    <w:rPr>
                      <w:rFonts w:hint="eastAsia"/>
                      <w:color w:val="000000"/>
                      <w:szCs w:val="21"/>
                      <w:lang w:val="en-US" w:eastAsia="zh-CN"/>
                    </w:rPr>
                    <w:t>2020年10月已通过验收</w:t>
                  </w:r>
                </w:p>
              </w:tc>
              <w:tc>
                <w:tcPr>
                  <w:tcW w:w="439" w:type="dxa"/>
                  <w:vMerge w:val="restart"/>
                  <w:vAlign w:val="center"/>
                </w:tcPr>
                <w:p>
                  <w:pPr>
                    <w:widowControl/>
                    <w:autoSpaceDE w:val="0"/>
                    <w:spacing w:line="340" w:lineRule="exact"/>
                    <w:jc w:val="center"/>
                    <w:rPr>
                      <w:rFonts w:hint="default"/>
                      <w:color w:val="000000"/>
                      <w:szCs w:val="21"/>
                      <w:lang w:val="en-US" w:eastAsia="zh-CN"/>
                    </w:rPr>
                  </w:pPr>
                  <w:r>
                    <w:rPr>
                      <w:rFonts w:hint="eastAsia"/>
                      <w:color w:val="000000"/>
                      <w:szCs w:val="21"/>
                      <w:lang w:val="en-US" w:eastAsia="zh-CN"/>
                    </w:rPr>
                    <w:t>在产</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310" w:type="dxa"/>
                  <w:vMerge w:val="continue"/>
                  <w:vAlign w:val="center"/>
                </w:tcPr>
                <w:p>
                  <w:pPr>
                    <w:widowControl/>
                    <w:autoSpaceDE w:val="0"/>
                    <w:spacing w:line="340" w:lineRule="exact"/>
                    <w:jc w:val="center"/>
                    <w:rPr>
                      <w:rFonts w:hint="eastAsia"/>
                      <w:color w:val="000000"/>
                      <w:szCs w:val="21"/>
                      <w:lang w:val="en-US" w:eastAsia="zh-CN"/>
                    </w:rPr>
                  </w:pPr>
                </w:p>
              </w:tc>
              <w:tc>
                <w:tcPr>
                  <w:tcW w:w="1007" w:type="dxa"/>
                  <w:vMerge w:val="continue"/>
                  <w:vAlign w:val="center"/>
                </w:tcPr>
                <w:p>
                  <w:pPr>
                    <w:widowControl/>
                    <w:autoSpaceDE w:val="0"/>
                    <w:spacing w:line="340" w:lineRule="exact"/>
                    <w:jc w:val="center"/>
                    <w:rPr>
                      <w:rFonts w:hint="eastAsia"/>
                      <w:color w:val="000000"/>
                      <w:szCs w:val="21"/>
                      <w:lang w:val="en-US" w:eastAsia="zh-CN"/>
                    </w:rPr>
                  </w:pPr>
                </w:p>
              </w:tc>
              <w:tc>
                <w:tcPr>
                  <w:tcW w:w="869" w:type="dxa"/>
                  <w:vMerge w:val="continue"/>
                  <w:vAlign w:val="center"/>
                </w:tcPr>
                <w:p>
                  <w:pPr>
                    <w:widowControl/>
                    <w:autoSpaceDE w:val="0"/>
                    <w:spacing w:line="340" w:lineRule="exact"/>
                    <w:jc w:val="center"/>
                    <w:rPr>
                      <w:rFonts w:hint="eastAsia"/>
                      <w:color w:val="000000"/>
                      <w:szCs w:val="21"/>
                      <w:lang w:val="en-US" w:eastAsia="zh-CN"/>
                    </w:rPr>
                  </w:pPr>
                </w:p>
              </w:tc>
              <w:tc>
                <w:tcPr>
                  <w:tcW w:w="738" w:type="dxa"/>
                  <w:vAlign w:val="center"/>
                </w:tcPr>
                <w:p>
                  <w:pPr>
                    <w:widowControl/>
                    <w:autoSpaceDE w:val="0"/>
                    <w:spacing w:line="340" w:lineRule="exact"/>
                    <w:jc w:val="center"/>
                    <w:rPr>
                      <w:rFonts w:hint="eastAsia"/>
                      <w:color w:val="000000"/>
                      <w:szCs w:val="21"/>
                      <w:lang w:val="en-US" w:eastAsia="zh-CN"/>
                    </w:rPr>
                  </w:pPr>
                  <w:r>
                    <w:rPr>
                      <w:rFonts w:hint="default"/>
                      <w:color w:val="000000"/>
                      <w:szCs w:val="21"/>
                      <w:lang w:val="en-US" w:eastAsia="zh-CN"/>
                    </w:rPr>
                    <w:t>细砂</w:t>
                  </w:r>
                </w:p>
              </w:tc>
              <w:tc>
                <w:tcPr>
                  <w:tcW w:w="1155" w:type="dxa"/>
                  <w:vAlign w:val="center"/>
                </w:tcPr>
                <w:p>
                  <w:pPr>
                    <w:widowControl/>
                    <w:autoSpaceDE w:val="0"/>
                    <w:spacing w:line="340" w:lineRule="exact"/>
                    <w:jc w:val="center"/>
                    <w:rPr>
                      <w:rFonts w:hint="eastAsia"/>
                      <w:color w:val="000000"/>
                      <w:szCs w:val="21"/>
                      <w:lang w:val="en-US" w:eastAsia="zh-CN"/>
                    </w:rPr>
                  </w:pPr>
                  <w:r>
                    <w:rPr>
                      <w:rFonts w:hint="default"/>
                      <w:color w:val="000000"/>
                      <w:szCs w:val="21"/>
                      <w:lang w:val="en-US" w:eastAsia="zh-CN"/>
                    </w:rPr>
                    <w:t>60000</w:t>
                  </w:r>
                </w:p>
              </w:tc>
              <w:tc>
                <w:tcPr>
                  <w:tcW w:w="960" w:type="dxa"/>
                  <w:vAlign w:val="center"/>
                </w:tcPr>
                <w:p>
                  <w:pPr>
                    <w:widowControl/>
                    <w:autoSpaceDE w:val="0"/>
                    <w:spacing w:line="340" w:lineRule="exact"/>
                    <w:jc w:val="center"/>
                    <w:rPr>
                      <w:rFonts w:hint="eastAsia"/>
                      <w:color w:val="000000"/>
                      <w:szCs w:val="21"/>
                      <w:lang w:val="en-US" w:eastAsia="zh-CN"/>
                    </w:rPr>
                  </w:pPr>
                  <w:r>
                    <w:rPr>
                      <w:rFonts w:hint="default"/>
                      <w:color w:val="000000"/>
                      <w:szCs w:val="21"/>
                      <w:lang w:val="en-US" w:eastAsia="zh-CN"/>
                    </w:rPr>
                    <w:t>60000</w:t>
                  </w:r>
                </w:p>
              </w:tc>
              <w:tc>
                <w:tcPr>
                  <w:tcW w:w="1170" w:type="dxa"/>
                  <w:vMerge w:val="continue"/>
                  <w:vAlign w:val="center"/>
                </w:tcPr>
                <w:p>
                  <w:pPr>
                    <w:widowControl/>
                    <w:autoSpaceDE w:val="0"/>
                    <w:spacing w:line="340" w:lineRule="exact"/>
                    <w:jc w:val="center"/>
                    <w:rPr>
                      <w:rFonts w:hint="eastAsia"/>
                      <w:color w:val="000000"/>
                      <w:szCs w:val="21"/>
                      <w:lang w:val="en-US" w:eastAsia="zh-CN"/>
                    </w:rPr>
                  </w:pPr>
                </w:p>
              </w:tc>
              <w:tc>
                <w:tcPr>
                  <w:tcW w:w="1068" w:type="dxa"/>
                  <w:vMerge w:val="continue"/>
                  <w:vAlign w:val="center"/>
                </w:tcPr>
                <w:p>
                  <w:pPr>
                    <w:widowControl/>
                    <w:autoSpaceDE w:val="0"/>
                    <w:spacing w:line="340" w:lineRule="exact"/>
                    <w:jc w:val="center"/>
                    <w:rPr>
                      <w:rFonts w:hint="eastAsia"/>
                      <w:color w:val="000000"/>
                      <w:szCs w:val="21"/>
                      <w:lang w:val="en-US" w:eastAsia="zh-CN"/>
                    </w:rPr>
                  </w:pPr>
                </w:p>
              </w:tc>
              <w:tc>
                <w:tcPr>
                  <w:tcW w:w="439" w:type="dxa"/>
                  <w:vMerge w:val="continue"/>
                  <w:vAlign w:val="center"/>
                </w:tcPr>
                <w:p>
                  <w:pPr>
                    <w:widowControl/>
                    <w:autoSpaceDE w:val="0"/>
                    <w:spacing w:line="340" w:lineRule="exact"/>
                    <w:jc w:val="center"/>
                    <w:rPr>
                      <w:rFonts w:hint="eastAsia"/>
                      <w:color w:val="000000"/>
                      <w:szCs w:val="21"/>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310" w:type="dxa"/>
                  <w:vMerge w:val="continue"/>
                  <w:vAlign w:val="center"/>
                </w:tcPr>
                <w:p>
                  <w:pPr>
                    <w:widowControl/>
                    <w:autoSpaceDE w:val="0"/>
                    <w:spacing w:line="340" w:lineRule="exact"/>
                    <w:jc w:val="center"/>
                    <w:rPr>
                      <w:rFonts w:hint="eastAsia"/>
                      <w:color w:val="000000"/>
                      <w:szCs w:val="21"/>
                      <w:lang w:val="en-US" w:eastAsia="zh-CN"/>
                    </w:rPr>
                  </w:pPr>
                </w:p>
              </w:tc>
              <w:tc>
                <w:tcPr>
                  <w:tcW w:w="1007" w:type="dxa"/>
                  <w:vMerge w:val="continue"/>
                  <w:vAlign w:val="center"/>
                </w:tcPr>
                <w:p>
                  <w:pPr>
                    <w:widowControl/>
                    <w:autoSpaceDE w:val="0"/>
                    <w:spacing w:line="340" w:lineRule="exact"/>
                    <w:jc w:val="center"/>
                    <w:rPr>
                      <w:rFonts w:hint="eastAsia"/>
                      <w:color w:val="000000"/>
                      <w:szCs w:val="21"/>
                      <w:lang w:val="en-US" w:eastAsia="zh-CN"/>
                    </w:rPr>
                  </w:pPr>
                </w:p>
              </w:tc>
              <w:tc>
                <w:tcPr>
                  <w:tcW w:w="869" w:type="dxa"/>
                  <w:vMerge w:val="continue"/>
                  <w:vAlign w:val="center"/>
                </w:tcPr>
                <w:p>
                  <w:pPr>
                    <w:widowControl/>
                    <w:autoSpaceDE w:val="0"/>
                    <w:spacing w:line="340" w:lineRule="exact"/>
                    <w:jc w:val="center"/>
                    <w:rPr>
                      <w:rFonts w:hint="eastAsia"/>
                      <w:color w:val="000000"/>
                      <w:szCs w:val="21"/>
                      <w:lang w:val="en-US" w:eastAsia="zh-CN"/>
                    </w:rPr>
                  </w:pPr>
                </w:p>
              </w:tc>
              <w:tc>
                <w:tcPr>
                  <w:tcW w:w="738" w:type="dxa"/>
                  <w:vAlign w:val="center"/>
                </w:tcPr>
                <w:p>
                  <w:pPr>
                    <w:widowControl/>
                    <w:autoSpaceDE w:val="0"/>
                    <w:spacing w:line="340" w:lineRule="exact"/>
                    <w:jc w:val="center"/>
                    <w:rPr>
                      <w:rFonts w:hint="eastAsia"/>
                      <w:color w:val="000000"/>
                      <w:szCs w:val="21"/>
                      <w:lang w:val="en-US" w:eastAsia="zh-CN"/>
                    </w:rPr>
                  </w:pPr>
                  <w:r>
                    <w:rPr>
                      <w:rFonts w:hint="default"/>
                      <w:color w:val="000000"/>
                      <w:szCs w:val="21"/>
                      <w:lang w:val="en-US" w:eastAsia="zh-CN"/>
                    </w:rPr>
                    <w:t>粗砂</w:t>
                  </w:r>
                </w:p>
              </w:tc>
              <w:tc>
                <w:tcPr>
                  <w:tcW w:w="1155" w:type="dxa"/>
                  <w:vAlign w:val="center"/>
                </w:tcPr>
                <w:p>
                  <w:pPr>
                    <w:widowControl/>
                    <w:autoSpaceDE w:val="0"/>
                    <w:spacing w:line="340" w:lineRule="exact"/>
                    <w:jc w:val="center"/>
                    <w:rPr>
                      <w:rFonts w:hint="eastAsia"/>
                      <w:color w:val="000000"/>
                      <w:szCs w:val="21"/>
                      <w:lang w:val="en-US" w:eastAsia="zh-CN"/>
                    </w:rPr>
                  </w:pPr>
                  <w:r>
                    <w:rPr>
                      <w:rFonts w:hint="default"/>
                      <w:color w:val="000000"/>
                      <w:szCs w:val="21"/>
                      <w:lang w:val="en-US" w:eastAsia="zh-CN"/>
                    </w:rPr>
                    <w:t>24000</w:t>
                  </w:r>
                </w:p>
              </w:tc>
              <w:tc>
                <w:tcPr>
                  <w:tcW w:w="960" w:type="dxa"/>
                  <w:vAlign w:val="center"/>
                </w:tcPr>
                <w:p>
                  <w:pPr>
                    <w:widowControl/>
                    <w:autoSpaceDE w:val="0"/>
                    <w:spacing w:line="340" w:lineRule="exact"/>
                    <w:jc w:val="center"/>
                    <w:rPr>
                      <w:rFonts w:hint="eastAsia"/>
                      <w:color w:val="000000"/>
                      <w:szCs w:val="21"/>
                      <w:lang w:val="en-US" w:eastAsia="zh-CN"/>
                    </w:rPr>
                  </w:pPr>
                  <w:r>
                    <w:rPr>
                      <w:rFonts w:hint="default"/>
                      <w:color w:val="000000"/>
                      <w:szCs w:val="21"/>
                      <w:lang w:val="en-US" w:eastAsia="zh-CN"/>
                    </w:rPr>
                    <w:t>24000</w:t>
                  </w:r>
                </w:p>
              </w:tc>
              <w:tc>
                <w:tcPr>
                  <w:tcW w:w="1170" w:type="dxa"/>
                  <w:vMerge w:val="continue"/>
                  <w:vAlign w:val="center"/>
                </w:tcPr>
                <w:p>
                  <w:pPr>
                    <w:widowControl/>
                    <w:autoSpaceDE w:val="0"/>
                    <w:spacing w:line="340" w:lineRule="exact"/>
                    <w:jc w:val="center"/>
                    <w:rPr>
                      <w:rFonts w:hint="eastAsia"/>
                      <w:color w:val="000000"/>
                      <w:szCs w:val="21"/>
                      <w:lang w:val="en-US" w:eastAsia="zh-CN"/>
                    </w:rPr>
                  </w:pPr>
                </w:p>
              </w:tc>
              <w:tc>
                <w:tcPr>
                  <w:tcW w:w="1068" w:type="dxa"/>
                  <w:vMerge w:val="continue"/>
                  <w:vAlign w:val="center"/>
                </w:tcPr>
                <w:p>
                  <w:pPr>
                    <w:widowControl/>
                    <w:autoSpaceDE w:val="0"/>
                    <w:spacing w:line="340" w:lineRule="exact"/>
                    <w:jc w:val="center"/>
                    <w:rPr>
                      <w:rFonts w:hint="eastAsia"/>
                      <w:color w:val="000000"/>
                      <w:szCs w:val="21"/>
                      <w:lang w:val="en-US" w:eastAsia="zh-CN"/>
                    </w:rPr>
                  </w:pPr>
                </w:p>
              </w:tc>
              <w:tc>
                <w:tcPr>
                  <w:tcW w:w="439" w:type="dxa"/>
                  <w:vMerge w:val="continue"/>
                  <w:vAlign w:val="center"/>
                </w:tcPr>
                <w:p>
                  <w:pPr>
                    <w:widowControl/>
                    <w:autoSpaceDE w:val="0"/>
                    <w:spacing w:line="340" w:lineRule="exact"/>
                    <w:jc w:val="center"/>
                    <w:rPr>
                      <w:rFonts w:hint="eastAsia"/>
                      <w:color w:val="000000"/>
                      <w:szCs w:val="21"/>
                      <w:lang w:val="en-US" w:eastAsia="zh-CN"/>
                    </w:rPr>
                  </w:pPr>
                </w:p>
              </w:tc>
            </w:tr>
          </w:tbl>
          <w:p>
            <w:pPr>
              <w:autoSpaceDE w:val="0"/>
              <w:spacing w:line="360" w:lineRule="auto"/>
              <w:ind w:firstLine="480"/>
              <w:rPr>
                <w:rFonts w:hint="eastAsia"/>
                <w:bCs/>
                <w:color w:val="000000"/>
                <w:sz w:val="24"/>
                <w:lang w:val="en-US" w:eastAsia="zh-CN"/>
              </w:rPr>
            </w:pPr>
            <w:r>
              <w:rPr>
                <w:rFonts w:hint="eastAsia"/>
                <w:bCs/>
                <w:color w:val="000000"/>
                <w:sz w:val="24"/>
                <w:lang w:val="en-US" w:eastAsia="zh-CN"/>
              </w:rPr>
              <w:t>企业现有项目已完成排污许可。</w:t>
            </w:r>
          </w:p>
          <w:p>
            <w:pPr>
              <w:autoSpaceDE w:val="0"/>
              <w:spacing w:line="360" w:lineRule="auto"/>
              <w:ind w:firstLine="482"/>
              <w:outlineLvl w:val="2"/>
              <w:rPr>
                <w:b/>
                <w:bCs/>
                <w:color w:val="000000"/>
                <w:sz w:val="24"/>
              </w:rPr>
            </w:pPr>
            <w:r>
              <w:rPr>
                <w:rFonts w:hint="eastAsia"/>
                <w:b/>
                <w:bCs/>
                <w:color w:val="000000"/>
                <w:sz w:val="24"/>
              </w:rPr>
              <w:t>2、现有项目主要生产工艺</w:t>
            </w:r>
          </w:p>
          <w:p>
            <w:pPr>
              <w:autoSpaceDE w:val="0"/>
              <w:spacing w:line="360" w:lineRule="auto"/>
              <w:ind w:firstLine="480"/>
              <w:jc w:val="center"/>
              <w:rPr>
                <w:rFonts w:hint="default" w:ascii="Times New Roman" w:hAnsi="Times New Roman" w:eastAsia="宋体" w:cs="Times New Roman"/>
                <w:color w:val="000000"/>
                <w:sz w:val="24"/>
                <w:szCs w:val="24"/>
                <w:lang w:eastAsia="zh-CN"/>
              </w:rPr>
            </w:pPr>
            <w:r>
              <w:rPr>
                <w:rFonts w:hint="default" w:ascii="Times New Roman" w:hAnsi="Times New Roman" w:eastAsia="宋体" w:cs="Times New Roman"/>
                <w:color w:val="000000"/>
                <w:sz w:val="24"/>
                <w:szCs w:val="24"/>
                <w:lang w:eastAsia="zh-CN"/>
              </w:rPr>
              <w:object>
                <v:shape id="_x0000_i1025" o:spt="75" type="#_x0000_t75" style="height:230.75pt;width:336.55pt;" o:ole="t" filled="f" o:preferrelative="t" stroked="f" coordsize="21600,21600">
                  <v:path/>
                  <v:fill on="f" focussize="0,0"/>
                  <v:stroke on="f"/>
                  <v:imagedata r:id="rId9" o:title=""/>
                  <o:lock v:ext="edit" aspectratio="f"/>
                  <w10:wrap type="none"/>
                  <w10:anchorlock/>
                </v:shape>
                <o:OLEObject Type="Embed" ProgID="Visio.Drawing.11" ShapeID="_x0000_i1025" DrawAspect="Content" ObjectID="_1468075725" r:id="rId8">
                  <o:LockedField>false</o:LockedField>
                </o:OLEObject>
              </w:object>
            </w:r>
          </w:p>
          <w:p>
            <w:pPr>
              <w:jc w:val="center"/>
              <w:rPr>
                <w:rFonts w:hint="eastAsia"/>
                <w:b/>
                <w:color w:val="000000"/>
                <w:sz w:val="24"/>
              </w:rPr>
            </w:pPr>
            <w:r>
              <w:rPr>
                <w:rFonts w:hint="eastAsia"/>
                <w:b/>
                <w:color w:val="000000"/>
                <w:sz w:val="24"/>
              </w:rPr>
              <w:t>图 2-</w:t>
            </w:r>
            <w:r>
              <w:rPr>
                <w:rFonts w:hint="eastAsia"/>
                <w:b/>
                <w:color w:val="000000"/>
                <w:sz w:val="24"/>
                <w:lang w:val="en-US" w:eastAsia="zh-CN"/>
              </w:rPr>
              <w:t>3</w:t>
            </w:r>
            <w:r>
              <w:rPr>
                <w:rFonts w:hint="eastAsia"/>
                <w:b/>
                <w:color w:val="000000"/>
                <w:sz w:val="24"/>
              </w:rPr>
              <w:t xml:space="preserve"> 现有项目总生产工艺流程图及产污节点</w:t>
            </w:r>
          </w:p>
          <w:p>
            <w:pPr>
              <w:autoSpaceDE w:val="0"/>
              <w:spacing w:line="360" w:lineRule="auto"/>
              <w:ind w:firstLine="480"/>
              <w:rPr>
                <w:rFonts w:hint="eastAsia" w:eastAsia="宋体"/>
                <w:bCs/>
                <w:color w:val="000000"/>
                <w:sz w:val="24"/>
                <w:lang w:eastAsia="zh-CN"/>
              </w:rPr>
            </w:pPr>
            <w:r>
              <w:rPr>
                <w:rFonts w:hint="default"/>
                <w:bCs/>
                <w:color w:val="000000"/>
                <w:sz w:val="24"/>
              </w:rPr>
              <w:t>生产工艺流程说明</w:t>
            </w:r>
            <w:r>
              <w:rPr>
                <w:rFonts w:hint="eastAsia"/>
                <w:bCs/>
                <w:color w:val="000000"/>
                <w:sz w:val="24"/>
                <w:lang w:eastAsia="zh-CN"/>
              </w:rPr>
              <w:t>：</w:t>
            </w:r>
          </w:p>
          <w:p>
            <w:pPr>
              <w:autoSpaceDE w:val="0"/>
              <w:spacing w:line="360" w:lineRule="auto"/>
              <w:ind w:firstLine="480"/>
              <w:rPr>
                <w:rFonts w:hint="eastAsia"/>
                <w:bCs/>
                <w:color w:val="000000"/>
                <w:sz w:val="24"/>
              </w:rPr>
            </w:pPr>
            <w:r>
              <w:rPr>
                <w:rFonts w:hint="eastAsia"/>
                <w:bCs/>
                <w:color w:val="000000"/>
                <w:sz w:val="24"/>
              </w:rPr>
              <w:t>铲车将砂子上料给原料砂仓，再通过皮带机将砂子送到一级滚筒筛进行水洗筛分，分离出的砂子再送到二级滚筒筛进行筛分，分离出中砂、粗砂和细砂，中砂、粗砂和细砂通过单螺旋洗砂机后，送到成品砂仓，水洗出来的污水通过排水沟送到</w:t>
            </w:r>
            <w:r>
              <w:rPr>
                <w:rFonts w:hint="eastAsia"/>
                <w:bCs/>
                <w:color w:val="000000"/>
                <w:sz w:val="24"/>
                <w:lang w:val="en-US" w:eastAsia="zh-CN"/>
              </w:rPr>
              <w:t>循环</w:t>
            </w:r>
            <w:r>
              <w:rPr>
                <w:rFonts w:hint="eastAsia"/>
                <w:bCs/>
                <w:color w:val="000000"/>
                <w:sz w:val="24"/>
              </w:rPr>
              <w:t>水池沉淀，再用水泵将沉淀后的污泥打到压滤机进行处理。</w:t>
            </w:r>
          </w:p>
          <w:p>
            <w:pPr>
              <w:autoSpaceDE w:val="0"/>
              <w:spacing w:line="360" w:lineRule="auto"/>
              <w:ind w:firstLine="482"/>
              <w:outlineLvl w:val="2"/>
              <w:rPr>
                <w:rFonts w:hint="eastAsia"/>
                <w:b/>
                <w:bCs/>
                <w:color w:val="000000"/>
                <w:sz w:val="24"/>
              </w:rPr>
            </w:pPr>
            <w:r>
              <w:rPr>
                <w:rFonts w:hint="eastAsia"/>
                <w:b/>
                <w:bCs/>
                <w:color w:val="000000"/>
                <w:sz w:val="24"/>
                <w:lang w:val="en-US" w:eastAsia="zh-CN"/>
              </w:rPr>
              <w:t>3、</w:t>
            </w:r>
            <w:r>
              <w:rPr>
                <w:rFonts w:hint="eastAsia"/>
                <w:b/>
                <w:bCs/>
                <w:color w:val="000000"/>
                <w:sz w:val="24"/>
              </w:rPr>
              <w:t>现有项目污染物达标排放情况</w:t>
            </w:r>
          </w:p>
          <w:p>
            <w:pPr>
              <w:autoSpaceDE w:val="0"/>
              <w:spacing w:line="360" w:lineRule="auto"/>
              <w:ind w:firstLine="480"/>
              <w:rPr>
                <w:rFonts w:hint="eastAsia"/>
                <w:bCs/>
                <w:color w:val="000000"/>
                <w:sz w:val="24"/>
                <w:lang w:val="en-US" w:eastAsia="zh-CN"/>
              </w:rPr>
            </w:pPr>
            <w:r>
              <w:rPr>
                <w:rFonts w:hint="eastAsia"/>
                <w:bCs/>
                <w:color w:val="000000"/>
                <w:sz w:val="24"/>
                <w:lang w:eastAsia="zh-CN"/>
              </w:rPr>
              <w:t>（</w:t>
            </w:r>
            <w:r>
              <w:rPr>
                <w:rFonts w:hint="eastAsia"/>
                <w:bCs/>
                <w:color w:val="000000"/>
                <w:sz w:val="24"/>
                <w:lang w:val="en-US" w:eastAsia="zh-CN"/>
              </w:rPr>
              <w:t>1</w:t>
            </w:r>
            <w:r>
              <w:rPr>
                <w:rFonts w:hint="eastAsia"/>
                <w:bCs/>
                <w:color w:val="000000"/>
                <w:sz w:val="24"/>
                <w:lang w:eastAsia="zh-CN"/>
              </w:rPr>
              <w:t>）</w:t>
            </w:r>
            <w:r>
              <w:rPr>
                <w:rFonts w:hint="eastAsia"/>
                <w:bCs/>
                <w:color w:val="000000"/>
                <w:sz w:val="24"/>
                <w:lang w:val="en-US" w:eastAsia="zh-CN"/>
              </w:rPr>
              <w:t>废气</w:t>
            </w:r>
          </w:p>
          <w:p>
            <w:pPr>
              <w:autoSpaceDE w:val="0"/>
              <w:spacing w:line="360" w:lineRule="auto"/>
              <w:ind w:firstLine="480"/>
              <w:rPr>
                <w:rFonts w:hint="eastAsia"/>
                <w:bCs/>
                <w:color w:val="000000"/>
                <w:sz w:val="24"/>
              </w:rPr>
            </w:pPr>
            <w:r>
              <w:rPr>
                <w:rFonts w:hint="eastAsia"/>
                <w:bCs/>
                <w:color w:val="000000"/>
                <w:sz w:val="24"/>
                <w:lang w:val="en-US" w:eastAsia="zh-CN"/>
              </w:rPr>
              <w:t>根据现有项目环评及验收，现有项目废气主要为</w:t>
            </w:r>
            <w:r>
              <w:rPr>
                <w:rFonts w:hint="eastAsia"/>
                <w:bCs/>
                <w:color w:val="000000"/>
                <w:sz w:val="24"/>
              </w:rPr>
              <w:t>装卸、上料、传送</w:t>
            </w:r>
            <w:r>
              <w:rPr>
                <w:rFonts w:hint="eastAsia"/>
                <w:bCs/>
                <w:color w:val="000000"/>
                <w:sz w:val="24"/>
                <w:lang w:val="en-US" w:eastAsia="zh-CN"/>
              </w:rPr>
              <w:t>过程产生的粉尘</w:t>
            </w:r>
            <w:r>
              <w:rPr>
                <w:rFonts w:hint="eastAsia"/>
                <w:bCs/>
                <w:color w:val="000000"/>
                <w:sz w:val="24"/>
              </w:rPr>
              <w:t>采取喷雾、喷淋等措施</w:t>
            </w:r>
            <w:r>
              <w:rPr>
                <w:rFonts w:hint="eastAsia"/>
                <w:bCs/>
                <w:color w:val="000000"/>
                <w:sz w:val="24"/>
                <w:lang w:val="en-US" w:eastAsia="zh-CN"/>
              </w:rPr>
              <w:t xml:space="preserve">后无组织排放。 </w:t>
            </w:r>
          </w:p>
          <w:p>
            <w:pPr>
              <w:autoSpaceDE w:val="0"/>
              <w:spacing w:line="360" w:lineRule="auto"/>
              <w:ind w:firstLine="480"/>
              <w:rPr>
                <w:rFonts w:hint="eastAsia"/>
                <w:bCs/>
                <w:color w:val="000000"/>
                <w:sz w:val="24"/>
                <w:lang w:val="en-US" w:eastAsia="zh-CN"/>
              </w:rPr>
            </w:pPr>
            <w:r>
              <w:rPr>
                <w:rFonts w:hint="eastAsia"/>
                <w:bCs/>
                <w:color w:val="000000"/>
                <w:sz w:val="24"/>
                <w:lang w:val="en-US" w:eastAsia="zh-CN"/>
              </w:rPr>
              <w:t>根据</w:t>
            </w:r>
            <w:r>
              <w:rPr>
                <w:rFonts w:hint="default"/>
                <w:bCs/>
                <w:color w:val="000000"/>
                <w:sz w:val="24"/>
                <w:lang w:val="en-US" w:eastAsia="zh-CN"/>
              </w:rPr>
              <w:t>20</w:t>
            </w:r>
            <w:r>
              <w:rPr>
                <w:rFonts w:hint="eastAsia"/>
                <w:bCs/>
                <w:color w:val="000000"/>
                <w:sz w:val="24"/>
                <w:lang w:val="en-US" w:eastAsia="zh-CN"/>
              </w:rPr>
              <w:t>20年</w:t>
            </w:r>
            <w:r>
              <w:rPr>
                <w:rFonts w:hint="default"/>
                <w:bCs/>
                <w:color w:val="000000"/>
                <w:sz w:val="24"/>
                <w:lang w:val="en-US" w:eastAsia="zh-CN"/>
              </w:rPr>
              <w:t>8</w:t>
            </w:r>
            <w:r>
              <w:rPr>
                <w:rFonts w:hint="eastAsia"/>
                <w:bCs/>
                <w:color w:val="000000"/>
                <w:sz w:val="24"/>
                <w:lang w:val="en-US" w:eastAsia="zh-CN"/>
              </w:rPr>
              <w:t>月出具的建设项目竣工环境保护验收监测表，具体见表</w:t>
            </w:r>
            <w:r>
              <w:rPr>
                <w:rFonts w:hint="default"/>
                <w:bCs/>
                <w:color w:val="000000"/>
                <w:sz w:val="24"/>
                <w:lang w:val="en-US" w:eastAsia="zh-CN"/>
              </w:rPr>
              <w:t>2-</w:t>
            </w:r>
            <w:r>
              <w:rPr>
                <w:rFonts w:hint="eastAsia"/>
                <w:bCs/>
                <w:color w:val="000000"/>
                <w:sz w:val="24"/>
                <w:lang w:val="en-US" w:eastAsia="zh-CN"/>
              </w:rPr>
              <w:t>11，检测结果表明现有项目无组织废气的排放浓度可以达到</w:t>
            </w:r>
            <w:r>
              <w:rPr>
                <w:rFonts w:hint="eastAsia"/>
                <w:sz w:val="24"/>
              </w:rPr>
              <w:t>上海市地方标准《大气污染物综合排放标准》（DB31/933-2015）表3无组织排放点监控浓度限值</w:t>
            </w:r>
            <w:r>
              <w:rPr>
                <w:rFonts w:hint="eastAsia"/>
                <w:bCs/>
                <w:color w:val="000000"/>
                <w:sz w:val="24"/>
                <w:lang w:val="en-US" w:eastAsia="zh-CN"/>
              </w:rPr>
              <w:t>。</w:t>
            </w:r>
          </w:p>
          <w:p>
            <w:pPr>
              <w:keepNext w:val="0"/>
              <w:keepLines w:val="0"/>
              <w:widowControl/>
              <w:suppressLineNumbers w:val="0"/>
              <w:ind w:firstLine="1687" w:firstLineChars="700"/>
              <w:jc w:val="left"/>
            </w:pPr>
            <w:r>
              <w:rPr>
                <w:rFonts w:hint="eastAsia"/>
                <w:b/>
                <w:color w:val="000000"/>
                <w:sz w:val="24"/>
                <w:lang w:val="en-US" w:eastAsia="zh-CN"/>
              </w:rPr>
              <w:t xml:space="preserve">表 </w:t>
            </w:r>
            <w:r>
              <w:rPr>
                <w:rFonts w:hint="default"/>
                <w:b/>
                <w:color w:val="000000"/>
                <w:sz w:val="24"/>
                <w:lang w:val="en-US" w:eastAsia="zh-CN"/>
              </w:rPr>
              <w:t>2-</w:t>
            </w:r>
            <w:r>
              <w:rPr>
                <w:rFonts w:hint="eastAsia"/>
                <w:b/>
                <w:color w:val="000000"/>
                <w:sz w:val="24"/>
                <w:lang w:val="en-US" w:eastAsia="zh-CN"/>
              </w:rPr>
              <w:t>11</w:t>
            </w:r>
            <w:r>
              <w:rPr>
                <w:rFonts w:hint="default"/>
                <w:b/>
                <w:color w:val="000000"/>
                <w:sz w:val="24"/>
                <w:lang w:val="en-US" w:eastAsia="zh-CN"/>
              </w:rPr>
              <w:t xml:space="preserve"> </w:t>
            </w:r>
            <w:r>
              <w:rPr>
                <w:rFonts w:hint="eastAsia"/>
                <w:b/>
                <w:color w:val="000000"/>
                <w:sz w:val="24"/>
                <w:lang w:val="en-US" w:eastAsia="zh-CN"/>
              </w:rPr>
              <w:t>现有项目无组织废气检测结果统计表</w:t>
            </w:r>
          </w:p>
          <w:tbl>
            <w:tblPr>
              <w:tblStyle w:val="26"/>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004"/>
              <w:gridCol w:w="892"/>
              <w:gridCol w:w="1012"/>
              <w:gridCol w:w="801"/>
              <w:gridCol w:w="1067"/>
              <w:gridCol w:w="935"/>
              <w:gridCol w:w="939"/>
              <w:gridCol w:w="613"/>
              <w:gridCol w:w="456"/>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86" w:hRule="atLeast"/>
                <w:jc w:val="center"/>
              </w:trPr>
              <w:tc>
                <w:tcPr>
                  <w:tcW w:w="967" w:type="dxa"/>
                  <w:vMerge w:val="restart"/>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auto"/>
                      <w:sz w:val="21"/>
                      <w:szCs w:val="21"/>
                      <w:lang w:eastAsia="zh-CN"/>
                    </w:rPr>
                    <w:t>采样</w:t>
                  </w:r>
                  <w:r>
                    <w:rPr>
                      <w:rFonts w:hint="default" w:ascii="Times New Roman" w:hAnsi="Times New Roman" w:eastAsia="宋体" w:cs="Times New Roman"/>
                      <w:b/>
                      <w:bCs/>
                      <w:color w:val="auto"/>
                      <w:sz w:val="21"/>
                      <w:szCs w:val="21"/>
                    </w:rPr>
                    <w:t>日期</w:t>
                  </w:r>
                </w:p>
              </w:tc>
              <w:tc>
                <w:tcPr>
                  <w:tcW w:w="859" w:type="dxa"/>
                  <w:vMerge w:val="restart"/>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outlineLvl w:val="1"/>
                    <w:rPr>
                      <w:rFonts w:hint="default" w:ascii="Times New Roman" w:hAnsi="Times New Roman" w:eastAsia="宋体" w:cs="Times New Roman"/>
                      <w:b/>
                      <w:bCs/>
                      <w:color w:val="000000"/>
                      <w:sz w:val="21"/>
                      <w:szCs w:val="21"/>
                      <w:lang w:val="en-US" w:eastAsia="zh-CN"/>
                    </w:rPr>
                  </w:pPr>
                  <w:r>
                    <w:rPr>
                      <w:rFonts w:hint="default" w:ascii="Times New Roman" w:hAnsi="Times New Roman" w:eastAsia="宋体" w:cs="Times New Roman"/>
                      <w:b/>
                      <w:bCs/>
                      <w:sz w:val="21"/>
                      <w:szCs w:val="21"/>
                    </w:rPr>
                    <w:t>检测</w:t>
                  </w:r>
                  <w:r>
                    <w:rPr>
                      <w:rFonts w:hint="default" w:ascii="Times New Roman" w:hAnsi="Times New Roman" w:eastAsia="宋体" w:cs="Times New Roman"/>
                      <w:b/>
                      <w:bCs/>
                      <w:sz w:val="21"/>
                      <w:szCs w:val="21"/>
                      <w:lang w:eastAsia="zh-CN"/>
                    </w:rPr>
                    <w:t>项目</w:t>
                  </w:r>
                </w:p>
              </w:tc>
              <w:tc>
                <w:tcPr>
                  <w:tcW w:w="975" w:type="dxa"/>
                  <w:vMerge w:val="restart"/>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sz w:val="21"/>
                      <w:szCs w:val="21"/>
                    </w:rPr>
                    <w:t>检测</w:t>
                  </w:r>
                  <w:r>
                    <w:rPr>
                      <w:rFonts w:hint="default" w:ascii="Times New Roman" w:hAnsi="Times New Roman" w:eastAsia="宋体" w:cs="Times New Roman"/>
                      <w:b/>
                      <w:bCs/>
                      <w:color w:val="000000"/>
                      <w:sz w:val="21"/>
                      <w:szCs w:val="21"/>
                    </w:rPr>
                    <w:t>时间</w:t>
                  </w:r>
                </w:p>
              </w:tc>
              <w:tc>
                <w:tcPr>
                  <w:tcW w:w="3606" w:type="dxa"/>
                  <w:gridSpan w:val="4"/>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检测结果（mg/m³）</w:t>
                  </w:r>
                </w:p>
              </w:tc>
              <w:tc>
                <w:tcPr>
                  <w:tcW w:w="591" w:type="dxa"/>
                  <w:vMerge w:val="restart"/>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监测</w:t>
                  </w:r>
                </w:p>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最大值</w:t>
                  </w:r>
                </w:p>
              </w:tc>
              <w:tc>
                <w:tcPr>
                  <w:tcW w:w="439" w:type="dxa"/>
                  <w:vMerge w:val="restart"/>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标准</w:t>
                  </w:r>
                </w:p>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限值</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819" w:hRule="atLeast"/>
                <w:jc w:val="center"/>
              </w:trPr>
              <w:tc>
                <w:tcPr>
                  <w:tcW w:w="967" w:type="dxa"/>
                  <w:vMerge w:val="continue"/>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color w:val="000000"/>
                      <w:sz w:val="21"/>
                      <w:szCs w:val="21"/>
                    </w:rPr>
                  </w:pPr>
                </w:p>
              </w:tc>
              <w:tc>
                <w:tcPr>
                  <w:tcW w:w="859" w:type="dxa"/>
                  <w:vMerge w:val="continue"/>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outlineLvl w:val="1"/>
                    <w:rPr>
                      <w:rFonts w:hint="default" w:ascii="Times New Roman" w:hAnsi="Times New Roman" w:eastAsia="宋体" w:cs="Times New Roman"/>
                      <w:b w:val="0"/>
                      <w:bCs/>
                      <w:color w:val="000000"/>
                      <w:sz w:val="21"/>
                      <w:szCs w:val="21"/>
                    </w:rPr>
                  </w:pPr>
                </w:p>
              </w:tc>
              <w:tc>
                <w:tcPr>
                  <w:tcW w:w="975" w:type="dxa"/>
                  <w:vMerge w:val="continue"/>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color w:val="000000"/>
                      <w:sz w:val="21"/>
                      <w:szCs w:val="21"/>
                    </w:rPr>
                  </w:pPr>
                </w:p>
              </w:tc>
              <w:tc>
                <w:tcPr>
                  <w:tcW w:w="772" w:type="dxa"/>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bCs w:val="0"/>
                      <w:color w:val="000000"/>
                      <w:sz w:val="21"/>
                      <w:szCs w:val="21"/>
                      <w:lang w:eastAsia="zh-CN"/>
                    </w:rPr>
                  </w:pPr>
                  <w:r>
                    <w:rPr>
                      <w:rFonts w:hint="default" w:ascii="Times New Roman" w:hAnsi="Times New Roman" w:eastAsia="宋体" w:cs="Times New Roman"/>
                      <w:b/>
                      <w:bCs w:val="0"/>
                      <w:color w:val="000000"/>
                      <w:sz w:val="21"/>
                      <w:szCs w:val="21"/>
                      <w:lang w:eastAsia="zh-CN"/>
                    </w:rPr>
                    <w:t>厂界</w:t>
                  </w:r>
                </w:p>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bCs w:val="0"/>
                      <w:color w:val="000000"/>
                      <w:sz w:val="21"/>
                      <w:szCs w:val="21"/>
                    </w:rPr>
                  </w:pPr>
                  <w:r>
                    <w:rPr>
                      <w:rFonts w:hint="default" w:ascii="Times New Roman" w:hAnsi="Times New Roman" w:eastAsia="宋体" w:cs="Times New Roman"/>
                      <w:b/>
                      <w:bCs w:val="0"/>
                      <w:color w:val="000000"/>
                      <w:sz w:val="21"/>
                      <w:szCs w:val="21"/>
                      <w:lang w:eastAsia="zh-CN"/>
                    </w:rPr>
                    <w:t>上</w:t>
                  </w:r>
                  <w:r>
                    <w:rPr>
                      <w:rFonts w:hint="default" w:ascii="Times New Roman" w:hAnsi="Times New Roman" w:eastAsia="宋体" w:cs="Times New Roman"/>
                      <w:b/>
                      <w:bCs w:val="0"/>
                      <w:color w:val="000000"/>
                      <w:sz w:val="21"/>
                      <w:szCs w:val="21"/>
                    </w:rPr>
                    <w:t>风向</w:t>
                  </w:r>
                </w:p>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bCs w:val="0"/>
                      <w:color w:val="000000"/>
                      <w:sz w:val="21"/>
                      <w:szCs w:val="21"/>
                    </w:rPr>
                  </w:pPr>
                  <w:r>
                    <w:rPr>
                      <w:rFonts w:hint="default" w:ascii="Times New Roman" w:hAnsi="Times New Roman" w:eastAsia="宋体" w:cs="Times New Roman"/>
                      <w:b/>
                      <w:bCs w:val="0"/>
                      <w:color w:val="000000"/>
                      <w:sz w:val="21"/>
                      <w:szCs w:val="21"/>
                      <w:lang w:val="en-US" w:eastAsia="zh-CN"/>
                    </w:rPr>
                    <w:t>G</w:t>
                  </w:r>
                  <w:r>
                    <w:rPr>
                      <w:rFonts w:hint="default" w:ascii="Times New Roman" w:hAnsi="Times New Roman" w:eastAsia="宋体" w:cs="Times New Roman"/>
                      <w:b/>
                      <w:bCs w:val="0"/>
                      <w:color w:val="000000"/>
                      <w:sz w:val="21"/>
                      <w:szCs w:val="21"/>
                    </w:rPr>
                    <w:t>1</w:t>
                  </w:r>
                </w:p>
              </w:tc>
              <w:tc>
                <w:tcPr>
                  <w:tcW w:w="1028" w:type="dxa"/>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bCs w:val="0"/>
                      <w:color w:val="000000"/>
                      <w:sz w:val="21"/>
                      <w:szCs w:val="21"/>
                      <w:lang w:eastAsia="zh-CN"/>
                    </w:rPr>
                  </w:pPr>
                  <w:r>
                    <w:rPr>
                      <w:rFonts w:hint="default" w:ascii="Times New Roman" w:hAnsi="Times New Roman" w:eastAsia="宋体" w:cs="Times New Roman"/>
                      <w:b/>
                      <w:bCs w:val="0"/>
                      <w:color w:val="000000"/>
                      <w:sz w:val="21"/>
                      <w:szCs w:val="21"/>
                      <w:lang w:eastAsia="zh-CN"/>
                    </w:rPr>
                    <w:t>厂界</w:t>
                  </w:r>
                </w:p>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bCs w:val="0"/>
                      <w:color w:val="000000"/>
                      <w:sz w:val="21"/>
                      <w:szCs w:val="21"/>
                    </w:rPr>
                  </w:pPr>
                  <w:r>
                    <w:rPr>
                      <w:rFonts w:hint="default" w:ascii="Times New Roman" w:hAnsi="Times New Roman" w:eastAsia="宋体" w:cs="Times New Roman"/>
                      <w:b/>
                      <w:bCs w:val="0"/>
                      <w:color w:val="000000"/>
                      <w:sz w:val="21"/>
                      <w:szCs w:val="21"/>
                    </w:rPr>
                    <w:t>下风向</w:t>
                  </w:r>
                </w:p>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bCs w:val="0"/>
                      <w:color w:val="000000"/>
                      <w:sz w:val="21"/>
                      <w:szCs w:val="21"/>
                      <w:lang w:eastAsia="zh-CN"/>
                    </w:rPr>
                  </w:pPr>
                  <w:r>
                    <w:rPr>
                      <w:rFonts w:hint="default" w:ascii="Times New Roman" w:hAnsi="Times New Roman" w:eastAsia="宋体" w:cs="Times New Roman"/>
                      <w:b/>
                      <w:bCs w:val="0"/>
                      <w:color w:val="000000"/>
                      <w:sz w:val="21"/>
                      <w:szCs w:val="21"/>
                      <w:lang w:val="en-US" w:eastAsia="zh-CN"/>
                    </w:rPr>
                    <w:t>G2</w:t>
                  </w:r>
                </w:p>
              </w:tc>
              <w:tc>
                <w:tcPr>
                  <w:tcW w:w="901" w:type="dxa"/>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bCs w:val="0"/>
                      <w:color w:val="000000"/>
                      <w:sz w:val="21"/>
                      <w:szCs w:val="21"/>
                      <w:lang w:eastAsia="zh-CN"/>
                    </w:rPr>
                  </w:pPr>
                  <w:r>
                    <w:rPr>
                      <w:rFonts w:hint="default" w:ascii="Times New Roman" w:hAnsi="Times New Roman" w:eastAsia="宋体" w:cs="Times New Roman"/>
                      <w:b/>
                      <w:bCs w:val="0"/>
                      <w:color w:val="000000"/>
                      <w:sz w:val="21"/>
                      <w:szCs w:val="21"/>
                      <w:lang w:eastAsia="zh-CN"/>
                    </w:rPr>
                    <w:t>厂界</w:t>
                  </w:r>
                </w:p>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bCs w:val="0"/>
                      <w:color w:val="000000"/>
                      <w:sz w:val="21"/>
                      <w:szCs w:val="21"/>
                    </w:rPr>
                  </w:pPr>
                  <w:r>
                    <w:rPr>
                      <w:rFonts w:hint="default" w:ascii="Times New Roman" w:hAnsi="Times New Roman" w:eastAsia="宋体" w:cs="Times New Roman"/>
                      <w:b/>
                      <w:bCs w:val="0"/>
                      <w:color w:val="000000"/>
                      <w:sz w:val="21"/>
                      <w:szCs w:val="21"/>
                    </w:rPr>
                    <w:t>下风向</w:t>
                  </w:r>
                </w:p>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bCs w:val="0"/>
                      <w:color w:val="000000"/>
                      <w:sz w:val="21"/>
                      <w:szCs w:val="21"/>
                    </w:rPr>
                  </w:pPr>
                  <w:r>
                    <w:rPr>
                      <w:rFonts w:hint="default" w:ascii="Times New Roman" w:hAnsi="Times New Roman" w:eastAsia="宋体" w:cs="Times New Roman"/>
                      <w:b/>
                      <w:bCs w:val="0"/>
                      <w:color w:val="000000"/>
                      <w:sz w:val="21"/>
                      <w:szCs w:val="21"/>
                      <w:lang w:val="en-US" w:eastAsia="zh-CN"/>
                    </w:rPr>
                    <w:t>G3</w:t>
                  </w:r>
                </w:p>
              </w:tc>
              <w:tc>
                <w:tcPr>
                  <w:tcW w:w="905" w:type="dxa"/>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bCs w:val="0"/>
                      <w:color w:val="000000"/>
                      <w:sz w:val="21"/>
                      <w:szCs w:val="21"/>
                      <w:lang w:eastAsia="zh-CN"/>
                    </w:rPr>
                  </w:pPr>
                  <w:r>
                    <w:rPr>
                      <w:rFonts w:hint="default" w:ascii="Times New Roman" w:hAnsi="Times New Roman" w:eastAsia="宋体" w:cs="Times New Roman"/>
                      <w:b/>
                      <w:bCs w:val="0"/>
                      <w:color w:val="000000"/>
                      <w:sz w:val="21"/>
                      <w:szCs w:val="21"/>
                      <w:lang w:eastAsia="zh-CN"/>
                    </w:rPr>
                    <w:t>厂界</w:t>
                  </w:r>
                </w:p>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bCs w:val="0"/>
                      <w:color w:val="000000"/>
                      <w:sz w:val="21"/>
                      <w:szCs w:val="21"/>
                    </w:rPr>
                  </w:pPr>
                  <w:r>
                    <w:rPr>
                      <w:rFonts w:hint="default" w:ascii="Times New Roman" w:hAnsi="Times New Roman" w:eastAsia="宋体" w:cs="Times New Roman"/>
                      <w:b/>
                      <w:bCs w:val="0"/>
                      <w:color w:val="000000"/>
                      <w:sz w:val="21"/>
                      <w:szCs w:val="21"/>
                    </w:rPr>
                    <w:t>下风向</w:t>
                  </w:r>
                </w:p>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bCs w:val="0"/>
                      <w:color w:val="000000"/>
                      <w:sz w:val="21"/>
                      <w:szCs w:val="21"/>
                    </w:rPr>
                  </w:pPr>
                  <w:r>
                    <w:rPr>
                      <w:rFonts w:hint="default" w:ascii="Times New Roman" w:hAnsi="Times New Roman" w:eastAsia="宋体" w:cs="Times New Roman"/>
                      <w:b/>
                      <w:bCs w:val="0"/>
                      <w:color w:val="000000"/>
                      <w:sz w:val="21"/>
                      <w:szCs w:val="21"/>
                      <w:lang w:val="en-US" w:eastAsia="zh-CN"/>
                    </w:rPr>
                    <w:t>G4</w:t>
                  </w:r>
                </w:p>
              </w:tc>
              <w:tc>
                <w:tcPr>
                  <w:tcW w:w="591" w:type="dxa"/>
                  <w:vMerge w:val="continue"/>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color w:val="000000"/>
                      <w:sz w:val="21"/>
                      <w:szCs w:val="21"/>
                    </w:rPr>
                  </w:pPr>
                </w:p>
              </w:tc>
              <w:tc>
                <w:tcPr>
                  <w:tcW w:w="439" w:type="dxa"/>
                  <w:vMerge w:val="continue"/>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color w:val="000000"/>
                      <w:sz w:val="21"/>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13" w:hRule="atLeast"/>
                <w:jc w:val="center"/>
              </w:trPr>
              <w:tc>
                <w:tcPr>
                  <w:tcW w:w="967" w:type="dxa"/>
                  <w:vMerge w:val="restar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b w:val="0"/>
                      <w:bCs/>
                      <w:color w:val="000000"/>
                      <w:sz w:val="21"/>
                      <w:szCs w:val="21"/>
                      <w:lang w:val="en-US" w:eastAsia="zh-CN"/>
                    </w:rPr>
                  </w:pPr>
                  <w:r>
                    <w:rPr>
                      <w:rFonts w:hint="default" w:ascii="Times New Roman" w:hAnsi="Times New Roman" w:eastAsia="宋体" w:cs="Times New Roman"/>
                      <w:b w:val="0"/>
                      <w:bCs/>
                      <w:color w:val="000000"/>
                      <w:sz w:val="21"/>
                      <w:szCs w:val="21"/>
                      <w:lang w:val="en-US" w:eastAsia="zh-CN"/>
                    </w:rPr>
                    <w:t>2020.08.11</w:t>
                  </w:r>
                </w:p>
              </w:tc>
              <w:tc>
                <w:tcPr>
                  <w:tcW w:w="859" w:type="dxa"/>
                  <w:vMerge w:val="restart"/>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color w:val="000000"/>
                      <w:sz w:val="21"/>
                      <w:szCs w:val="21"/>
                      <w:lang w:eastAsia="zh-CN"/>
                    </w:rPr>
                  </w:pPr>
                  <w:r>
                    <w:rPr>
                      <w:rFonts w:hint="default" w:ascii="Times New Roman" w:hAnsi="Times New Roman" w:eastAsia="宋体" w:cs="Times New Roman"/>
                      <w:b w:val="0"/>
                      <w:bCs/>
                      <w:color w:val="000000"/>
                      <w:sz w:val="21"/>
                      <w:szCs w:val="21"/>
                      <w:lang w:eastAsia="zh-CN"/>
                    </w:rPr>
                    <w:t>颗粒物</w:t>
                  </w:r>
                </w:p>
              </w:tc>
              <w:tc>
                <w:tcPr>
                  <w:tcW w:w="975" w:type="dxa"/>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b w:val="0"/>
                      <w:bCs/>
                      <w:color w:val="000000"/>
                      <w:sz w:val="21"/>
                      <w:szCs w:val="21"/>
                      <w:lang w:val="en-US" w:eastAsia="zh-CN"/>
                    </w:rPr>
                    <w:t>13:00-14:00</w:t>
                  </w:r>
                </w:p>
              </w:tc>
              <w:tc>
                <w:tcPr>
                  <w:tcW w:w="772"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0.167</w:t>
                  </w:r>
                </w:p>
              </w:tc>
              <w:tc>
                <w:tcPr>
                  <w:tcW w:w="1028"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0.200</w:t>
                  </w:r>
                </w:p>
              </w:tc>
              <w:tc>
                <w:tcPr>
                  <w:tcW w:w="901"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0.250</w:t>
                  </w:r>
                </w:p>
              </w:tc>
              <w:tc>
                <w:tcPr>
                  <w:tcW w:w="905"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0.217</w:t>
                  </w:r>
                </w:p>
              </w:tc>
              <w:tc>
                <w:tcPr>
                  <w:tcW w:w="591" w:type="dxa"/>
                  <w:vMerge w:val="restart"/>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color w:val="000000"/>
                      <w:sz w:val="21"/>
                      <w:szCs w:val="21"/>
                      <w:lang w:val="en-US" w:eastAsia="zh-CN"/>
                    </w:rPr>
                  </w:pPr>
                  <w:r>
                    <w:rPr>
                      <w:rFonts w:hint="default" w:ascii="Times New Roman" w:hAnsi="Times New Roman" w:eastAsia="宋体" w:cs="Times New Roman"/>
                      <w:b w:val="0"/>
                      <w:bCs/>
                      <w:color w:val="000000"/>
                      <w:sz w:val="21"/>
                      <w:szCs w:val="21"/>
                      <w:lang w:val="en-US" w:eastAsia="zh-CN"/>
                    </w:rPr>
                    <w:t>0.317</w:t>
                  </w:r>
                </w:p>
              </w:tc>
              <w:tc>
                <w:tcPr>
                  <w:tcW w:w="439" w:type="dxa"/>
                  <w:vMerge w:val="restart"/>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color w:val="000000"/>
                      <w:sz w:val="21"/>
                      <w:szCs w:val="21"/>
                      <w:lang w:val="en-US" w:eastAsia="zh-CN"/>
                    </w:rPr>
                  </w:pPr>
                  <w:r>
                    <w:rPr>
                      <w:rFonts w:hint="eastAsia" w:cs="Times New Roman"/>
                      <w:b/>
                      <w:bCs w:val="0"/>
                      <w:color w:val="000000"/>
                      <w:sz w:val="21"/>
                      <w:szCs w:val="21"/>
                      <w:lang w:val="en-US" w:eastAsia="zh-CN"/>
                    </w:rPr>
                    <w:t>0.5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13" w:hRule="atLeast"/>
                <w:jc w:val="center"/>
              </w:trPr>
              <w:tc>
                <w:tcPr>
                  <w:tcW w:w="967" w:type="dxa"/>
                  <w:vMerge w:val="continue"/>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color w:val="000000"/>
                      <w:sz w:val="21"/>
                      <w:szCs w:val="21"/>
                    </w:rPr>
                  </w:pPr>
                </w:p>
              </w:tc>
              <w:tc>
                <w:tcPr>
                  <w:tcW w:w="859" w:type="dxa"/>
                  <w:vMerge w:val="continue"/>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color w:val="000000"/>
                      <w:sz w:val="21"/>
                      <w:szCs w:val="21"/>
                    </w:rPr>
                  </w:pPr>
                </w:p>
              </w:tc>
              <w:tc>
                <w:tcPr>
                  <w:tcW w:w="975" w:type="dxa"/>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b w:val="0"/>
                      <w:bCs/>
                      <w:color w:val="000000"/>
                      <w:sz w:val="21"/>
                      <w:szCs w:val="21"/>
                      <w:lang w:val="en-US" w:eastAsia="zh-CN"/>
                    </w:rPr>
                    <w:t>14:10-15:10</w:t>
                  </w:r>
                </w:p>
              </w:tc>
              <w:tc>
                <w:tcPr>
                  <w:tcW w:w="772"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0.183</w:t>
                  </w:r>
                </w:p>
              </w:tc>
              <w:tc>
                <w:tcPr>
                  <w:tcW w:w="1028"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0.233</w:t>
                  </w:r>
                </w:p>
              </w:tc>
              <w:tc>
                <w:tcPr>
                  <w:tcW w:w="901"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0.283</w:t>
                  </w:r>
                </w:p>
              </w:tc>
              <w:tc>
                <w:tcPr>
                  <w:tcW w:w="905"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0.250</w:t>
                  </w:r>
                </w:p>
              </w:tc>
              <w:tc>
                <w:tcPr>
                  <w:tcW w:w="591" w:type="dxa"/>
                  <w:vMerge w:val="continue"/>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color w:val="000000"/>
                      <w:sz w:val="21"/>
                      <w:szCs w:val="21"/>
                    </w:rPr>
                  </w:pPr>
                </w:p>
              </w:tc>
              <w:tc>
                <w:tcPr>
                  <w:tcW w:w="439" w:type="dxa"/>
                  <w:vMerge w:val="continue"/>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color w:val="000000"/>
                      <w:sz w:val="21"/>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13" w:hRule="atLeast"/>
                <w:jc w:val="center"/>
              </w:trPr>
              <w:tc>
                <w:tcPr>
                  <w:tcW w:w="967" w:type="dxa"/>
                  <w:vMerge w:val="continue"/>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color w:val="000000"/>
                      <w:sz w:val="21"/>
                      <w:szCs w:val="21"/>
                    </w:rPr>
                  </w:pPr>
                </w:p>
              </w:tc>
              <w:tc>
                <w:tcPr>
                  <w:tcW w:w="859" w:type="dxa"/>
                  <w:vMerge w:val="continue"/>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color w:val="000000"/>
                      <w:sz w:val="21"/>
                      <w:szCs w:val="21"/>
                    </w:rPr>
                  </w:pPr>
                </w:p>
              </w:tc>
              <w:tc>
                <w:tcPr>
                  <w:tcW w:w="975" w:type="dxa"/>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b w:val="0"/>
                      <w:bCs/>
                      <w:color w:val="000000"/>
                      <w:sz w:val="21"/>
                      <w:szCs w:val="21"/>
                      <w:lang w:val="en-US" w:eastAsia="zh-CN"/>
                    </w:rPr>
                    <w:t>15:20-16:20</w:t>
                  </w:r>
                </w:p>
              </w:tc>
              <w:tc>
                <w:tcPr>
                  <w:tcW w:w="772"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0.200</w:t>
                  </w:r>
                </w:p>
              </w:tc>
              <w:tc>
                <w:tcPr>
                  <w:tcW w:w="1028"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0.250</w:t>
                  </w:r>
                </w:p>
              </w:tc>
              <w:tc>
                <w:tcPr>
                  <w:tcW w:w="901"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0.317</w:t>
                  </w:r>
                </w:p>
              </w:tc>
              <w:tc>
                <w:tcPr>
                  <w:tcW w:w="905"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0.267</w:t>
                  </w:r>
                </w:p>
              </w:tc>
              <w:tc>
                <w:tcPr>
                  <w:tcW w:w="591" w:type="dxa"/>
                  <w:vMerge w:val="continue"/>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color w:val="000000"/>
                      <w:sz w:val="21"/>
                      <w:szCs w:val="21"/>
                    </w:rPr>
                  </w:pPr>
                </w:p>
              </w:tc>
              <w:tc>
                <w:tcPr>
                  <w:tcW w:w="439" w:type="dxa"/>
                  <w:vMerge w:val="continue"/>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color w:val="000000"/>
                      <w:sz w:val="21"/>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13" w:hRule="atLeast"/>
                <w:jc w:val="center"/>
              </w:trPr>
              <w:tc>
                <w:tcPr>
                  <w:tcW w:w="967" w:type="dxa"/>
                  <w:vMerge w:val="continue"/>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color w:val="000000"/>
                      <w:sz w:val="21"/>
                      <w:szCs w:val="21"/>
                    </w:rPr>
                  </w:pPr>
                </w:p>
              </w:tc>
              <w:tc>
                <w:tcPr>
                  <w:tcW w:w="859" w:type="dxa"/>
                  <w:vMerge w:val="continue"/>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color w:val="000000"/>
                      <w:sz w:val="21"/>
                      <w:szCs w:val="21"/>
                    </w:rPr>
                  </w:pPr>
                </w:p>
              </w:tc>
              <w:tc>
                <w:tcPr>
                  <w:tcW w:w="975" w:type="dxa"/>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b w:val="0"/>
                      <w:bCs/>
                      <w:color w:val="000000"/>
                      <w:sz w:val="21"/>
                      <w:szCs w:val="21"/>
                      <w:lang w:val="en-US" w:eastAsia="zh-CN"/>
                    </w:rPr>
                    <w:t>16:30-17:30</w:t>
                  </w:r>
                </w:p>
              </w:tc>
              <w:tc>
                <w:tcPr>
                  <w:tcW w:w="772"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0.150</w:t>
                  </w:r>
                </w:p>
              </w:tc>
              <w:tc>
                <w:tcPr>
                  <w:tcW w:w="1028"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0.217</w:t>
                  </w:r>
                </w:p>
              </w:tc>
              <w:tc>
                <w:tcPr>
                  <w:tcW w:w="901"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0.267</w:t>
                  </w:r>
                </w:p>
              </w:tc>
              <w:tc>
                <w:tcPr>
                  <w:tcW w:w="905"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0.183</w:t>
                  </w:r>
                </w:p>
              </w:tc>
              <w:tc>
                <w:tcPr>
                  <w:tcW w:w="591" w:type="dxa"/>
                  <w:vMerge w:val="continue"/>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color w:val="000000"/>
                      <w:sz w:val="21"/>
                      <w:szCs w:val="21"/>
                    </w:rPr>
                  </w:pPr>
                </w:p>
              </w:tc>
              <w:tc>
                <w:tcPr>
                  <w:tcW w:w="439" w:type="dxa"/>
                  <w:vMerge w:val="continue"/>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color w:val="000000"/>
                      <w:sz w:val="21"/>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13" w:hRule="atLeast"/>
                <w:jc w:val="center"/>
              </w:trPr>
              <w:tc>
                <w:tcPr>
                  <w:tcW w:w="967" w:type="dxa"/>
                  <w:vMerge w:val="restar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b w:val="0"/>
                      <w:bCs/>
                      <w:color w:val="000000"/>
                      <w:sz w:val="21"/>
                      <w:szCs w:val="21"/>
                      <w:lang w:val="en-US" w:eastAsia="zh-CN"/>
                    </w:rPr>
                  </w:pPr>
                  <w:r>
                    <w:rPr>
                      <w:rFonts w:hint="default" w:ascii="Times New Roman" w:hAnsi="Times New Roman" w:eastAsia="宋体" w:cs="Times New Roman"/>
                      <w:b w:val="0"/>
                      <w:bCs/>
                      <w:color w:val="000000"/>
                      <w:sz w:val="21"/>
                      <w:szCs w:val="21"/>
                      <w:lang w:val="en-US" w:eastAsia="zh-CN"/>
                    </w:rPr>
                    <w:t>2020.08.12</w:t>
                  </w:r>
                </w:p>
              </w:tc>
              <w:tc>
                <w:tcPr>
                  <w:tcW w:w="859" w:type="dxa"/>
                  <w:vMerge w:val="continue"/>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color w:val="000000"/>
                      <w:sz w:val="21"/>
                      <w:szCs w:val="21"/>
                    </w:rPr>
                  </w:pPr>
                </w:p>
              </w:tc>
              <w:tc>
                <w:tcPr>
                  <w:tcW w:w="975" w:type="dxa"/>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b w:val="0"/>
                      <w:bCs/>
                      <w:color w:val="000000"/>
                      <w:sz w:val="21"/>
                      <w:szCs w:val="21"/>
                      <w:lang w:val="en-US" w:eastAsia="zh-CN"/>
                    </w:rPr>
                    <w:t>09:00-10:00</w:t>
                  </w:r>
                </w:p>
              </w:tc>
              <w:tc>
                <w:tcPr>
                  <w:tcW w:w="772"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0.167</w:t>
                  </w:r>
                </w:p>
              </w:tc>
              <w:tc>
                <w:tcPr>
                  <w:tcW w:w="1028"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0.217</w:t>
                  </w:r>
                </w:p>
              </w:tc>
              <w:tc>
                <w:tcPr>
                  <w:tcW w:w="901"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0.250</w:t>
                  </w:r>
                </w:p>
              </w:tc>
              <w:tc>
                <w:tcPr>
                  <w:tcW w:w="905"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0.233</w:t>
                  </w:r>
                </w:p>
              </w:tc>
              <w:tc>
                <w:tcPr>
                  <w:tcW w:w="591" w:type="dxa"/>
                  <w:vMerge w:val="restart"/>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color w:val="000000"/>
                      <w:sz w:val="21"/>
                      <w:szCs w:val="21"/>
                      <w:lang w:val="en-US" w:eastAsia="zh-CN"/>
                    </w:rPr>
                  </w:pPr>
                  <w:r>
                    <w:rPr>
                      <w:rFonts w:hint="default" w:ascii="Times New Roman" w:hAnsi="Times New Roman" w:eastAsia="宋体" w:cs="Times New Roman"/>
                      <w:b w:val="0"/>
                      <w:bCs/>
                      <w:color w:val="000000"/>
                      <w:sz w:val="21"/>
                      <w:szCs w:val="21"/>
                      <w:lang w:val="en-US" w:eastAsia="zh-CN"/>
                    </w:rPr>
                    <w:t>0.333</w:t>
                  </w:r>
                </w:p>
              </w:tc>
              <w:tc>
                <w:tcPr>
                  <w:tcW w:w="439" w:type="dxa"/>
                  <w:vMerge w:val="continue"/>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color w:val="000000"/>
                      <w:sz w:val="21"/>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13" w:hRule="atLeast"/>
                <w:jc w:val="center"/>
              </w:trPr>
              <w:tc>
                <w:tcPr>
                  <w:tcW w:w="967" w:type="dxa"/>
                  <w:vMerge w:val="continue"/>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color w:val="000000"/>
                      <w:sz w:val="21"/>
                      <w:szCs w:val="21"/>
                    </w:rPr>
                  </w:pPr>
                </w:p>
              </w:tc>
              <w:tc>
                <w:tcPr>
                  <w:tcW w:w="859" w:type="dxa"/>
                  <w:vMerge w:val="continue"/>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color w:val="000000"/>
                      <w:sz w:val="21"/>
                      <w:szCs w:val="21"/>
                    </w:rPr>
                  </w:pPr>
                </w:p>
              </w:tc>
              <w:tc>
                <w:tcPr>
                  <w:tcW w:w="975" w:type="dxa"/>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b w:val="0"/>
                      <w:bCs/>
                      <w:color w:val="000000"/>
                      <w:sz w:val="21"/>
                      <w:szCs w:val="21"/>
                      <w:lang w:val="en-US" w:eastAsia="zh-CN"/>
                    </w:rPr>
                    <w:t>10:10-11:10</w:t>
                  </w:r>
                </w:p>
              </w:tc>
              <w:tc>
                <w:tcPr>
                  <w:tcW w:w="772"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0.150</w:t>
                  </w:r>
                </w:p>
              </w:tc>
              <w:tc>
                <w:tcPr>
                  <w:tcW w:w="1028"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0.250</w:t>
                  </w:r>
                </w:p>
              </w:tc>
              <w:tc>
                <w:tcPr>
                  <w:tcW w:w="901"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0.300</w:t>
                  </w:r>
                </w:p>
              </w:tc>
              <w:tc>
                <w:tcPr>
                  <w:tcW w:w="905"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0.250</w:t>
                  </w:r>
                </w:p>
              </w:tc>
              <w:tc>
                <w:tcPr>
                  <w:tcW w:w="591" w:type="dxa"/>
                  <w:vMerge w:val="continue"/>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color w:val="000000"/>
                      <w:sz w:val="21"/>
                      <w:szCs w:val="21"/>
                    </w:rPr>
                  </w:pPr>
                </w:p>
              </w:tc>
              <w:tc>
                <w:tcPr>
                  <w:tcW w:w="439" w:type="dxa"/>
                  <w:vMerge w:val="continue"/>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color w:val="000000"/>
                      <w:sz w:val="21"/>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13" w:hRule="atLeast"/>
                <w:jc w:val="center"/>
              </w:trPr>
              <w:tc>
                <w:tcPr>
                  <w:tcW w:w="967" w:type="dxa"/>
                  <w:vMerge w:val="continue"/>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color w:val="000000"/>
                      <w:sz w:val="21"/>
                      <w:szCs w:val="21"/>
                    </w:rPr>
                  </w:pPr>
                </w:p>
              </w:tc>
              <w:tc>
                <w:tcPr>
                  <w:tcW w:w="859" w:type="dxa"/>
                  <w:vMerge w:val="continue"/>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color w:val="000000"/>
                      <w:sz w:val="21"/>
                      <w:szCs w:val="21"/>
                    </w:rPr>
                  </w:pPr>
                </w:p>
              </w:tc>
              <w:tc>
                <w:tcPr>
                  <w:tcW w:w="975" w:type="dxa"/>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b w:val="0"/>
                      <w:bCs/>
                      <w:color w:val="000000"/>
                      <w:sz w:val="21"/>
                      <w:szCs w:val="21"/>
                      <w:lang w:val="en-US" w:eastAsia="zh-CN"/>
                    </w:rPr>
                    <w:t>11:20-12:20</w:t>
                  </w:r>
                </w:p>
              </w:tc>
              <w:tc>
                <w:tcPr>
                  <w:tcW w:w="772"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0.183</w:t>
                  </w:r>
                </w:p>
              </w:tc>
              <w:tc>
                <w:tcPr>
                  <w:tcW w:w="1028"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0.283</w:t>
                  </w:r>
                </w:p>
              </w:tc>
              <w:tc>
                <w:tcPr>
                  <w:tcW w:w="901"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0.333</w:t>
                  </w:r>
                </w:p>
              </w:tc>
              <w:tc>
                <w:tcPr>
                  <w:tcW w:w="905"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0.300</w:t>
                  </w:r>
                </w:p>
              </w:tc>
              <w:tc>
                <w:tcPr>
                  <w:tcW w:w="591" w:type="dxa"/>
                  <w:vMerge w:val="continue"/>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color w:val="000000"/>
                      <w:sz w:val="21"/>
                      <w:szCs w:val="21"/>
                    </w:rPr>
                  </w:pPr>
                </w:p>
              </w:tc>
              <w:tc>
                <w:tcPr>
                  <w:tcW w:w="439" w:type="dxa"/>
                  <w:vMerge w:val="continue"/>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color w:val="000000"/>
                      <w:sz w:val="21"/>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13" w:hRule="atLeast"/>
                <w:jc w:val="center"/>
              </w:trPr>
              <w:tc>
                <w:tcPr>
                  <w:tcW w:w="967" w:type="dxa"/>
                  <w:vMerge w:val="continue"/>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color w:val="000000"/>
                      <w:sz w:val="21"/>
                      <w:szCs w:val="21"/>
                    </w:rPr>
                  </w:pPr>
                </w:p>
              </w:tc>
              <w:tc>
                <w:tcPr>
                  <w:tcW w:w="859" w:type="dxa"/>
                  <w:vMerge w:val="continue"/>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color w:val="000000"/>
                      <w:sz w:val="21"/>
                      <w:szCs w:val="21"/>
                    </w:rPr>
                  </w:pPr>
                </w:p>
              </w:tc>
              <w:tc>
                <w:tcPr>
                  <w:tcW w:w="975" w:type="dxa"/>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b w:val="0"/>
                      <w:bCs/>
                      <w:color w:val="000000"/>
                      <w:sz w:val="21"/>
                      <w:szCs w:val="21"/>
                      <w:lang w:val="en-US" w:eastAsia="zh-CN"/>
                    </w:rPr>
                    <w:t>12:30-13:30</w:t>
                  </w:r>
                </w:p>
              </w:tc>
              <w:tc>
                <w:tcPr>
                  <w:tcW w:w="772"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0.200</w:t>
                  </w:r>
                </w:p>
              </w:tc>
              <w:tc>
                <w:tcPr>
                  <w:tcW w:w="1028"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0.233</w:t>
                  </w:r>
                </w:p>
              </w:tc>
              <w:tc>
                <w:tcPr>
                  <w:tcW w:w="901"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0.267</w:t>
                  </w:r>
                </w:p>
              </w:tc>
              <w:tc>
                <w:tcPr>
                  <w:tcW w:w="905"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0.217</w:t>
                  </w:r>
                </w:p>
              </w:tc>
              <w:tc>
                <w:tcPr>
                  <w:tcW w:w="591" w:type="dxa"/>
                  <w:vMerge w:val="continue"/>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color w:val="000000"/>
                      <w:sz w:val="21"/>
                      <w:szCs w:val="21"/>
                    </w:rPr>
                  </w:pPr>
                </w:p>
              </w:tc>
              <w:tc>
                <w:tcPr>
                  <w:tcW w:w="439" w:type="dxa"/>
                  <w:vMerge w:val="continue"/>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color w:val="000000"/>
                      <w:sz w:val="21"/>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606" w:hRule="atLeast"/>
                <w:jc w:val="center"/>
              </w:trPr>
              <w:tc>
                <w:tcPr>
                  <w:tcW w:w="967" w:type="dxa"/>
                  <w:noWrap w:val="0"/>
                  <w:vAlign w:val="center"/>
                </w:tcPr>
                <w:p>
                  <w:pPr>
                    <w:keepNext w:val="0"/>
                    <w:keepLines w:val="0"/>
                    <w:pageBreakBefore w:val="0"/>
                    <w:tabs>
                      <w:tab w:val="left" w:pos="2711"/>
                    </w:tabs>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color w:val="000000"/>
                      <w:sz w:val="21"/>
                      <w:szCs w:val="21"/>
                      <w:lang w:eastAsia="zh-CN"/>
                    </w:rPr>
                  </w:pPr>
                  <w:r>
                    <w:rPr>
                      <w:rFonts w:hint="default" w:ascii="Times New Roman" w:hAnsi="Times New Roman" w:eastAsia="宋体" w:cs="Times New Roman"/>
                      <w:color w:val="auto"/>
                      <w:sz w:val="21"/>
                      <w:szCs w:val="21"/>
                      <w:lang w:eastAsia="zh-CN"/>
                    </w:rPr>
                    <w:t>执行标准</w:t>
                  </w:r>
                </w:p>
              </w:tc>
              <w:tc>
                <w:tcPr>
                  <w:tcW w:w="6470" w:type="dxa"/>
                  <w:gridSpan w:val="8"/>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color w:val="000000"/>
                      <w:sz w:val="21"/>
                      <w:szCs w:val="21"/>
                      <w:lang w:val="en-US" w:eastAsia="zh-CN"/>
                    </w:rPr>
                  </w:pPr>
                  <w:r>
                    <w:rPr>
                      <w:rFonts w:hint="default" w:ascii="Times New Roman" w:hAnsi="Times New Roman" w:eastAsia="宋体" w:cs="Times New Roman"/>
                      <w:bCs/>
                      <w:color w:val="auto"/>
                      <w:sz w:val="21"/>
                      <w:szCs w:val="21"/>
                      <w:lang w:val="en-US" w:eastAsia="zh-CN" w:bidi="ar"/>
                    </w:rPr>
                    <w:t>上海市地方标准《大气污染物综合排放标准》（DB31/933-2015）表3无组织排放点监控浓度限值</w:t>
                  </w:r>
                  <w:r>
                    <w:rPr>
                      <w:rFonts w:hint="default" w:ascii="Times New Roman" w:hAnsi="Times New Roman" w:eastAsia="宋体" w:cs="Times New Roman"/>
                      <w:kern w:val="2"/>
                      <w:sz w:val="21"/>
                      <w:szCs w:val="21"/>
                      <w:lang w:val="en-US" w:eastAsia="zh-CN" w:bidi="ar"/>
                    </w:rPr>
                    <w:t>。</w:t>
                  </w:r>
                </w:p>
              </w:tc>
            </w:tr>
          </w:tbl>
          <w:p>
            <w:pPr>
              <w:autoSpaceDE w:val="0"/>
              <w:spacing w:line="360" w:lineRule="auto"/>
              <w:ind w:firstLine="480"/>
              <w:rPr>
                <w:rFonts w:hint="eastAsia"/>
                <w:bCs/>
                <w:color w:val="000000"/>
                <w:sz w:val="24"/>
                <w:lang w:eastAsia="zh-CN"/>
              </w:rPr>
            </w:pPr>
            <w:r>
              <w:rPr>
                <w:rFonts w:hint="eastAsia"/>
                <w:bCs/>
                <w:color w:val="000000"/>
                <w:sz w:val="24"/>
                <w:lang w:val="en-US" w:eastAsia="zh-CN"/>
              </w:rPr>
              <w:t>（</w:t>
            </w:r>
            <w:r>
              <w:rPr>
                <w:rFonts w:hint="default"/>
                <w:bCs/>
                <w:color w:val="000000"/>
                <w:sz w:val="24"/>
                <w:lang w:val="en-US" w:eastAsia="zh-CN"/>
              </w:rPr>
              <w:t>2</w:t>
            </w:r>
            <w:r>
              <w:rPr>
                <w:rFonts w:hint="eastAsia"/>
                <w:bCs/>
                <w:color w:val="000000"/>
                <w:sz w:val="24"/>
                <w:lang w:val="en-US" w:eastAsia="zh-CN"/>
              </w:rPr>
              <w:t xml:space="preserve">）废水 </w:t>
            </w:r>
          </w:p>
          <w:p>
            <w:pPr>
              <w:autoSpaceDE w:val="0"/>
              <w:spacing w:line="360" w:lineRule="auto"/>
              <w:ind w:firstLine="480"/>
              <w:rPr>
                <w:rFonts w:hint="eastAsia"/>
                <w:bCs/>
                <w:color w:val="000000"/>
                <w:sz w:val="24"/>
                <w:lang w:eastAsia="zh-CN"/>
              </w:rPr>
            </w:pPr>
            <w:r>
              <w:rPr>
                <w:rFonts w:hint="default"/>
                <w:bCs/>
                <w:color w:val="000000"/>
                <w:sz w:val="24"/>
                <w:lang w:val="en-US" w:eastAsia="zh-CN"/>
              </w:rPr>
              <w:t>员工为</w:t>
            </w:r>
            <w:r>
              <w:rPr>
                <w:rFonts w:hint="default"/>
                <w:bCs/>
                <w:color w:val="000000"/>
                <w:sz w:val="24"/>
                <w:lang w:eastAsia="zh-CN"/>
              </w:rPr>
              <w:t>芜湖新兴铸管有限责任公司</w:t>
            </w:r>
            <w:r>
              <w:rPr>
                <w:rFonts w:hint="default"/>
                <w:bCs/>
                <w:color w:val="000000"/>
                <w:sz w:val="24"/>
                <w:lang w:val="en-US" w:eastAsia="zh-CN"/>
              </w:rPr>
              <w:t>调配人员，生活用水依托</w:t>
            </w:r>
            <w:r>
              <w:rPr>
                <w:rFonts w:hint="default"/>
                <w:bCs/>
                <w:color w:val="000000"/>
                <w:sz w:val="24"/>
                <w:lang w:eastAsia="zh-CN"/>
              </w:rPr>
              <w:t>芜湖新兴铸管有限责任公司，</w:t>
            </w:r>
            <w:r>
              <w:rPr>
                <w:rFonts w:hint="default"/>
                <w:bCs/>
                <w:color w:val="000000"/>
                <w:sz w:val="24"/>
                <w:lang w:val="en-US" w:eastAsia="zh-CN"/>
              </w:rPr>
              <w:t>不新增生活用水，故无</w:t>
            </w:r>
            <w:r>
              <w:rPr>
                <w:rFonts w:hint="eastAsia"/>
                <w:bCs/>
                <w:color w:val="000000"/>
                <w:sz w:val="24"/>
                <w:lang w:eastAsia="zh-CN"/>
              </w:rPr>
              <w:t>生活废水产生。洗砂废水与</w:t>
            </w:r>
            <w:r>
              <w:rPr>
                <w:rFonts w:hint="eastAsia"/>
                <w:bCs/>
                <w:color w:val="auto"/>
                <w:sz w:val="24"/>
                <w:lang w:eastAsia="zh-CN"/>
              </w:rPr>
              <w:t>筛</w:t>
            </w:r>
            <w:r>
              <w:rPr>
                <w:rFonts w:hint="eastAsia"/>
                <w:bCs/>
                <w:color w:val="auto"/>
                <w:sz w:val="24"/>
                <w:lang w:val="en-US" w:eastAsia="zh-CN"/>
              </w:rPr>
              <w:t>选</w:t>
            </w:r>
            <w:r>
              <w:rPr>
                <w:rFonts w:hint="eastAsia"/>
                <w:bCs/>
                <w:color w:val="000000"/>
                <w:sz w:val="24"/>
                <w:lang w:eastAsia="zh-CN"/>
              </w:rPr>
              <w:t>废水一起排入循环水池沉淀后回用，不外排。</w:t>
            </w:r>
          </w:p>
          <w:p>
            <w:pPr>
              <w:autoSpaceDE w:val="0"/>
              <w:spacing w:line="360" w:lineRule="auto"/>
              <w:ind w:firstLine="480"/>
              <w:rPr>
                <w:rFonts w:hint="eastAsia"/>
                <w:bCs/>
                <w:color w:val="000000"/>
                <w:sz w:val="24"/>
                <w:lang w:eastAsia="zh-CN"/>
              </w:rPr>
            </w:pPr>
            <w:r>
              <w:rPr>
                <w:rFonts w:hint="eastAsia"/>
                <w:bCs/>
                <w:color w:val="000000"/>
                <w:sz w:val="24"/>
                <w:lang w:val="en-US" w:eastAsia="zh-CN"/>
              </w:rPr>
              <w:t xml:space="preserve">（3）噪声 </w:t>
            </w:r>
          </w:p>
          <w:p>
            <w:pPr>
              <w:autoSpaceDE w:val="0"/>
              <w:spacing w:line="360" w:lineRule="auto"/>
              <w:ind w:firstLine="480"/>
              <w:rPr>
                <w:rFonts w:hint="default"/>
                <w:bCs/>
                <w:color w:val="000000"/>
                <w:sz w:val="24"/>
                <w:lang w:val="en-US" w:eastAsia="zh-CN"/>
              </w:rPr>
            </w:pPr>
            <w:r>
              <w:rPr>
                <w:rFonts w:hint="default"/>
                <w:bCs/>
                <w:color w:val="000000"/>
                <w:sz w:val="24"/>
                <w:lang w:val="en-US" w:eastAsia="zh-CN"/>
              </w:rPr>
              <w:t>噪声主要来源于主要为滚筒筛、洗砂机等，最大噪声值为</w:t>
            </w:r>
            <w:r>
              <w:rPr>
                <w:rFonts w:hint="eastAsia"/>
                <w:bCs/>
                <w:color w:val="000000"/>
                <w:sz w:val="24"/>
                <w:lang w:val="en-US" w:eastAsia="zh-CN"/>
              </w:rPr>
              <w:t>85</w:t>
            </w:r>
            <w:r>
              <w:rPr>
                <w:rFonts w:hint="default"/>
                <w:bCs/>
                <w:color w:val="000000"/>
                <w:sz w:val="24"/>
                <w:lang w:val="en-US" w:eastAsia="zh-CN"/>
              </w:rPr>
              <w:t>dB（A）。采取合理布局、隔声、减振等措施</w:t>
            </w:r>
            <w:r>
              <w:rPr>
                <w:rFonts w:hint="eastAsia"/>
                <w:bCs/>
                <w:color w:val="000000"/>
                <w:sz w:val="24"/>
                <w:lang w:val="en-US" w:eastAsia="zh-CN"/>
              </w:rPr>
              <w:t>。</w:t>
            </w:r>
          </w:p>
          <w:p>
            <w:pPr>
              <w:autoSpaceDE w:val="0"/>
              <w:spacing w:line="360" w:lineRule="auto"/>
              <w:ind w:firstLine="480"/>
              <w:rPr>
                <w:rFonts w:hint="eastAsia"/>
                <w:bCs/>
                <w:color w:val="000000"/>
                <w:sz w:val="24"/>
                <w:lang w:val="en-US" w:eastAsia="zh-CN"/>
              </w:rPr>
            </w:pPr>
            <w:r>
              <w:rPr>
                <w:rFonts w:hint="eastAsia"/>
                <w:bCs/>
                <w:color w:val="000000"/>
                <w:sz w:val="24"/>
                <w:lang w:val="en-US" w:eastAsia="zh-CN"/>
              </w:rPr>
              <w:t>根据</w:t>
            </w:r>
            <w:r>
              <w:rPr>
                <w:rFonts w:hint="eastAsia"/>
                <w:bCs/>
                <w:sz w:val="24"/>
                <w:lang w:val="en-US" w:eastAsia="zh-CN"/>
              </w:rPr>
              <w:t>芜湖新兴新材料产业园有限公司</w:t>
            </w:r>
            <w:r>
              <w:rPr>
                <w:rFonts w:hint="eastAsia"/>
                <w:bCs/>
                <w:color w:val="000000"/>
                <w:sz w:val="24"/>
                <w:lang w:val="en-US" w:eastAsia="zh-CN"/>
              </w:rPr>
              <w:t>委托</w:t>
            </w:r>
            <w:r>
              <w:rPr>
                <w:rFonts w:hint="eastAsia"/>
                <w:bCs/>
                <w:sz w:val="24"/>
              </w:rPr>
              <w:t>安徽</w:t>
            </w:r>
            <w:r>
              <w:rPr>
                <w:rFonts w:hint="eastAsia"/>
                <w:bCs/>
                <w:sz w:val="24"/>
                <w:lang w:val="en-US" w:eastAsia="zh-CN"/>
              </w:rPr>
              <w:t>威正测试技术</w:t>
            </w:r>
            <w:r>
              <w:rPr>
                <w:rFonts w:hint="eastAsia"/>
                <w:bCs/>
                <w:sz w:val="24"/>
              </w:rPr>
              <w:t>有限公司</w:t>
            </w:r>
            <w:r>
              <w:rPr>
                <w:rFonts w:hint="eastAsia"/>
                <w:bCs/>
                <w:color w:val="000000"/>
                <w:sz w:val="24"/>
                <w:lang w:val="en-US" w:eastAsia="zh-CN"/>
              </w:rPr>
              <w:t>所出监测报告（检测报告编号：</w:t>
            </w:r>
            <w:r>
              <w:rPr>
                <w:rFonts w:hint="eastAsia"/>
                <w:bCs/>
                <w:sz w:val="24"/>
                <w:lang w:eastAsia="zh-CN"/>
              </w:rPr>
              <w:t>2021113000807Q</w:t>
            </w:r>
            <w:r>
              <w:rPr>
                <w:rFonts w:hint="eastAsia"/>
                <w:bCs/>
                <w:color w:val="000000"/>
                <w:sz w:val="24"/>
                <w:lang w:val="en-US" w:eastAsia="zh-CN"/>
              </w:rPr>
              <w:t>），企业噪声现状监测见表</w:t>
            </w:r>
            <w:r>
              <w:rPr>
                <w:rFonts w:hint="default"/>
                <w:bCs/>
                <w:color w:val="000000"/>
                <w:sz w:val="24"/>
                <w:lang w:val="en-US" w:eastAsia="zh-CN"/>
              </w:rPr>
              <w:t>2-</w:t>
            </w:r>
            <w:r>
              <w:rPr>
                <w:rFonts w:hint="eastAsia"/>
                <w:bCs/>
                <w:color w:val="000000"/>
                <w:sz w:val="24"/>
                <w:lang w:val="en-US" w:eastAsia="zh-CN"/>
              </w:rPr>
              <w:t>12，检测结果表明现有项目厂界噪声符合《工业企业厂界环境噪声排放标准》（GB12348-2008）表1中3类标准限值的要求。</w:t>
            </w:r>
          </w:p>
          <w:p>
            <w:pPr>
              <w:keepNext w:val="0"/>
              <w:keepLines w:val="0"/>
              <w:widowControl/>
              <w:suppressLineNumbers w:val="0"/>
              <w:ind w:firstLine="1687" w:firstLineChars="700"/>
              <w:jc w:val="left"/>
              <w:rPr>
                <w:rFonts w:hint="default"/>
                <w:lang w:val="en-US" w:eastAsia="zh-CN"/>
              </w:rPr>
            </w:pPr>
            <w:r>
              <w:rPr>
                <w:rFonts w:hint="eastAsia"/>
                <w:b/>
                <w:color w:val="000000"/>
                <w:sz w:val="24"/>
                <w:lang w:val="en-US" w:eastAsia="zh-CN"/>
              </w:rPr>
              <w:t xml:space="preserve">表 </w:t>
            </w:r>
            <w:r>
              <w:rPr>
                <w:rFonts w:hint="default"/>
                <w:b/>
                <w:color w:val="000000"/>
                <w:sz w:val="24"/>
                <w:lang w:val="en-US" w:eastAsia="zh-CN"/>
              </w:rPr>
              <w:t>2-</w:t>
            </w:r>
            <w:r>
              <w:rPr>
                <w:rFonts w:hint="eastAsia"/>
                <w:b/>
                <w:color w:val="000000"/>
                <w:sz w:val="24"/>
                <w:lang w:val="en-US" w:eastAsia="zh-CN"/>
              </w:rPr>
              <w:t>12</w:t>
            </w:r>
            <w:r>
              <w:rPr>
                <w:rFonts w:hint="default"/>
                <w:b/>
                <w:color w:val="000000"/>
                <w:sz w:val="24"/>
                <w:lang w:val="en-US" w:eastAsia="zh-CN"/>
              </w:rPr>
              <w:t xml:space="preserve"> </w:t>
            </w:r>
            <w:r>
              <w:rPr>
                <w:rFonts w:hint="eastAsia"/>
                <w:b/>
                <w:color w:val="000000"/>
                <w:sz w:val="24"/>
                <w:lang w:val="en-US" w:eastAsia="zh-CN"/>
              </w:rPr>
              <w:t>现有项目厂界噪声检测结果统计表</w:t>
            </w:r>
          </w:p>
          <w:tbl>
            <w:tblPr>
              <w:tblStyle w:val="26"/>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98"/>
              <w:gridCol w:w="1446"/>
              <w:gridCol w:w="1323"/>
              <w:gridCol w:w="1323"/>
              <w:gridCol w:w="1323"/>
              <w:gridCol w:w="1406"/>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5" w:type="dxa"/>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点位编号</w:t>
                  </w:r>
                </w:p>
              </w:tc>
              <w:tc>
                <w:tcPr>
                  <w:tcW w:w="1457" w:type="dxa"/>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点位名称</w:t>
                  </w:r>
                </w:p>
              </w:tc>
              <w:tc>
                <w:tcPr>
                  <w:tcW w:w="5416" w:type="dxa"/>
                  <w:gridSpan w:val="4"/>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rPr>
                    <w:t>检测结果Leq[dB(A)]</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5"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bCs/>
                      <w:color w:val="auto"/>
                      <w:sz w:val="21"/>
                      <w:szCs w:val="21"/>
                    </w:rPr>
                  </w:pPr>
                </w:p>
              </w:tc>
              <w:tc>
                <w:tcPr>
                  <w:tcW w:w="1457"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bCs/>
                      <w:color w:val="auto"/>
                      <w:sz w:val="21"/>
                      <w:szCs w:val="21"/>
                    </w:rPr>
                  </w:pPr>
                </w:p>
              </w:tc>
              <w:tc>
                <w:tcPr>
                  <w:tcW w:w="2666" w:type="dxa"/>
                  <w:gridSpan w:val="2"/>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bCs/>
                      <w:color w:val="000000"/>
                      <w:sz w:val="21"/>
                      <w:szCs w:val="21"/>
                      <w:lang w:val="en-US" w:eastAsia="zh-CN"/>
                    </w:rPr>
                  </w:pPr>
                  <w:r>
                    <w:rPr>
                      <w:rFonts w:hint="default" w:ascii="Times New Roman" w:hAnsi="Times New Roman" w:eastAsia="宋体" w:cs="Times New Roman"/>
                      <w:b/>
                      <w:bCs/>
                      <w:color w:val="000000"/>
                      <w:sz w:val="21"/>
                      <w:szCs w:val="21"/>
                      <w:lang w:val="en-US" w:eastAsia="zh-CN"/>
                    </w:rPr>
                    <w:t>202</w:t>
                  </w:r>
                  <w:r>
                    <w:rPr>
                      <w:rFonts w:hint="eastAsia" w:cs="Times New Roman"/>
                      <w:b/>
                      <w:bCs/>
                      <w:color w:val="000000"/>
                      <w:sz w:val="21"/>
                      <w:szCs w:val="21"/>
                      <w:lang w:val="en-US" w:eastAsia="zh-CN"/>
                    </w:rPr>
                    <w:t>1</w:t>
                  </w:r>
                  <w:r>
                    <w:rPr>
                      <w:rFonts w:hint="default" w:ascii="Times New Roman" w:hAnsi="Times New Roman" w:eastAsia="宋体" w:cs="Times New Roman"/>
                      <w:b/>
                      <w:bCs/>
                      <w:color w:val="000000"/>
                      <w:sz w:val="21"/>
                      <w:szCs w:val="21"/>
                      <w:lang w:val="en-US" w:eastAsia="zh-CN"/>
                    </w:rPr>
                    <w:t>.</w:t>
                  </w:r>
                  <w:r>
                    <w:rPr>
                      <w:rFonts w:hint="eastAsia" w:cs="Times New Roman"/>
                      <w:b/>
                      <w:bCs/>
                      <w:color w:val="000000"/>
                      <w:sz w:val="21"/>
                      <w:szCs w:val="21"/>
                      <w:lang w:val="en-US" w:eastAsia="zh-CN"/>
                    </w:rPr>
                    <w:t>12</w:t>
                  </w:r>
                  <w:r>
                    <w:rPr>
                      <w:rFonts w:hint="default" w:ascii="Times New Roman" w:hAnsi="Times New Roman" w:eastAsia="宋体" w:cs="Times New Roman"/>
                      <w:b/>
                      <w:bCs/>
                      <w:color w:val="000000"/>
                      <w:sz w:val="21"/>
                      <w:szCs w:val="21"/>
                      <w:lang w:val="en-US" w:eastAsia="zh-CN"/>
                    </w:rPr>
                    <w:t>.1</w:t>
                  </w:r>
                </w:p>
              </w:tc>
              <w:tc>
                <w:tcPr>
                  <w:tcW w:w="2750" w:type="dxa"/>
                  <w:gridSpan w:val="2"/>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bCs/>
                      <w:color w:val="000000"/>
                      <w:sz w:val="21"/>
                      <w:szCs w:val="21"/>
                      <w:lang w:val="en-US" w:eastAsia="zh-CN"/>
                    </w:rPr>
                  </w:pPr>
                  <w:r>
                    <w:rPr>
                      <w:rFonts w:hint="default" w:ascii="Times New Roman" w:hAnsi="Times New Roman" w:eastAsia="宋体" w:cs="Times New Roman"/>
                      <w:b/>
                      <w:bCs/>
                      <w:color w:val="000000"/>
                      <w:sz w:val="21"/>
                      <w:szCs w:val="21"/>
                      <w:lang w:val="en-US" w:eastAsia="zh-CN"/>
                    </w:rPr>
                    <w:t>202</w:t>
                  </w:r>
                  <w:r>
                    <w:rPr>
                      <w:rFonts w:hint="eastAsia" w:cs="Times New Roman"/>
                      <w:b/>
                      <w:bCs/>
                      <w:color w:val="000000"/>
                      <w:sz w:val="21"/>
                      <w:szCs w:val="21"/>
                      <w:lang w:val="en-US" w:eastAsia="zh-CN"/>
                    </w:rPr>
                    <w:t>1</w:t>
                  </w:r>
                  <w:r>
                    <w:rPr>
                      <w:rFonts w:hint="default" w:ascii="Times New Roman" w:hAnsi="Times New Roman" w:eastAsia="宋体" w:cs="Times New Roman"/>
                      <w:b/>
                      <w:bCs/>
                      <w:color w:val="000000"/>
                      <w:sz w:val="21"/>
                      <w:szCs w:val="21"/>
                      <w:lang w:val="en-US" w:eastAsia="zh-CN"/>
                    </w:rPr>
                    <w:t>.</w:t>
                  </w:r>
                  <w:r>
                    <w:rPr>
                      <w:rFonts w:hint="eastAsia" w:cs="Times New Roman"/>
                      <w:b/>
                      <w:bCs/>
                      <w:color w:val="000000"/>
                      <w:sz w:val="21"/>
                      <w:szCs w:val="21"/>
                      <w:lang w:val="en-US" w:eastAsia="zh-CN"/>
                    </w:rPr>
                    <w:t>12</w:t>
                  </w:r>
                  <w:r>
                    <w:rPr>
                      <w:rFonts w:hint="default" w:ascii="Times New Roman" w:hAnsi="Times New Roman" w:eastAsia="宋体" w:cs="Times New Roman"/>
                      <w:b/>
                      <w:bCs/>
                      <w:color w:val="000000"/>
                      <w:sz w:val="21"/>
                      <w:szCs w:val="21"/>
                      <w:lang w:val="en-US" w:eastAsia="zh-CN"/>
                    </w:rPr>
                    <w:t>.2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5"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bCs/>
                      <w:color w:val="auto"/>
                      <w:sz w:val="21"/>
                      <w:szCs w:val="21"/>
                    </w:rPr>
                  </w:pPr>
                </w:p>
              </w:tc>
              <w:tc>
                <w:tcPr>
                  <w:tcW w:w="1457"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bCs/>
                      <w:color w:val="auto"/>
                      <w:sz w:val="21"/>
                      <w:szCs w:val="21"/>
                    </w:rPr>
                  </w:pPr>
                </w:p>
              </w:tc>
              <w:tc>
                <w:tcPr>
                  <w:tcW w:w="1333"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rPr>
                    <w:t>昼间</w:t>
                  </w:r>
                </w:p>
              </w:tc>
              <w:tc>
                <w:tcPr>
                  <w:tcW w:w="1333"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lang w:eastAsia="zh-CN"/>
                    </w:rPr>
                    <w:t>夜</w:t>
                  </w:r>
                  <w:r>
                    <w:rPr>
                      <w:rFonts w:hint="default" w:ascii="Times New Roman" w:hAnsi="Times New Roman" w:eastAsia="宋体" w:cs="Times New Roman"/>
                      <w:b/>
                      <w:bCs/>
                      <w:color w:val="000000"/>
                      <w:sz w:val="21"/>
                      <w:szCs w:val="21"/>
                    </w:rPr>
                    <w:t>间</w:t>
                  </w:r>
                </w:p>
              </w:tc>
              <w:tc>
                <w:tcPr>
                  <w:tcW w:w="1333"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rPr>
                    <w:t>昼间</w:t>
                  </w:r>
                </w:p>
              </w:tc>
              <w:tc>
                <w:tcPr>
                  <w:tcW w:w="1417"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lang w:eastAsia="zh-CN"/>
                    </w:rPr>
                    <w:t>夜</w:t>
                  </w:r>
                  <w:r>
                    <w:rPr>
                      <w:rFonts w:hint="default" w:ascii="Times New Roman" w:hAnsi="Times New Roman" w:eastAsia="宋体" w:cs="Times New Roman"/>
                      <w:b/>
                      <w:bCs/>
                      <w:color w:val="000000"/>
                      <w:sz w:val="21"/>
                      <w:szCs w:val="21"/>
                    </w:rPr>
                    <w:t>间</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5"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rPr>
                  </w:pPr>
                  <w:r>
                    <w:rPr>
                      <w:rFonts w:hint="default" w:ascii="Times New Roman" w:hAnsi="Times New Roman" w:eastAsia="宋体" w:cs="Times New Roman"/>
                      <w:b w:val="0"/>
                      <w:bCs/>
                      <w:color w:val="000000"/>
                      <w:sz w:val="21"/>
                      <w:szCs w:val="21"/>
                    </w:rPr>
                    <w:t>N1</w:t>
                  </w:r>
                </w:p>
              </w:tc>
              <w:tc>
                <w:tcPr>
                  <w:tcW w:w="1457"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eastAsia" w:ascii="Times New Roman" w:hAnsi="Times New Roman" w:eastAsia="宋体" w:cs="Times New Roman"/>
                      <w:b w:val="0"/>
                      <w:bCs/>
                      <w:color w:val="000000"/>
                      <w:sz w:val="21"/>
                      <w:szCs w:val="21"/>
                      <w:lang w:eastAsia="zh-CN"/>
                    </w:rPr>
                  </w:pPr>
                  <w:r>
                    <w:rPr>
                      <w:rFonts w:hint="default" w:ascii="Times New Roman" w:hAnsi="Times New Roman" w:eastAsia="宋体" w:cs="Times New Roman"/>
                      <w:b w:val="0"/>
                      <w:bCs/>
                      <w:color w:val="000000"/>
                      <w:sz w:val="21"/>
                      <w:szCs w:val="21"/>
                    </w:rPr>
                    <w:t>厂界东</w:t>
                  </w:r>
                  <w:r>
                    <w:rPr>
                      <w:rFonts w:hint="eastAsia" w:cs="Times New Roman"/>
                      <w:b w:val="0"/>
                      <w:bCs/>
                      <w:color w:val="000000"/>
                      <w:sz w:val="21"/>
                      <w:szCs w:val="21"/>
                      <w:lang w:val="en-US" w:eastAsia="zh-CN"/>
                    </w:rPr>
                    <w:t>侧</w:t>
                  </w:r>
                </w:p>
              </w:tc>
              <w:tc>
                <w:tcPr>
                  <w:tcW w:w="1333"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eastAsia="zh-CN"/>
                    </w:rPr>
                  </w:pPr>
                  <w:r>
                    <w:rPr>
                      <w:rFonts w:hint="eastAsia" w:cs="Times New Roman"/>
                      <w:b w:val="0"/>
                      <w:bCs/>
                      <w:color w:val="000000"/>
                      <w:sz w:val="21"/>
                      <w:szCs w:val="21"/>
                      <w:lang w:val="en-US" w:eastAsia="zh-CN"/>
                    </w:rPr>
                    <w:t>55.2</w:t>
                  </w:r>
                </w:p>
              </w:tc>
              <w:tc>
                <w:tcPr>
                  <w:tcW w:w="1333"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eastAsia="zh-CN"/>
                    </w:rPr>
                  </w:pPr>
                  <w:r>
                    <w:rPr>
                      <w:rFonts w:hint="eastAsia" w:cs="Times New Roman"/>
                      <w:b w:val="0"/>
                      <w:bCs/>
                      <w:color w:val="000000"/>
                      <w:sz w:val="21"/>
                      <w:szCs w:val="21"/>
                      <w:lang w:val="en-US" w:eastAsia="zh-CN"/>
                    </w:rPr>
                    <w:t>44.8</w:t>
                  </w:r>
                </w:p>
              </w:tc>
              <w:tc>
                <w:tcPr>
                  <w:tcW w:w="1333"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eastAsia="zh-CN"/>
                    </w:rPr>
                  </w:pPr>
                  <w:r>
                    <w:rPr>
                      <w:rFonts w:hint="eastAsia" w:cs="Times New Roman"/>
                      <w:b w:val="0"/>
                      <w:bCs/>
                      <w:color w:val="000000"/>
                      <w:sz w:val="21"/>
                      <w:szCs w:val="21"/>
                      <w:lang w:val="en-US" w:eastAsia="zh-CN"/>
                    </w:rPr>
                    <w:t>55.1</w:t>
                  </w:r>
                </w:p>
              </w:tc>
              <w:tc>
                <w:tcPr>
                  <w:tcW w:w="1417"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eastAsia="zh-CN"/>
                    </w:rPr>
                  </w:pPr>
                  <w:r>
                    <w:rPr>
                      <w:rFonts w:hint="eastAsia" w:cs="Times New Roman"/>
                      <w:b w:val="0"/>
                      <w:bCs/>
                      <w:color w:val="000000"/>
                      <w:sz w:val="21"/>
                      <w:szCs w:val="21"/>
                      <w:lang w:val="en-US" w:eastAsia="zh-CN"/>
                    </w:rPr>
                    <w:t>44.9</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5"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eastAsia="zh-CN"/>
                    </w:rPr>
                  </w:pPr>
                  <w:r>
                    <w:rPr>
                      <w:rFonts w:hint="default" w:ascii="Times New Roman" w:hAnsi="Times New Roman" w:eastAsia="宋体" w:cs="Times New Roman"/>
                      <w:b w:val="0"/>
                      <w:bCs/>
                      <w:color w:val="000000"/>
                      <w:sz w:val="21"/>
                      <w:szCs w:val="21"/>
                      <w:lang w:val="en-US" w:eastAsia="zh-CN"/>
                    </w:rPr>
                    <w:t>N2</w:t>
                  </w:r>
                </w:p>
              </w:tc>
              <w:tc>
                <w:tcPr>
                  <w:tcW w:w="1457"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eastAsia" w:ascii="Times New Roman" w:hAnsi="Times New Roman" w:eastAsia="宋体" w:cs="Times New Roman"/>
                      <w:b w:val="0"/>
                      <w:bCs/>
                      <w:color w:val="000000"/>
                      <w:sz w:val="21"/>
                      <w:szCs w:val="21"/>
                      <w:lang w:eastAsia="zh-CN"/>
                    </w:rPr>
                  </w:pPr>
                  <w:r>
                    <w:rPr>
                      <w:rFonts w:hint="default" w:ascii="Times New Roman" w:hAnsi="Times New Roman" w:eastAsia="宋体" w:cs="Times New Roman"/>
                      <w:b w:val="0"/>
                      <w:bCs/>
                      <w:color w:val="000000"/>
                      <w:sz w:val="21"/>
                      <w:szCs w:val="21"/>
                    </w:rPr>
                    <w:t>厂界</w:t>
                  </w:r>
                  <w:r>
                    <w:rPr>
                      <w:rFonts w:hint="eastAsia" w:cs="Times New Roman"/>
                      <w:b w:val="0"/>
                      <w:bCs/>
                      <w:color w:val="000000"/>
                      <w:sz w:val="21"/>
                      <w:szCs w:val="21"/>
                      <w:lang w:val="en-US" w:eastAsia="zh-CN"/>
                    </w:rPr>
                    <w:t>南侧</w:t>
                  </w:r>
                </w:p>
              </w:tc>
              <w:tc>
                <w:tcPr>
                  <w:tcW w:w="1333"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eastAsia="zh-CN"/>
                    </w:rPr>
                  </w:pPr>
                  <w:r>
                    <w:rPr>
                      <w:rFonts w:hint="eastAsia" w:cs="Times New Roman"/>
                      <w:b w:val="0"/>
                      <w:bCs/>
                      <w:color w:val="000000"/>
                      <w:sz w:val="21"/>
                      <w:szCs w:val="21"/>
                      <w:lang w:val="en-US" w:eastAsia="zh-CN"/>
                    </w:rPr>
                    <w:t>55.8</w:t>
                  </w:r>
                </w:p>
              </w:tc>
              <w:tc>
                <w:tcPr>
                  <w:tcW w:w="1333"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eastAsia="zh-CN"/>
                    </w:rPr>
                  </w:pPr>
                  <w:r>
                    <w:rPr>
                      <w:rFonts w:hint="eastAsia" w:cs="Times New Roman"/>
                      <w:b w:val="0"/>
                      <w:bCs/>
                      <w:color w:val="000000"/>
                      <w:sz w:val="21"/>
                      <w:szCs w:val="21"/>
                      <w:lang w:val="en-US" w:eastAsia="zh-CN"/>
                    </w:rPr>
                    <w:t>45.1</w:t>
                  </w:r>
                </w:p>
              </w:tc>
              <w:tc>
                <w:tcPr>
                  <w:tcW w:w="1333"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eastAsia="zh-CN"/>
                    </w:rPr>
                  </w:pPr>
                  <w:r>
                    <w:rPr>
                      <w:rFonts w:hint="eastAsia" w:cs="Times New Roman"/>
                      <w:b w:val="0"/>
                      <w:bCs/>
                      <w:color w:val="000000"/>
                      <w:sz w:val="21"/>
                      <w:szCs w:val="21"/>
                      <w:lang w:val="en-US" w:eastAsia="zh-CN"/>
                    </w:rPr>
                    <w:t>55.6</w:t>
                  </w:r>
                </w:p>
              </w:tc>
              <w:tc>
                <w:tcPr>
                  <w:tcW w:w="1417"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eastAsia="zh-CN"/>
                    </w:rPr>
                  </w:pPr>
                  <w:r>
                    <w:rPr>
                      <w:rFonts w:hint="eastAsia" w:cs="Times New Roman"/>
                      <w:b w:val="0"/>
                      <w:bCs/>
                      <w:color w:val="000000"/>
                      <w:sz w:val="21"/>
                      <w:szCs w:val="21"/>
                      <w:lang w:val="en-US" w:eastAsia="zh-CN"/>
                    </w:rPr>
                    <w:t>45.3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5"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eastAsia="zh-CN"/>
                    </w:rPr>
                  </w:pPr>
                  <w:r>
                    <w:rPr>
                      <w:rFonts w:hint="default" w:ascii="Times New Roman" w:hAnsi="Times New Roman" w:eastAsia="宋体" w:cs="Times New Roman"/>
                      <w:b w:val="0"/>
                      <w:bCs/>
                      <w:color w:val="000000"/>
                      <w:sz w:val="21"/>
                      <w:szCs w:val="21"/>
                    </w:rPr>
                    <w:t>N</w:t>
                  </w:r>
                  <w:r>
                    <w:rPr>
                      <w:rFonts w:hint="default" w:ascii="Times New Roman" w:hAnsi="Times New Roman" w:eastAsia="宋体" w:cs="Times New Roman"/>
                      <w:b w:val="0"/>
                      <w:bCs/>
                      <w:color w:val="000000"/>
                      <w:sz w:val="21"/>
                      <w:szCs w:val="21"/>
                      <w:lang w:val="en-US" w:eastAsia="zh-CN"/>
                    </w:rPr>
                    <w:t>3</w:t>
                  </w:r>
                </w:p>
              </w:tc>
              <w:tc>
                <w:tcPr>
                  <w:tcW w:w="1457"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rPr>
                  </w:pPr>
                  <w:r>
                    <w:rPr>
                      <w:rFonts w:hint="default" w:ascii="Times New Roman" w:hAnsi="Times New Roman" w:eastAsia="宋体" w:cs="Times New Roman"/>
                      <w:b w:val="0"/>
                      <w:bCs/>
                      <w:color w:val="000000"/>
                      <w:sz w:val="21"/>
                      <w:szCs w:val="21"/>
                    </w:rPr>
                    <w:t>厂界</w:t>
                  </w:r>
                  <w:r>
                    <w:rPr>
                      <w:rFonts w:hint="eastAsia" w:cs="Times New Roman"/>
                      <w:b w:val="0"/>
                      <w:bCs/>
                      <w:color w:val="000000"/>
                      <w:sz w:val="21"/>
                      <w:szCs w:val="21"/>
                      <w:lang w:val="en-US" w:eastAsia="zh-CN"/>
                    </w:rPr>
                    <w:t>西侧</w:t>
                  </w:r>
                </w:p>
              </w:tc>
              <w:tc>
                <w:tcPr>
                  <w:tcW w:w="1333"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eastAsia="zh-CN"/>
                    </w:rPr>
                  </w:pPr>
                  <w:r>
                    <w:rPr>
                      <w:rFonts w:hint="eastAsia" w:cs="Times New Roman"/>
                      <w:b w:val="0"/>
                      <w:bCs/>
                      <w:color w:val="000000"/>
                      <w:sz w:val="21"/>
                      <w:szCs w:val="21"/>
                      <w:lang w:val="en-US" w:eastAsia="zh-CN"/>
                    </w:rPr>
                    <w:t>55.4</w:t>
                  </w:r>
                </w:p>
              </w:tc>
              <w:tc>
                <w:tcPr>
                  <w:tcW w:w="1333"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eastAsia="zh-CN"/>
                    </w:rPr>
                  </w:pPr>
                  <w:r>
                    <w:rPr>
                      <w:rFonts w:hint="eastAsia" w:cs="Times New Roman"/>
                      <w:b w:val="0"/>
                      <w:bCs/>
                      <w:color w:val="000000"/>
                      <w:sz w:val="21"/>
                      <w:szCs w:val="21"/>
                      <w:lang w:val="en-US" w:eastAsia="zh-CN"/>
                    </w:rPr>
                    <w:t>44.9</w:t>
                  </w:r>
                </w:p>
              </w:tc>
              <w:tc>
                <w:tcPr>
                  <w:tcW w:w="1333"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eastAsia="zh-CN"/>
                    </w:rPr>
                  </w:pPr>
                  <w:r>
                    <w:rPr>
                      <w:rFonts w:hint="eastAsia" w:cs="Times New Roman"/>
                      <w:b w:val="0"/>
                      <w:bCs/>
                      <w:color w:val="000000"/>
                      <w:sz w:val="21"/>
                      <w:szCs w:val="21"/>
                      <w:lang w:val="en-US" w:eastAsia="zh-CN"/>
                    </w:rPr>
                    <w:t>55.0</w:t>
                  </w:r>
                </w:p>
              </w:tc>
              <w:tc>
                <w:tcPr>
                  <w:tcW w:w="1417"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eastAsia="zh-CN"/>
                    </w:rPr>
                  </w:pPr>
                  <w:r>
                    <w:rPr>
                      <w:rFonts w:hint="eastAsia" w:cs="Times New Roman"/>
                      <w:b w:val="0"/>
                      <w:bCs/>
                      <w:color w:val="000000"/>
                      <w:sz w:val="21"/>
                      <w:szCs w:val="21"/>
                      <w:lang w:val="en-US" w:eastAsia="zh-CN"/>
                    </w:rPr>
                    <w:t>45.1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5"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rPr>
                  </w:pPr>
                  <w:r>
                    <w:rPr>
                      <w:rFonts w:hint="default" w:ascii="Times New Roman" w:hAnsi="Times New Roman" w:eastAsia="宋体" w:cs="Times New Roman"/>
                      <w:b w:val="0"/>
                      <w:bCs/>
                      <w:color w:val="000000"/>
                      <w:sz w:val="21"/>
                      <w:szCs w:val="21"/>
                      <w:lang w:val="en-US" w:eastAsia="zh-CN"/>
                    </w:rPr>
                    <w:t>N4</w:t>
                  </w:r>
                </w:p>
              </w:tc>
              <w:tc>
                <w:tcPr>
                  <w:tcW w:w="1457"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rPr>
                  </w:pPr>
                  <w:r>
                    <w:rPr>
                      <w:rFonts w:hint="default" w:ascii="Times New Roman" w:hAnsi="Times New Roman" w:eastAsia="宋体" w:cs="Times New Roman"/>
                      <w:b w:val="0"/>
                      <w:bCs/>
                      <w:color w:val="000000"/>
                      <w:sz w:val="21"/>
                      <w:szCs w:val="21"/>
                    </w:rPr>
                    <w:t>厂界</w:t>
                  </w:r>
                  <w:r>
                    <w:rPr>
                      <w:rFonts w:hint="eastAsia" w:cs="Times New Roman"/>
                      <w:b w:val="0"/>
                      <w:bCs/>
                      <w:color w:val="000000"/>
                      <w:sz w:val="21"/>
                      <w:szCs w:val="21"/>
                      <w:lang w:val="en-US" w:eastAsia="zh-CN"/>
                    </w:rPr>
                    <w:t>北侧</w:t>
                  </w:r>
                </w:p>
              </w:tc>
              <w:tc>
                <w:tcPr>
                  <w:tcW w:w="1333"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eastAsia="zh-CN"/>
                    </w:rPr>
                  </w:pPr>
                  <w:r>
                    <w:rPr>
                      <w:rFonts w:hint="eastAsia" w:cs="Times New Roman"/>
                      <w:b w:val="0"/>
                      <w:bCs/>
                      <w:color w:val="000000"/>
                      <w:sz w:val="21"/>
                      <w:szCs w:val="21"/>
                      <w:lang w:val="en-US" w:eastAsia="zh-CN"/>
                    </w:rPr>
                    <w:t>56.4</w:t>
                  </w:r>
                </w:p>
              </w:tc>
              <w:tc>
                <w:tcPr>
                  <w:tcW w:w="1333"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eastAsia="zh-CN"/>
                    </w:rPr>
                  </w:pPr>
                  <w:r>
                    <w:rPr>
                      <w:rFonts w:hint="eastAsia" w:cs="Times New Roman"/>
                      <w:b w:val="0"/>
                      <w:bCs/>
                      <w:color w:val="000000"/>
                      <w:sz w:val="21"/>
                      <w:szCs w:val="21"/>
                      <w:lang w:val="en-US" w:eastAsia="zh-CN"/>
                    </w:rPr>
                    <w:t>45.5</w:t>
                  </w:r>
                </w:p>
              </w:tc>
              <w:tc>
                <w:tcPr>
                  <w:tcW w:w="1333"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eastAsia="zh-CN"/>
                    </w:rPr>
                  </w:pPr>
                  <w:r>
                    <w:rPr>
                      <w:rFonts w:hint="eastAsia" w:cs="Times New Roman"/>
                      <w:b w:val="0"/>
                      <w:bCs/>
                      <w:color w:val="000000"/>
                      <w:sz w:val="21"/>
                      <w:szCs w:val="21"/>
                      <w:lang w:val="en-US" w:eastAsia="zh-CN"/>
                    </w:rPr>
                    <w:t>56.3</w:t>
                  </w:r>
                </w:p>
              </w:tc>
              <w:tc>
                <w:tcPr>
                  <w:tcW w:w="1417"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eastAsia="zh-CN"/>
                    </w:rPr>
                  </w:pPr>
                  <w:r>
                    <w:rPr>
                      <w:rFonts w:hint="eastAsia" w:cs="Times New Roman"/>
                      <w:b w:val="0"/>
                      <w:bCs/>
                      <w:color w:val="000000"/>
                      <w:sz w:val="21"/>
                      <w:szCs w:val="21"/>
                      <w:lang w:val="en-US" w:eastAsia="zh-CN"/>
                    </w:rPr>
                    <w:t>45.8</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2" w:type="dxa"/>
                  <w:gridSpan w:val="2"/>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bCs w:val="0"/>
                      <w:color w:val="000000"/>
                      <w:sz w:val="21"/>
                      <w:szCs w:val="21"/>
                    </w:rPr>
                  </w:pPr>
                  <w:r>
                    <w:rPr>
                      <w:rFonts w:hint="default" w:ascii="Times New Roman" w:hAnsi="Times New Roman" w:eastAsia="宋体" w:cs="Times New Roman"/>
                      <w:b w:val="0"/>
                      <w:bCs/>
                      <w:color w:val="000000"/>
                      <w:sz w:val="21"/>
                      <w:szCs w:val="21"/>
                    </w:rPr>
                    <w:t>标准限值</w:t>
                  </w:r>
                </w:p>
              </w:tc>
              <w:tc>
                <w:tcPr>
                  <w:tcW w:w="1333"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val="0"/>
                      <w:color w:val="auto"/>
                      <w:sz w:val="21"/>
                      <w:szCs w:val="21"/>
                      <w:lang w:val="en-US" w:eastAsia="zh-CN"/>
                    </w:rPr>
                    <w:t>65</w:t>
                  </w:r>
                </w:p>
              </w:tc>
              <w:tc>
                <w:tcPr>
                  <w:tcW w:w="1333"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val="0"/>
                      <w:color w:val="auto"/>
                      <w:sz w:val="21"/>
                      <w:szCs w:val="21"/>
                      <w:lang w:val="en-US" w:eastAsia="zh-CN"/>
                    </w:rPr>
                    <w:t>55</w:t>
                  </w:r>
                </w:p>
              </w:tc>
              <w:tc>
                <w:tcPr>
                  <w:tcW w:w="1333"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val="0"/>
                      <w:color w:val="auto"/>
                      <w:sz w:val="21"/>
                      <w:szCs w:val="21"/>
                      <w:lang w:val="en-US" w:eastAsia="zh-CN"/>
                    </w:rPr>
                    <w:t>65</w:t>
                  </w:r>
                </w:p>
              </w:tc>
              <w:tc>
                <w:tcPr>
                  <w:tcW w:w="1417"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val="0"/>
                      <w:color w:val="auto"/>
                      <w:sz w:val="21"/>
                      <w:szCs w:val="21"/>
                      <w:lang w:val="en-US" w:eastAsia="zh-CN"/>
                    </w:rPr>
                    <w:t>55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2" w:type="dxa"/>
                  <w:gridSpan w:val="2"/>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eastAsia="zh-CN"/>
                    </w:rPr>
                  </w:pPr>
                  <w:r>
                    <w:rPr>
                      <w:rFonts w:hint="default" w:ascii="Times New Roman" w:hAnsi="Times New Roman" w:eastAsia="宋体" w:cs="Times New Roman"/>
                      <w:b w:val="0"/>
                      <w:bCs/>
                      <w:color w:val="000000"/>
                      <w:sz w:val="21"/>
                      <w:szCs w:val="21"/>
                      <w:lang w:val="en-US" w:eastAsia="zh-CN"/>
                    </w:rPr>
                    <w:t>执行标准</w:t>
                  </w:r>
                </w:p>
              </w:tc>
              <w:tc>
                <w:tcPr>
                  <w:tcW w:w="5416" w:type="dxa"/>
                  <w:gridSpan w:val="4"/>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both"/>
                    <w:textAlignment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i w:val="0"/>
                      <w:color w:val="auto"/>
                      <w:kern w:val="0"/>
                      <w:sz w:val="21"/>
                      <w:szCs w:val="21"/>
                      <w:u w:val="none"/>
                      <w:lang w:val="en-US" w:eastAsia="zh-CN" w:bidi="ar"/>
                    </w:rPr>
                    <w:t>《工业企业厂界环境噪声排放标准》（GB12348-2008） 表1中3类。</w:t>
                  </w:r>
                </w:p>
              </w:tc>
            </w:tr>
          </w:tbl>
          <w:p>
            <w:pPr>
              <w:rPr>
                <w:rFonts w:hint="eastAsia"/>
              </w:rPr>
            </w:pPr>
          </w:p>
          <w:p>
            <w:pPr>
              <w:autoSpaceDE w:val="0"/>
              <w:spacing w:line="360" w:lineRule="auto"/>
              <w:ind w:firstLine="480"/>
              <w:rPr>
                <w:rFonts w:hint="eastAsia"/>
                <w:bCs/>
                <w:color w:val="000000"/>
                <w:sz w:val="24"/>
                <w:lang w:eastAsia="zh-CN"/>
              </w:rPr>
            </w:pPr>
            <w:r>
              <w:rPr>
                <w:rFonts w:hint="eastAsia"/>
                <w:bCs/>
                <w:color w:val="000000"/>
                <w:sz w:val="24"/>
                <w:lang w:val="en-US" w:eastAsia="zh-CN"/>
              </w:rPr>
              <w:t xml:space="preserve">（4）固废 </w:t>
            </w:r>
          </w:p>
          <w:p>
            <w:pPr>
              <w:autoSpaceDE w:val="0"/>
              <w:spacing w:line="360" w:lineRule="auto"/>
              <w:ind w:firstLine="480"/>
              <w:rPr>
                <w:rFonts w:hint="default"/>
                <w:bCs/>
                <w:color w:val="000000"/>
                <w:sz w:val="24"/>
                <w:lang w:val="en-US" w:eastAsia="zh-CN"/>
              </w:rPr>
            </w:pPr>
            <w:r>
              <w:rPr>
                <w:rFonts w:hint="default"/>
                <w:bCs/>
                <w:color w:val="000000"/>
                <w:sz w:val="24"/>
                <w:lang w:val="en-US" w:eastAsia="zh-CN"/>
              </w:rPr>
              <w:t>固体废弃物主要是产生的碎石杂质、沉渣</w:t>
            </w:r>
            <w:r>
              <w:rPr>
                <w:rFonts w:hint="eastAsia"/>
                <w:bCs/>
                <w:color w:val="000000"/>
                <w:sz w:val="24"/>
                <w:lang w:val="en-US" w:eastAsia="zh-CN"/>
              </w:rPr>
              <w:t>、</w:t>
            </w:r>
            <w:r>
              <w:rPr>
                <w:rFonts w:hint="default"/>
                <w:bCs/>
                <w:color w:val="000000"/>
                <w:sz w:val="24"/>
                <w:lang w:val="en-US" w:eastAsia="zh-CN"/>
              </w:rPr>
              <w:t>生活垃圾。</w:t>
            </w:r>
          </w:p>
          <w:p>
            <w:pPr>
              <w:autoSpaceDE w:val="0"/>
              <w:spacing w:line="360" w:lineRule="auto"/>
              <w:ind w:firstLine="480"/>
              <w:rPr>
                <w:rFonts w:hint="default"/>
                <w:bCs/>
                <w:color w:val="000000"/>
                <w:sz w:val="24"/>
                <w:lang w:val="en-US" w:eastAsia="zh-CN"/>
              </w:rPr>
            </w:pPr>
            <w:r>
              <w:rPr>
                <w:rFonts w:hint="default"/>
                <w:bCs/>
                <w:color w:val="000000"/>
                <w:sz w:val="24"/>
                <w:lang w:val="en-US" w:eastAsia="zh-CN"/>
              </w:rPr>
              <w:t>碎石杂质：属于一般固废，产生量为2870t/a，收集后外售。</w:t>
            </w:r>
          </w:p>
          <w:p>
            <w:pPr>
              <w:autoSpaceDE w:val="0"/>
              <w:spacing w:line="360" w:lineRule="auto"/>
              <w:ind w:firstLine="480"/>
              <w:rPr>
                <w:rFonts w:hint="default"/>
                <w:bCs/>
                <w:color w:val="000000"/>
                <w:sz w:val="24"/>
                <w:lang w:val="en-US" w:eastAsia="zh-CN"/>
              </w:rPr>
            </w:pPr>
            <w:r>
              <w:rPr>
                <w:rFonts w:hint="default"/>
                <w:bCs/>
                <w:color w:val="000000"/>
                <w:sz w:val="24"/>
                <w:lang w:val="en-US" w:eastAsia="zh-CN"/>
              </w:rPr>
              <w:t>沉渣：属于一般固废，产生量为9878t/a，收集后外售。</w:t>
            </w:r>
          </w:p>
          <w:p>
            <w:pPr>
              <w:autoSpaceDE w:val="0"/>
              <w:spacing w:line="360" w:lineRule="auto"/>
              <w:ind w:firstLine="480"/>
              <w:rPr>
                <w:rFonts w:hint="eastAsia"/>
                <w:bCs/>
                <w:color w:val="000000"/>
                <w:sz w:val="24"/>
                <w:lang w:val="en-US" w:eastAsia="zh-CN"/>
              </w:rPr>
            </w:pPr>
            <w:r>
              <w:rPr>
                <w:rFonts w:hint="default"/>
                <w:bCs/>
                <w:color w:val="000000"/>
                <w:sz w:val="24"/>
                <w:lang w:val="en-US" w:eastAsia="zh-CN"/>
              </w:rPr>
              <w:t>生活垃圾：属于一般固废，产生量为2t/a，委托环卫部门统一清运。</w:t>
            </w:r>
          </w:p>
          <w:p>
            <w:pPr>
              <w:autoSpaceDE w:val="0"/>
              <w:spacing w:line="360" w:lineRule="auto"/>
              <w:ind w:firstLine="482"/>
              <w:outlineLvl w:val="2"/>
            </w:pPr>
            <w:r>
              <w:rPr>
                <w:rFonts w:hint="eastAsia"/>
                <w:b/>
                <w:bCs/>
                <w:color w:val="000000"/>
                <w:sz w:val="24"/>
                <w:lang w:val="en-US" w:eastAsia="zh-CN"/>
              </w:rPr>
              <w:t>4</w:t>
            </w:r>
            <w:r>
              <w:rPr>
                <w:rFonts w:hint="eastAsia" w:ascii="宋体" w:hAnsi="宋体" w:eastAsia="宋体" w:cs="宋体"/>
                <w:b/>
                <w:bCs/>
                <w:color w:val="000000"/>
                <w:kern w:val="0"/>
                <w:sz w:val="24"/>
                <w:szCs w:val="24"/>
                <w:lang w:val="en-US" w:eastAsia="zh-CN" w:bidi="ar"/>
              </w:rPr>
              <w:t xml:space="preserve">、现有项目存在的主要环境问题及整改措施 </w:t>
            </w:r>
          </w:p>
          <w:p>
            <w:pPr>
              <w:autoSpaceDE w:val="0"/>
              <w:spacing w:line="360" w:lineRule="auto"/>
              <w:ind w:firstLine="480"/>
              <w:rPr>
                <w:rFonts w:hint="default"/>
                <w:bCs/>
                <w:color w:val="000000"/>
                <w:sz w:val="24"/>
                <w:lang w:val="en-US" w:eastAsia="zh-CN"/>
              </w:rPr>
            </w:pPr>
            <w:r>
              <w:rPr>
                <w:rFonts w:hint="eastAsia"/>
                <w:bCs/>
                <w:color w:val="000000"/>
                <w:sz w:val="24"/>
                <w:lang w:val="en-US" w:eastAsia="zh-CN"/>
              </w:rPr>
              <w:t>经过现场勘查及三同时验收监测结果，现有项目污染防治措施建成运行，废气、废水及噪声都实现达标排放要求。</w:t>
            </w:r>
          </w:p>
          <w:p>
            <w:pPr>
              <w:adjustRightInd w:val="0"/>
              <w:snapToGrid w:val="0"/>
              <w:spacing w:line="360" w:lineRule="auto"/>
              <w:ind w:firstLine="480" w:firstLineChars="200"/>
              <w:rPr>
                <w:bCs/>
                <w:sz w:val="24"/>
              </w:rPr>
            </w:pPr>
          </w:p>
          <w:p>
            <w:pPr>
              <w:adjustRightInd w:val="0"/>
              <w:snapToGrid w:val="0"/>
              <w:spacing w:line="360" w:lineRule="auto"/>
              <w:ind w:firstLine="480" w:firstLineChars="200"/>
              <w:rPr>
                <w:bCs/>
                <w:sz w:val="24"/>
              </w:rPr>
            </w:pPr>
          </w:p>
          <w:p>
            <w:pPr>
              <w:adjustRightInd w:val="0"/>
              <w:snapToGrid w:val="0"/>
              <w:spacing w:line="360" w:lineRule="auto"/>
              <w:ind w:firstLine="480" w:firstLineChars="200"/>
              <w:rPr>
                <w:bCs/>
                <w:sz w:val="24"/>
              </w:rPr>
            </w:pPr>
          </w:p>
          <w:p>
            <w:pPr>
              <w:adjustRightInd w:val="0"/>
              <w:snapToGrid w:val="0"/>
              <w:spacing w:line="360" w:lineRule="auto"/>
              <w:ind w:firstLine="480" w:firstLineChars="200"/>
              <w:rPr>
                <w:bCs/>
                <w:sz w:val="24"/>
              </w:rPr>
            </w:pPr>
          </w:p>
          <w:p>
            <w:pPr>
              <w:adjustRightInd w:val="0"/>
              <w:snapToGrid w:val="0"/>
              <w:spacing w:line="360" w:lineRule="auto"/>
              <w:ind w:firstLine="480" w:firstLineChars="200"/>
              <w:rPr>
                <w:bCs/>
                <w:sz w:val="24"/>
              </w:rPr>
            </w:pPr>
          </w:p>
          <w:p>
            <w:pPr>
              <w:adjustRightInd w:val="0"/>
              <w:snapToGrid w:val="0"/>
              <w:spacing w:line="360" w:lineRule="auto"/>
              <w:ind w:firstLine="480" w:firstLineChars="200"/>
              <w:rPr>
                <w:bCs/>
                <w:sz w:val="24"/>
              </w:rPr>
            </w:pPr>
          </w:p>
          <w:p>
            <w:pPr>
              <w:adjustRightInd w:val="0"/>
              <w:snapToGrid w:val="0"/>
              <w:spacing w:line="360" w:lineRule="auto"/>
              <w:rPr>
                <w:bCs/>
                <w:sz w:val="24"/>
              </w:rPr>
            </w:pPr>
          </w:p>
        </w:tc>
      </w:tr>
    </w:tbl>
    <w:p>
      <w:pPr>
        <w:pStyle w:val="24"/>
        <w:jc w:val="center"/>
        <w:rPr>
          <w:rFonts w:ascii="Times New Roman" w:hAnsi="Times New Roman"/>
          <w:snapToGrid w:val="0"/>
          <w:sz w:val="36"/>
          <w:szCs w:val="36"/>
        </w:rPr>
        <w:sectPr>
          <w:pgSz w:w="11906" w:h="16838"/>
          <w:pgMar w:top="1701" w:right="1531" w:bottom="1701" w:left="1531" w:header="851" w:footer="851" w:gutter="0"/>
          <w:cols w:space="720" w:num="1"/>
          <w:docGrid w:linePitch="312" w:charSpace="0"/>
        </w:sectPr>
      </w:pPr>
    </w:p>
    <w:p>
      <w:pPr>
        <w:pStyle w:val="24"/>
        <w:jc w:val="center"/>
        <w:outlineLvl w:val="0"/>
        <w:rPr>
          <w:rFonts w:ascii="Times New Roman" w:hAnsi="Times New Roman"/>
          <w:snapToGrid w:val="0"/>
          <w:sz w:val="30"/>
          <w:szCs w:val="30"/>
        </w:rPr>
      </w:pPr>
      <w:r>
        <w:rPr>
          <w:rFonts w:hint="eastAsia" w:ascii="Times New Roman" w:hAnsi="Times New Roman"/>
          <w:snapToGrid w:val="0"/>
          <w:sz w:val="30"/>
          <w:szCs w:val="30"/>
        </w:rPr>
        <w:t>三、区域环境质量现状、环境保护目标及评价标准</w:t>
      </w:r>
    </w:p>
    <w:tbl>
      <w:tblPr>
        <w:tblStyle w:val="26"/>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92"/>
        <w:gridCol w:w="806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69" w:hRule="atLeast"/>
          <w:jc w:val="center"/>
        </w:trPr>
        <w:tc>
          <w:tcPr>
            <w:tcW w:w="992" w:type="dxa"/>
            <w:vAlign w:val="center"/>
          </w:tcPr>
          <w:p>
            <w:pPr>
              <w:adjustRightInd w:val="0"/>
              <w:snapToGrid w:val="0"/>
              <w:jc w:val="center"/>
              <w:rPr>
                <w:rFonts w:cs="宋体"/>
                <w:kern w:val="0"/>
                <w:sz w:val="24"/>
              </w:rPr>
            </w:pPr>
            <w:r>
              <w:rPr>
                <w:rFonts w:hint="eastAsia" w:cs="宋体"/>
                <w:kern w:val="0"/>
                <w:sz w:val="24"/>
              </w:rPr>
              <w:t>区域</w:t>
            </w:r>
          </w:p>
          <w:p>
            <w:pPr>
              <w:adjustRightInd w:val="0"/>
              <w:snapToGrid w:val="0"/>
              <w:jc w:val="center"/>
              <w:rPr>
                <w:rFonts w:cs="宋体"/>
                <w:kern w:val="0"/>
                <w:sz w:val="24"/>
              </w:rPr>
            </w:pPr>
            <w:r>
              <w:rPr>
                <w:rFonts w:hint="eastAsia" w:cs="宋体"/>
                <w:kern w:val="0"/>
                <w:sz w:val="24"/>
              </w:rPr>
              <w:t>环境</w:t>
            </w:r>
          </w:p>
          <w:p>
            <w:pPr>
              <w:adjustRightInd w:val="0"/>
              <w:snapToGrid w:val="0"/>
              <w:jc w:val="center"/>
              <w:rPr>
                <w:rFonts w:cs="宋体"/>
                <w:kern w:val="0"/>
                <w:sz w:val="24"/>
              </w:rPr>
            </w:pPr>
            <w:r>
              <w:rPr>
                <w:rFonts w:hint="eastAsia" w:cs="宋体"/>
                <w:kern w:val="0"/>
                <w:sz w:val="24"/>
              </w:rPr>
              <w:t>质量</w:t>
            </w:r>
          </w:p>
          <w:p>
            <w:pPr>
              <w:adjustRightInd w:val="0"/>
              <w:snapToGrid w:val="0"/>
              <w:jc w:val="center"/>
              <w:rPr>
                <w:rFonts w:cs="宋体"/>
                <w:kern w:val="0"/>
                <w:szCs w:val="21"/>
              </w:rPr>
            </w:pPr>
            <w:r>
              <w:rPr>
                <w:rFonts w:hint="eastAsia" w:cs="宋体"/>
                <w:kern w:val="0"/>
                <w:sz w:val="24"/>
              </w:rPr>
              <w:t>现状</w:t>
            </w:r>
          </w:p>
        </w:tc>
        <w:tc>
          <w:tcPr>
            <w:tcW w:w="8069" w:type="dxa"/>
            <w:vAlign w:val="center"/>
          </w:tcPr>
          <w:p>
            <w:pPr>
              <w:spacing w:line="440" w:lineRule="exact"/>
              <w:rPr>
                <w:b/>
                <w:color w:val="000000"/>
                <w:sz w:val="24"/>
              </w:rPr>
            </w:pPr>
            <w:r>
              <w:rPr>
                <w:rFonts w:hint="eastAsia"/>
                <w:b/>
                <w:color w:val="000000"/>
                <w:sz w:val="24"/>
              </w:rPr>
              <w:t>建设项目所在地区域环境质量现状及主要环境问题（环境空气、地面水、地下水、声环境、生态环境等）：</w:t>
            </w:r>
          </w:p>
          <w:p>
            <w:pPr>
              <w:pStyle w:val="10"/>
              <w:spacing w:line="460" w:lineRule="exact"/>
              <w:ind w:right="122" w:firstLine="361" w:firstLineChars="150"/>
              <w:rPr>
                <w:b/>
                <w:color w:val="000000"/>
                <w:kern w:val="2"/>
                <w:sz w:val="24"/>
                <w:szCs w:val="24"/>
              </w:rPr>
            </w:pPr>
            <w:r>
              <w:rPr>
                <w:b/>
                <w:color w:val="000000"/>
                <w:sz w:val="24"/>
                <w:szCs w:val="24"/>
              </w:rPr>
              <w:t>1、环境空气质量现状</w:t>
            </w:r>
          </w:p>
          <w:p>
            <w:pPr>
              <w:spacing w:line="360" w:lineRule="auto"/>
              <w:ind w:firstLine="482"/>
              <w:rPr>
                <w:sz w:val="24"/>
              </w:rPr>
            </w:pPr>
            <w:r>
              <w:rPr>
                <w:sz w:val="24"/>
              </w:rPr>
              <w:t>本次评价选取2020年作为评价基准年，</w:t>
            </w:r>
            <w:r>
              <w:rPr>
                <w:rFonts w:hint="eastAsia"/>
                <w:sz w:val="24"/>
              </w:rPr>
              <w:t>根据</w:t>
            </w:r>
            <w:r>
              <w:rPr>
                <w:sz w:val="24"/>
              </w:rPr>
              <w:t>芜湖市</w:t>
            </w:r>
            <w:r>
              <w:rPr>
                <w:rFonts w:hint="eastAsia"/>
                <w:sz w:val="24"/>
              </w:rPr>
              <w:t>生态</w:t>
            </w:r>
            <w:r>
              <w:rPr>
                <w:sz w:val="24"/>
              </w:rPr>
              <w:t>环境局网站公示的</w:t>
            </w:r>
            <w:r>
              <w:rPr>
                <w:rFonts w:hint="eastAsia"/>
                <w:sz w:val="24"/>
              </w:rPr>
              <w:t>20</w:t>
            </w:r>
            <w:r>
              <w:rPr>
                <w:sz w:val="24"/>
              </w:rPr>
              <w:t>20年</w:t>
            </w:r>
            <w:r>
              <w:rPr>
                <w:rFonts w:hint="eastAsia"/>
                <w:sz w:val="24"/>
              </w:rPr>
              <w:t>芜湖市生态环境状况公报（</w:t>
            </w:r>
            <w:r>
              <w:fldChar w:fldCharType="begin"/>
            </w:r>
            <w:r>
              <w:instrText xml:space="preserve"> HYPERLINK "http://sthjj.wuhu.gov.cn/hbyw/hjzl/hjzlgb/8284951.html）" </w:instrText>
            </w:r>
            <w:r>
              <w:fldChar w:fldCharType="separate"/>
            </w:r>
            <w:r>
              <w:rPr>
                <w:rStyle w:val="61"/>
                <w:sz w:val="24"/>
              </w:rPr>
              <w:t>http://sthjj.wuhu.gov.cn/hbyw/hjzl/hjzlgb/8284951.html</w:t>
            </w:r>
            <w:r>
              <w:rPr>
                <w:rStyle w:val="61"/>
                <w:rFonts w:hint="eastAsia"/>
                <w:sz w:val="24"/>
              </w:rPr>
              <w:t>）</w:t>
            </w:r>
            <w:r>
              <w:rPr>
                <w:rStyle w:val="61"/>
                <w:rFonts w:hint="eastAsia"/>
                <w:sz w:val="24"/>
              </w:rPr>
              <w:fldChar w:fldCharType="end"/>
            </w:r>
            <w:r>
              <w:rPr>
                <w:rFonts w:hint="eastAsia"/>
                <w:sz w:val="24"/>
              </w:rPr>
              <w:t>20</w:t>
            </w:r>
            <w:r>
              <w:rPr>
                <w:sz w:val="24"/>
              </w:rPr>
              <w:t>20</w:t>
            </w:r>
            <w:r>
              <w:rPr>
                <w:rFonts w:hint="eastAsia"/>
                <w:sz w:val="24"/>
              </w:rPr>
              <w:t>年：全年环境空气优良天数为323天，优良率达88.3%，较2019年增加63天，空气质量优良天数比例为88.3%，同比提高16.5%，改善幅度位居全省第二位；轻度污染37天，中度污染5天，重度污染1天，无严重污染天气，重度污染天数比2019年减少1天，比2015年减少6天。</w:t>
            </w:r>
          </w:p>
          <w:p>
            <w:pPr>
              <w:spacing w:line="360" w:lineRule="auto"/>
              <w:ind w:firstLine="480" w:firstLineChars="200"/>
              <w:rPr>
                <w:sz w:val="24"/>
              </w:rPr>
            </w:pPr>
            <w:r>
              <w:rPr>
                <w:rFonts w:hint="eastAsia"/>
                <w:sz w:val="24"/>
              </w:rPr>
              <w:t>20</w:t>
            </w:r>
            <w:r>
              <w:rPr>
                <w:sz w:val="24"/>
              </w:rPr>
              <w:t>20</w:t>
            </w:r>
            <w:r>
              <w:rPr>
                <w:rFonts w:hint="eastAsia"/>
                <w:sz w:val="24"/>
              </w:rPr>
              <w:t>年，三山区设置1座空气质量监测站点。站点采用空气质量自动监测系统监测</w:t>
            </w:r>
            <w:r>
              <w:rPr>
                <w:sz w:val="24"/>
              </w:rPr>
              <w:t>。</w:t>
            </w:r>
            <w:r>
              <w:rPr>
                <w:rFonts w:hint="eastAsia"/>
                <w:sz w:val="24"/>
              </w:rPr>
              <w:t>以下为三山区1座监测站首要污染物浓度一览表</w:t>
            </w:r>
            <w:r>
              <w:rPr>
                <w:sz w:val="24"/>
              </w:rPr>
              <w:t>。</w:t>
            </w:r>
          </w:p>
          <w:p>
            <w:pPr>
              <w:spacing w:before="120" w:beforeLines="50"/>
              <w:jc w:val="center"/>
              <w:rPr>
                <w:b/>
                <w:sz w:val="24"/>
              </w:rPr>
            </w:pPr>
            <w:r>
              <w:rPr>
                <w:b/>
                <w:sz w:val="24"/>
              </w:rPr>
              <w:t>表</w:t>
            </w:r>
            <w:r>
              <w:rPr>
                <w:rFonts w:hint="eastAsia"/>
                <w:b/>
                <w:sz w:val="24"/>
              </w:rPr>
              <w:t>3-1</w:t>
            </w:r>
            <w:r>
              <w:rPr>
                <w:b/>
                <w:sz w:val="24"/>
              </w:rPr>
              <w:t xml:space="preserve">  </w:t>
            </w:r>
            <w:r>
              <w:rPr>
                <w:rFonts w:hint="eastAsia"/>
                <w:b/>
                <w:sz w:val="24"/>
              </w:rPr>
              <w:t>三山区</w:t>
            </w:r>
            <w:r>
              <w:rPr>
                <w:b/>
                <w:sz w:val="24"/>
              </w:rPr>
              <w:t>环境空气</w:t>
            </w:r>
            <w:r>
              <w:rPr>
                <w:rFonts w:hint="eastAsia"/>
                <w:b/>
                <w:sz w:val="24"/>
              </w:rPr>
              <w:t>首要污染物平均浓度值汇总</w:t>
            </w:r>
            <w:r>
              <w:rPr>
                <w:b/>
                <w:sz w:val="24"/>
              </w:rPr>
              <w:t>表</w:t>
            </w:r>
          </w:p>
          <w:tbl>
            <w:tblPr>
              <w:tblStyle w:val="2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15"/>
              <w:gridCol w:w="3072"/>
              <w:gridCol w:w="31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1565" w:type="dxa"/>
                  <w:vMerge w:val="restart"/>
                  <w:tcBorders>
                    <w:top w:val="single" w:color="auto" w:sz="12" w:space="0"/>
                    <w:left w:val="nil"/>
                    <w:bottom w:val="single" w:color="auto" w:sz="4" w:space="0"/>
                    <w:right w:val="single" w:color="auto" w:sz="4" w:space="0"/>
                  </w:tcBorders>
                  <w:vAlign w:val="center"/>
                </w:tcPr>
                <w:p>
                  <w:pPr>
                    <w:jc w:val="right"/>
                    <w:rPr>
                      <w:b/>
                      <w:szCs w:val="21"/>
                    </w:rPr>
                  </w:pPr>
                  <w:r>
                    <w:rPr>
                      <w:rFonts w:hint="eastAsia"/>
                      <w:b/>
                    </w:rPr>
                    <w:t>站点</w:t>
                  </w:r>
                </w:p>
                <w:p>
                  <w:pPr>
                    <w:rPr>
                      <w:b/>
                    </w:rPr>
                  </w:pPr>
                  <w:r>
                    <w:rPr>
                      <w:b/>
                    </w:rPr>
                    <w:t>监测项</w:t>
                  </w:r>
                </w:p>
              </w:tc>
              <w:tc>
                <w:tcPr>
                  <w:tcW w:w="6034" w:type="dxa"/>
                  <w:gridSpan w:val="2"/>
                  <w:tcBorders>
                    <w:top w:val="single" w:color="auto" w:sz="12" w:space="0"/>
                    <w:left w:val="nil"/>
                    <w:bottom w:val="single" w:color="auto" w:sz="4" w:space="0"/>
                    <w:right w:val="nil"/>
                  </w:tcBorders>
                  <w:vAlign w:val="center"/>
                </w:tcPr>
                <w:p>
                  <w:pPr>
                    <w:jc w:val="center"/>
                    <w:rPr>
                      <w:b/>
                    </w:rPr>
                  </w:pPr>
                  <w:r>
                    <w:rPr>
                      <w:rFonts w:hint="eastAsia"/>
                      <w:b/>
                    </w:rPr>
                    <w:t>20</w:t>
                  </w:r>
                  <w:r>
                    <w:rPr>
                      <w:b/>
                    </w:rPr>
                    <w:t>20</w:t>
                  </w:r>
                  <w:r>
                    <w:rPr>
                      <w:rFonts w:hint="eastAsia"/>
                      <w:b/>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1565" w:type="dxa"/>
                  <w:vMerge w:val="continue"/>
                  <w:tcBorders>
                    <w:top w:val="single" w:color="auto" w:sz="12" w:space="0"/>
                    <w:left w:val="nil"/>
                    <w:bottom w:val="single" w:color="auto" w:sz="4" w:space="0"/>
                    <w:right w:val="single" w:color="auto" w:sz="4" w:space="0"/>
                  </w:tcBorders>
                  <w:vAlign w:val="center"/>
                </w:tcPr>
                <w:p>
                  <w:pPr>
                    <w:widowControl/>
                    <w:jc w:val="left"/>
                    <w:rPr>
                      <w:b/>
                      <w:szCs w:val="21"/>
                    </w:rPr>
                  </w:pPr>
                </w:p>
              </w:tc>
              <w:tc>
                <w:tcPr>
                  <w:tcW w:w="2976" w:type="dxa"/>
                  <w:tcBorders>
                    <w:top w:val="single" w:color="auto" w:sz="4" w:space="0"/>
                    <w:left w:val="nil"/>
                    <w:bottom w:val="single" w:color="auto" w:sz="4" w:space="0"/>
                    <w:right w:val="single" w:color="auto" w:sz="4" w:space="0"/>
                  </w:tcBorders>
                  <w:vAlign w:val="center"/>
                </w:tcPr>
                <w:p>
                  <w:pPr>
                    <w:ind w:left="-105" w:leftChars="-50" w:right="-105" w:rightChars="-50"/>
                    <w:jc w:val="center"/>
                    <w:rPr>
                      <w:b/>
                    </w:rPr>
                  </w:pPr>
                  <w:r>
                    <w:rPr>
                      <w:rFonts w:hint="eastAsia"/>
                      <w:b/>
                    </w:rPr>
                    <w:t>扬子学院</w:t>
                  </w:r>
                </w:p>
              </w:tc>
              <w:tc>
                <w:tcPr>
                  <w:tcW w:w="3058" w:type="dxa"/>
                  <w:tcBorders>
                    <w:top w:val="single" w:color="auto" w:sz="4" w:space="0"/>
                    <w:left w:val="nil"/>
                    <w:bottom w:val="single" w:color="auto" w:sz="4" w:space="0"/>
                    <w:right w:val="nil"/>
                  </w:tcBorders>
                  <w:vAlign w:val="center"/>
                </w:tcPr>
                <w:p>
                  <w:pPr>
                    <w:jc w:val="center"/>
                    <w:rPr>
                      <w:b/>
                    </w:rPr>
                  </w:pPr>
                  <w:r>
                    <w:rPr>
                      <w:b/>
                    </w:rPr>
                    <w:t>标准值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565" w:type="dxa"/>
                  <w:tcBorders>
                    <w:top w:val="single" w:color="auto" w:sz="4" w:space="0"/>
                    <w:left w:val="nil"/>
                    <w:bottom w:val="single" w:color="auto" w:sz="4" w:space="0"/>
                    <w:right w:val="single" w:color="auto" w:sz="4" w:space="0"/>
                  </w:tcBorders>
                  <w:vAlign w:val="center"/>
                </w:tcPr>
                <w:p>
                  <w:pPr>
                    <w:jc w:val="center"/>
                  </w:pPr>
                  <w:r>
                    <w:rPr>
                      <w:rFonts w:hint="eastAsia"/>
                    </w:rPr>
                    <w:t>S</w:t>
                  </w:r>
                  <w:r>
                    <w:t>O</w:t>
                  </w:r>
                  <w:r>
                    <w:rPr>
                      <w:vertAlign w:val="subscript"/>
                    </w:rPr>
                    <w:t>2</w:t>
                  </w:r>
                  <w:r>
                    <w:t>年平均</w:t>
                  </w:r>
                </w:p>
              </w:tc>
              <w:tc>
                <w:tcPr>
                  <w:tcW w:w="2976" w:type="dxa"/>
                  <w:tcBorders>
                    <w:top w:val="single" w:color="auto" w:sz="4" w:space="0"/>
                    <w:left w:val="nil"/>
                    <w:bottom w:val="single" w:color="auto" w:sz="4" w:space="0"/>
                    <w:right w:val="single" w:color="auto" w:sz="4" w:space="0"/>
                  </w:tcBorders>
                  <w:vAlign w:val="center"/>
                </w:tcPr>
                <w:p>
                  <w:pPr>
                    <w:jc w:val="center"/>
                  </w:pPr>
                  <w:r>
                    <w:rPr>
                      <w:rFonts w:hint="eastAsia"/>
                    </w:rPr>
                    <w:t>8</w:t>
                  </w:r>
                  <w:r>
                    <w:t>μg/m</w:t>
                  </w:r>
                  <w:r>
                    <w:rPr>
                      <w:vertAlign w:val="superscript"/>
                    </w:rPr>
                    <w:t>3</w:t>
                  </w:r>
                </w:p>
              </w:tc>
              <w:tc>
                <w:tcPr>
                  <w:tcW w:w="3058" w:type="dxa"/>
                  <w:tcBorders>
                    <w:top w:val="single" w:color="auto" w:sz="4" w:space="0"/>
                    <w:left w:val="nil"/>
                    <w:bottom w:val="single" w:color="auto" w:sz="4" w:space="0"/>
                    <w:right w:val="nil"/>
                  </w:tcBorders>
                  <w:vAlign w:val="center"/>
                </w:tcPr>
                <w:p>
                  <w:pPr>
                    <w:jc w:val="center"/>
                  </w:pPr>
                  <w:r>
                    <w:rPr>
                      <w:rFonts w:hint="eastAsia"/>
                    </w:rPr>
                    <w:t>6</w:t>
                  </w:r>
                  <w:r>
                    <w:t>0</w:t>
                  </w:r>
                  <w:r>
                    <w:rPr>
                      <w:rFonts w:hint="eastAsia"/>
                    </w:rPr>
                    <w:t> </w:t>
                  </w:r>
                  <w:r>
                    <w:t>μg/m</w:t>
                  </w:r>
                  <w:r>
                    <w:rPr>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565" w:type="dxa"/>
                  <w:tcBorders>
                    <w:top w:val="single" w:color="auto" w:sz="4" w:space="0"/>
                    <w:left w:val="nil"/>
                    <w:bottom w:val="single" w:color="auto" w:sz="4" w:space="0"/>
                    <w:right w:val="single" w:color="auto" w:sz="4" w:space="0"/>
                  </w:tcBorders>
                  <w:vAlign w:val="center"/>
                </w:tcPr>
                <w:p>
                  <w:pPr>
                    <w:jc w:val="center"/>
                  </w:pPr>
                  <w:r>
                    <w:t>NO</w:t>
                  </w:r>
                  <w:r>
                    <w:rPr>
                      <w:vertAlign w:val="subscript"/>
                    </w:rPr>
                    <w:t>2</w:t>
                  </w:r>
                  <w:r>
                    <w:t>年平均</w:t>
                  </w:r>
                </w:p>
              </w:tc>
              <w:tc>
                <w:tcPr>
                  <w:tcW w:w="2976" w:type="dxa"/>
                  <w:tcBorders>
                    <w:top w:val="single" w:color="auto" w:sz="4" w:space="0"/>
                    <w:left w:val="nil"/>
                    <w:bottom w:val="single" w:color="auto" w:sz="4" w:space="0"/>
                    <w:right w:val="single" w:color="auto" w:sz="4" w:space="0"/>
                  </w:tcBorders>
                  <w:vAlign w:val="center"/>
                </w:tcPr>
                <w:p>
                  <w:pPr>
                    <w:jc w:val="center"/>
                  </w:pPr>
                  <w:r>
                    <w:rPr>
                      <w:rFonts w:hint="eastAsia"/>
                    </w:rPr>
                    <w:t>2</w:t>
                  </w:r>
                  <w:r>
                    <w:t>7μg/m</w:t>
                  </w:r>
                  <w:r>
                    <w:rPr>
                      <w:vertAlign w:val="superscript"/>
                    </w:rPr>
                    <w:t>3</w:t>
                  </w:r>
                </w:p>
              </w:tc>
              <w:tc>
                <w:tcPr>
                  <w:tcW w:w="3058" w:type="dxa"/>
                  <w:tcBorders>
                    <w:top w:val="single" w:color="auto" w:sz="4" w:space="0"/>
                    <w:left w:val="nil"/>
                    <w:bottom w:val="single" w:color="auto" w:sz="4" w:space="0"/>
                    <w:right w:val="nil"/>
                  </w:tcBorders>
                  <w:vAlign w:val="center"/>
                </w:tcPr>
                <w:p>
                  <w:pPr>
                    <w:jc w:val="center"/>
                  </w:pPr>
                  <w:r>
                    <w:t>40</w:t>
                  </w:r>
                  <w:r>
                    <w:rPr>
                      <w:rFonts w:hint="eastAsia"/>
                    </w:rPr>
                    <w:t> </w:t>
                  </w:r>
                  <w:r>
                    <w:t>μg/m</w:t>
                  </w:r>
                  <w:r>
                    <w:rPr>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565" w:type="dxa"/>
                  <w:tcBorders>
                    <w:top w:val="single" w:color="auto" w:sz="4" w:space="0"/>
                    <w:left w:val="nil"/>
                    <w:bottom w:val="single" w:color="auto" w:sz="4" w:space="0"/>
                    <w:right w:val="single" w:color="auto" w:sz="4" w:space="0"/>
                  </w:tcBorders>
                  <w:vAlign w:val="center"/>
                </w:tcPr>
                <w:p>
                  <w:pPr>
                    <w:jc w:val="center"/>
                  </w:pPr>
                  <w:r>
                    <w:t>PM</w:t>
                  </w:r>
                  <w:r>
                    <w:rPr>
                      <w:vertAlign w:val="subscript"/>
                    </w:rPr>
                    <w:t>10</w:t>
                  </w:r>
                  <w:r>
                    <w:t>年平均</w:t>
                  </w:r>
                </w:p>
              </w:tc>
              <w:tc>
                <w:tcPr>
                  <w:tcW w:w="2976" w:type="dxa"/>
                  <w:tcBorders>
                    <w:top w:val="single" w:color="auto" w:sz="4" w:space="0"/>
                    <w:left w:val="nil"/>
                    <w:bottom w:val="single" w:color="auto" w:sz="4" w:space="0"/>
                    <w:right w:val="single" w:color="auto" w:sz="4" w:space="0"/>
                  </w:tcBorders>
                  <w:vAlign w:val="center"/>
                </w:tcPr>
                <w:p>
                  <w:pPr>
                    <w:jc w:val="center"/>
                  </w:pPr>
                  <w:r>
                    <w:rPr>
                      <w:rFonts w:hint="eastAsia"/>
                    </w:rPr>
                    <w:t>6</w:t>
                  </w:r>
                  <w:r>
                    <w:t>1μg/m</w:t>
                  </w:r>
                  <w:r>
                    <w:rPr>
                      <w:vertAlign w:val="superscript"/>
                    </w:rPr>
                    <w:t>3</w:t>
                  </w:r>
                </w:p>
              </w:tc>
              <w:tc>
                <w:tcPr>
                  <w:tcW w:w="3058" w:type="dxa"/>
                  <w:tcBorders>
                    <w:top w:val="single" w:color="auto" w:sz="4" w:space="0"/>
                    <w:left w:val="nil"/>
                    <w:bottom w:val="single" w:color="auto" w:sz="4" w:space="0"/>
                    <w:right w:val="nil"/>
                  </w:tcBorders>
                  <w:vAlign w:val="center"/>
                </w:tcPr>
                <w:p>
                  <w:pPr>
                    <w:jc w:val="center"/>
                  </w:pPr>
                  <w:r>
                    <w:t>70</w:t>
                  </w:r>
                  <w:r>
                    <w:rPr>
                      <w:rFonts w:hint="eastAsia"/>
                    </w:rPr>
                    <w:t> </w:t>
                  </w:r>
                  <w:r>
                    <w:t>μg/m</w:t>
                  </w:r>
                  <w:r>
                    <w:rPr>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565" w:type="dxa"/>
                  <w:tcBorders>
                    <w:top w:val="single" w:color="auto" w:sz="4" w:space="0"/>
                    <w:left w:val="nil"/>
                    <w:bottom w:val="single" w:color="auto" w:sz="4" w:space="0"/>
                    <w:right w:val="single" w:color="auto" w:sz="4" w:space="0"/>
                  </w:tcBorders>
                  <w:vAlign w:val="center"/>
                </w:tcPr>
                <w:p>
                  <w:pPr>
                    <w:jc w:val="center"/>
                  </w:pPr>
                  <w:r>
                    <w:t>PM</w:t>
                  </w:r>
                  <w:r>
                    <w:rPr>
                      <w:vertAlign w:val="subscript"/>
                    </w:rPr>
                    <w:t>2.5</w:t>
                  </w:r>
                  <w:r>
                    <w:t>年平均</w:t>
                  </w:r>
                </w:p>
              </w:tc>
              <w:tc>
                <w:tcPr>
                  <w:tcW w:w="2976" w:type="dxa"/>
                  <w:tcBorders>
                    <w:top w:val="single" w:color="auto" w:sz="4" w:space="0"/>
                    <w:left w:val="nil"/>
                    <w:bottom w:val="single" w:color="auto" w:sz="4" w:space="0"/>
                    <w:right w:val="single" w:color="auto" w:sz="4" w:space="0"/>
                  </w:tcBorders>
                  <w:vAlign w:val="center"/>
                </w:tcPr>
                <w:p>
                  <w:pPr>
                    <w:jc w:val="center"/>
                  </w:pPr>
                  <w:r>
                    <w:rPr>
                      <w:rFonts w:hint="eastAsia"/>
                    </w:rPr>
                    <w:t>3</w:t>
                  </w:r>
                  <w:r>
                    <w:t>5μg/m</w:t>
                  </w:r>
                  <w:r>
                    <w:rPr>
                      <w:vertAlign w:val="superscript"/>
                    </w:rPr>
                    <w:t>3</w:t>
                  </w:r>
                </w:p>
              </w:tc>
              <w:tc>
                <w:tcPr>
                  <w:tcW w:w="3058" w:type="dxa"/>
                  <w:tcBorders>
                    <w:top w:val="single" w:color="auto" w:sz="4" w:space="0"/>
                    <w:left w:val="nil"/>
                    <w:bottom w:val="single" w:color="auto" w:sz="4" w:space="0"/>
                    <w:right w:val="nil"/>
                  </w:tcBorders>
                  <w:vAlign w:val="center"/>
                </w:tcPr>
                <w:p>
                  <w:pPr>
                    <w:jc w:val="center"/>
                  </w:pPr>
                  <w:r>
                    <w:t>35</w:t>
                  </w:r>
                  <w:r>
                    <w:rPr>
                      <w:rFonts w:hint="eastAsia"/>
                    </w:rPr>
                    <w:t> </w:t>
                  </w:r>
                  <w:r>
                    <w:t>μg/m</w:t>
                  </w:r>
                  <w:r>
                    <w:rPr>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565" w:type="dxa"/>
                  <w:tcBorders>
                    <w:top w:val="single" w:color="auto" w:sz="4" w:space="0"/>
                    <w:left w:val="nil"/>
                    <w:bottom w:val="single" w:color="auto" w:sz="4" w:space="0"/>
                    <w:right w:val="single" w:color="auto" w:sz="4" w:space="0"/>
                  </w:tcBorders>
                  <w:vAlign w:val="center"/>
                </w:tcPr>
                <w:p>
                  <w:pPr>
                    <w:jc w:val="center"/>
                  </w:pPr>
                  <w:r>
                    <w:rPr>
                      <w:rFonts w:hint="eastAsia"/>
                    </w:rPr>
                    <w:t>C</w:t>
                  </w:r>
                  <w:r>
                    <w:t>O年平均</w:t>
                  </w:r>
                </w:p>
              </w:tc>
              <w:tc>
                <w:tcPr>
                  <w:tcW w:w="2976" w:type="dxa"/>
                  <w:tcBorders>
                    <w:top w:val="single" w:color="auto" w:sz="4" w:space="0"/>
                    <w:left w:val="nil"/>
                    <w:bottom w:val="single" w:color="auto" w:sz="4" w:space="0"/>
                    <w:right w:val="single" w:color="auto" w:sz="4" w:space="0"/>
                  </w:tcBorders>
                  <w:vAlign w:val="center"/>
                </w:tcPr>
                <w:p>
                  <w:pPr>
                    <w:jc w:val="center"/>
                  </w:pPr>
                  <w:r>
                    <w:rPr>
                      <w:rFonts w:hint="eastAsia"/>
                    </w:rPr>
                    <w:t>1.</w:t>
                  </w:r>
                  <w:r>
                    <w:t>2 mg/m</w:t>
                  </w:r>
                  <w:r>
                    <w:rPr>
                      <w:vertAlign w:val="superscript"/>
                    </w:rPr>
                    <w:t>3</w:t>
                  </w:r>
                </w:p>
              </w:tc>
              <w:tc>
                <w:tcPr>
                  <w:tcW w:w="3058" w:type="dxa"/>
                  <w:tcBorders>
                    <w:top w:val="single" w:color="auto" w:sz="4" w:space="0"/>
                    <w:left w:val="nil"/>
                    <w:bottom w:val="single" w:color="auto" w:sz="4" w:space="0"/>
                    <w:right w:val="nil"/>
                  </w:tcBorders>
                  <w:vAlign w:val="center"/>
                </w:tcPr>
                <w:p>
                  <w:pPr>
                    <w:jc w:val="center"/>
                  </w:pPr>
                  <w:r>
                    <w:t>4 mg/m</w:t>
                  </w:r>
                  <w:r>
                    <w:rPr>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1565" w:type="dxa"/>
                  <w:tcBorders>
                    <w:top w:val="single" w:color="auto" w:sz="4" w:space="0"/>
                    <w:left w:val="nil"/>
                    <w:bottom w:val="single" w:color="auto" w:sz="12" w:space="0"/>
                    <w:right w:val="single" w:color="auto" w:sz="4" w:space="0"/>
                  </w:tcBorders>
                  <w:vAlign w:val="center"/>
                </w:tcPr>
                <w:p>
                  <w:pPr>
                    <w:ind w:left="-105" w:leftChars="-50" w:right="-105" w:rightChars="-50"/>
                    <w:jc w:val="center"/>
                  </w:pPr>
                  <w:r>
                    <w:t>O</w:t>
                  </w:r>
                  <w:r>
                    <w:rPr>
                      <w:vertAlign w:val="subscript"/>
                    </w:rPr>
                    <w:t>3</w:t>
                  </w:r>
                  <w:r>
                    <w:t> </w:t>
                  </w:r>
                  <w:r>
                    <w:rPr>
                      <w:rFonts w:hint="eastAsia"/>
                    </w:rPr>
                    <w:t>日最大</w:t>
                  </w:r>
                  <w:r>
                    <w:t>8h平均</w:t>
                  </w:r>
                </w:p>
              </w:tc>
              <w:tc>
                <w:tcPr>
                  <w:tcW w:w="2976" w:type="dxa"/>
                  <w:tcBorders>
                    <w:top w:val="single" w:color="auto" w:sz="4" w:space="0"/>
                    <w:left w:val="nil"/>
                    <w:bottom w:val="single" w:color="auto" w:sz="12" w:space="0"/>
                    <w:right w:val="single" w:color="auto" w:sz="4" w:space="0"/>
                  </w:tcBorders>
                  <w:vAlign w:val="center"/>
                </w:tcPr>
                <w:p>
                  <w:pPr>
                    <w:jc w:val="center"/>
                  </w:pPr>
                  <w:r>
                    <w:t>150μg/m</w:t>
                  </w:r>
                  <w:r>
                    <w:rPr>
                      <w:vertAlign w:val="superscript"/>
                    </w:rPr>
                    <w:t>3</w:t>
                  </w:r>
                </w:p>
              </w:tc>
              <w:tc>
                <w:tcPr>
                  <w:tcW w:w="3058" w:type="dxa"/>
                  <w:tcBorders>
                    <w:top w:val="single" w:color="auto" w:sz="4" w:space="0"/>
                    <w:left w:val="nil"/>
                    <w:bottom w:val="single" w:color="auto" w:sz="12" w:space="0"/>
                    <w:right w:val="nil"/>
                  </w:tcBorders>
                  <w:vAlign w:val="center"/>
                </w:tcPr>
                <w:p>
                  <w:pPr>
                    <w:jc w:val="center"/>
                  </w:pPr>
                  <w:r>
                    <w:rPr>
                      <w:rFonts w:hint="eastAsia"/>
                    </w:rPr>
                    <w:t xml:space="preserve">160 </w:t>
                  </w:r>
                  <w:r>
                    <w:t>μg/m</w:t>
                  </w:r>
                  <w:r>
                    <w:rPr>
                      <w:vertAlign w:val="superscript"/>
                    </w:rPr>
                    <w:t>3</w:t>
                  </w:r>
                </w:p>
              </w:tc>
            </w:tr>
          </w:tbl>
          <w:p>
            <w:pPr>
              <w:spacing w:line="360" w:lineRule="auto"/>
              <w:ind w:firstLine="480" w:firstLineChars="200"/>
              <w:rPr>
                <w:rFonts w:hint="eastAsia"/>
                <w:kern w:val="0"/>
                <w:sz w:val="24"/>
              </w:rPr>
            </w:pPr>
            <w:r>
              <w:rPr>
                <w:sz w:val="24"/>
              </w:rPr>
              <w:t>由上表分析可知：判定项目所在地</w:t>
            </w:r>
            <w:r>
              <w:rPr>
                <w:rFonts w:hint="eastAsia"/>
                <w:sz w:val="24"/>
              </w:rPr>
              <w:t>三山区</w:t>
            </w:r>
            <w:r>
              <w:rPr>
                <w:sz w:val="24"/>
              </w:rPr>
              <w:t>环境空气为</w:t>
            </w:r>
            <w:r>
              <w:rPr>
                <w:rFonts w:hint="eastAsia"/>
                <w:sz w:val="24"/>
              </w:rPr>
              <w:t>“</w:t>
            </w:r>
            <w:r>
              <w:rPr>
                <w:sz w:val="24"/>
              </w:rPr>
              <w:t>达标区</w:t>
            </w:r>
            <w:r>
              <w:rPr>
                <w:rFonts w:hint="eastAsia"/>
                <w:sz w:val="24"/>
              </w:rPr>
              <w:t>”</w:t>
            </w:r>
            <w:r>
              <w:rPr>
                <w:rFonts w:hint="eastAsia"/>
                <w:kern w:val="0"/>
                <w:sz w:val="24"/>
                <w:lang w:eastAsia="zh-CN"/>
              </w:rPr>
              <w:t>，</w:t>
            </w:r>
            <w:r>
              <w:rPr>
                <w:rFonts w:hint="eastAsia"/>
                <w:kern w:val="0"/>
                <w:sz w:val="24"/>
              </w:rPr>
              <w:t xml:space="preserve"> PM2.5 刚好达标，原因可能为：县区受区域扬尘、道路工程施工、工业污染源排放量偏高，以及外源污染传输叠加影响。</w:t>
            </w:r>
          </w:p>
          <w:p>
            <w:pPr>
              <w:spacing w:line="360" w:lineRule="auto"/>
              <w:ind w:firstLine="482" w:firstLineChars="200"/>
              <w:rPr>
                <w:b/>
                <w:bCs/>
                <w:color w:val="000000"/>
                <w:sz w:val="24"/>
              </w:rPr>
            </w:pPr>
            <w:r>
              <w:rPr>
                <w:b/>
                <w:bCs/>
                <w:color w:val="000000"/>
                <w:sz w:val="24"/>
              </w:rPr>
              <w:t>2、地表水环境</w:t>
            </w:r>
          </w:p>
          <w:p>
            <w:pPr>
              <w:spacing w:line="360" w:lineRule="auto"/>
              <w:ind w:firstLine="480" w:firstLineChars="200"/>
              <w:rPr>
                <w:bCs/>
                <w:sz w:val="24"/>
              </w:rPr>
            </w:pPr>
            <w:r>
              <w:rPr>
                <w:bCs/>
                <w:sz w:val="24"/>
              </w:rPr>
              <w:t>本次环评依据芜湖市生态环境局发布的《2020年芜湖市环境状况公报》进行区域达标性判断评价，对项目所在区域水环境质量现状进行分析。</w:t>
            </w:r>
          </w:p>
          <w:p>
            <w:pPr>
              <w:spacing w:line="360" w:lineRule="auto"/>
              <w:ind w:firstLine="480" w:firstLineChars="200"/>
              <w:rPr>
                <w:bCs/>
                <w:sz w:val="24"/>
              </w:rPr>
            </w:pPr>
            <w:r>
              <w:rPr>
                <w:bCs/>
                <w:sz w:val="24"/>
              </w:rPr>
              <w:t>（1）河流</w:t>
            </w:r>
          </w:p>
          <w:p>
            <w:pPr>
              <w:spacing w:line="360" w:lineRule="auto"/>
              <w:ind w:firstLine="480" w:firstLineChars="200"/>
              <w:rPr>
                <w:bCs/>
                <w:sz w:val="24"/>
              </w:rPr>
            </w:pPr>
            <w:r>
              <w:rPr>
                <w:bCs/>
                <w:sz w:val="24"/>
              </w:rPr>
              <w:t>全市列入国家水质考核断面共有6个，长江东西梁山、漳河澛港桥、青山河查湾、青弋江宝塔根、裕溪河裕溪口、黄浒河荻港6个断面水质均值达到《地表水环境质量标准》（GB3838-2002）Ⅱ类标准，其中青弋江宝塔根、裕溪河裕溪口、黄浒河荻港3个国控断面优于国家考核要求。</w:t>
            </w:r>
          </w:p>
          <w:p>
            <w:pPr>
              <w:spacing w:line="360" w:lineRule="auto"/>
              <w:ind w:firstLine="480" w:firstLineChars="200"/>
              <w:rPr>
                <w:bCs/>
                <w:sz w:val="24"/>
              </w:rPr>
            </w:pPr>
            <w:r>
              <w:rPr>
                <w:bCs/>
                <w:sz w:val="24"/>
              </w:rPr>
              <w:t>县级及以上集中式饮用水水源地</w:t>
            </w:r>
          </w:p>
          <w:p>
            <w:pPr>
              <w:spacing w:line="360" w:lineRule="auto"/>
              <w:ind w:firstLine="480" w:firstLineChars="200"/>
              <w:rPr>
                <w:bCs/>
                <w:sz w:val="24"/>
              </w:rPr>
            </w:pPr>
            <w:r>
              <w:rPr>
                <w:bCs/>
                <w:sz w:val="24"/>
              </w:rPr>
              <w:t>全市市级集中式饮用水水源地共2个（二水厂和四水厂），取水口均位于长江，按每月对水源地开展的水质61项指标检测结果评价，每年3月、7月进行的109项全指标分析，水源地总体水质符合国家《地表水环境质量标准》（GB3838-2002）Ⅲ类标准，满足生活饮用水源地水质要求，水质达标率为100%。</w:t>
            </w:r>
          </w:p>
          <w:p>
            <w:pPr>
              <w:spacing w:line="360" w:lineRule="auto"/>
              <w:ind w:firstLine="480" w:firstLineChars="200"/>
              <w:rPr>
                <w:bCs/>
                <w:sz w:val="24"/>
              </w:rPr>
            </w:pPr>
            <w:r>
              <w:rPr>
                <w:bCs/>
                <w:sz w:val="24"/>
              </w:rPr>
              <w:t>全市县级集中式饮用水水源地共4个，取水口位于长江、青弋江和西河，按每季度对水源地开展的水质61项指标检测结果评价，每年6</w:t>
            </w:r>
            <w:r>
              <w:rPr>
                <w:rFonts w:hint="eastAsia"/>
                <w:bCs/>
                <w:sz w:val="24"/>
              </w:rPr>
              <w:t>~</w:t>
            </w:r>
            <w:r>
              <w:rPr>
                <w:bCs/>
                <w:sz w:val="24"/>
              </w:rPr>
              <w:t>7月开展的109项全指标检测结果符合《地表水环境质量标准》（GB3838-2002）Ⅲ类水标准，水质达标率为100%。</w:t>
            </w:r>
          </w:p>
          <w:p>
            <w:pPr>
              <w:spacing w:line="360" w:lineRule="auto"/>
              <w:ind w:firstLine="480" w:firstLineChars="200"/>
              <w:rPr>
                <w:bCs/>
                <w:sz w:val="24"/>
              </w:rPr>
            </w:pPr>
            <w:r>
              <w:rPr>
                <w:bCs/>
                <w:sz w:val="24"/>
              </w:rPr>
              <w:t>监测结果详见</w:t>
            </w:r>
            <w:r>
              <w:rPr>
                <w:rFonts w:hint="eastAsia"/>
                <w:bCs/>
                <w:sz w:val="24"/>
              </w:rPr>
              <w:t>下表</w:t>
            </w:r>
            <w:r>
              <w:rPr>
                <w:bCs/>
                <w:sz w:val="24"/>
              </w:rPr>
              <w:t>：</w:t>
            </w:r>
          </w:p>
          <w:p>
            <w:pPr>
              <w:ind w:firstLine="482" w:firstLineChars="200"/>
              <w:jc w:val="center"/>
              <w:rPr>
                <w:b/>
                <w:bCs/>
                <w:sz w:val="24"/>
              </w:rPr>
            </w:pPr>
            <w:r>
              <w:rPr>
                <w:rFonts w:hint="eastAsia"/>
                <w:b/>
                <w:bCs/>
                <w:sz w:val="24"/>
              </w:rPr>
              <w:t>表</w:t>
            </w:r>
            <w:r>
              <w:rPr>
                <w:b/>
                <w:bCs/>
                <w:sz w:val="24"/>
              </w:rPr>
              <w:t>3-</w:t>
            </w:r>
            <w:r>
              <w:rPr>
                <w:rFonts w:hint="eastAsia"/>
                <w:b/>
                <w:bCs/>
                <w:sz w:val="24"/>
                <w:lang w:val="en-US" w:eastAsia="zh-CN"/>
              </w:rPr>
              <w:t>2</w:t>
            </w:r>
            <w:r>
              <w:rPr>
                <w:b/>
                <w:bCs/>
                <w:sz w:val="24"/>
              </w:rPr>
              <w:t xml:space="preserve">  </w:t>
            </w:r>
            <w:r>
              <w:rPr>
                <w:rFonts w:hint="eastAsia"/>
                <w:b/>
                <w:bCs/>
                <w:sz w:val="24"/>
              </w:rPr>
              <w:t>县市级集中饮用水源地分布及水质达标情况</w:t>
            </w:r>
          </w:p>
          <w:tbl>
            <w:tblPr>
              <w:tblStyle w:val="26"/>
              <w:tblW w:w="4786" w:type="pct"/>
              <w:tblInd w:w="216"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507"/>
              <w:gridCol w:w="756"/>
              <w:gridCol w:w="1246"/>
              <w:gridCol w:w="1918"/>
              <w:gridCol w:w="109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2507" w:type="dxa"/>
                  <w:tcBorders>
                    <w:top w:val="single" w:color="auto" w:sz="12" w:space="0"/>
                    <w:left w:val="nil"/>
                    <w:bottom w:val="single" w:color="auto" w:sz="4" w:space="0"/>
                    <w:right w:val="single" w:color="auto" w:sz="4" w:space="0"/>
                  </w:tcBorders>
                  <w:vAlign w:val="center"/>
                </w:tcPr>
                <w:p>
                  <w:pPr>
                    <w:pStyle w:val="24"/>
                    <w:spacing w:before="0" w:beforeAutospacing="0" w:after="0" w:afterAutospacing="0"/>
                    <w:jc w:val="center"/>
                    <w:rPr>
                      <w:rFonts w:ascii="Times New Roman" w:hAnsi="Times New Roman"/>
                      <w:color w:val="000000"/>
                      <w:sz w:val="21"/>
                      <w:szCs w:val="21"/>
                    </w:rPr>
                  </w:pPr>
                  <w:r>
                    <w:rPr>
                      <w:rFonts w:ascii="Times New Roman" w:hAnsi="Times New Roman"/>
                      <w:b/>
                      <w:color w:val="000000"/>
                      <w:sz w:val="21"/>
                      <w:szCs w:val="21"/>
                    </w:rPr>
                    <w:t>集中式饮用水水源地名称</w:t>
                  </w:r>
                </w:p>
              </w:tc>
              <w:tc>
                <w:tcPr>
                  <w:tcW w:w="756" w:type="dxa"/>
                  <w:tcBorders>
                    <w:top w:val="single" w:color="auto" w:sz="12" w:space="0"/>
                    <w:left w:val="nil"/>
                    <w:bottom w:val="single" w:color="auto" w:sz="4" w:space="0"/>
                    <w:right w:val="single" w:color="auto" w:sz="4" w:space="0"/>
                  </w:tcBorders>
                  <w:vAlign w:val="center"/>
                </w:tcPr>
                <w:p>
                  <w:pPr>
                    <w:pStyle w:val="24"/>
                    <w:spacing w:before="0" w:beforeAutospacing="0" w:after="0" w:afterAutospacing="0"/>
                    <w:jc w:val="center"/>
                    <w:rPr>
                      <w:rFonts w:ascii="Times New Roman" w:hAnsi="Times New Roman"/>
                      <w:color w:val="000000"/>
                      <w:sz w:val="21"/>
                      <w:szCs w:val="21"/>
                    </w:rPr>
                  </w:pPr>
                  <w:r>
                    <w:rPr>
                      <w:rFonts w:ascii="Times New Roman" w:hAnsi="Times New Roman"/>
                      <w:b/>
                      <w:color w:val="000000"/>
                      <w:sz w:val="21"/>
                      <w:szCs w:val="21"/>
                    </w:rPr>
                    <w:t>级别</w:t>
                  </w:r>
                </w:p>
              </w:tc>
              <w:tc>
                <w:tcPr>
                  <w:tcW w:w="1246" w:type="dxa"/>
                  <w:tcBorders>
                    <w:top w:val="single" w:color="auto" w:sz="12" w:space="0"/>
                    <w:left w:val="nil"/>
                    <w:bottom w:val="single" w:color="auto" w:sz="4" w:space="0"/>
                    <w:right w:val="single" w:color="auto" w:sz="4" w:space="0"/>
                  </w:tcBorders>
                  <w:vAlign w:val="center"/>
                </w:tcPr>
                <w:p>
                  <w:pPr>
                    <w:pStyle w:val="24"/>
                    <w:spacing w:before="0" w:beforeAutospacing="0" w:after="0" w:afterAutospacing="0"/>
                    <w:jc w:val="center"/>
                    <w:rPr>
                      <w:rFonts w:ascii="Times New Roman" w:hAnsi="Times New Roman"/>
                      <w:color w:val="000000"/>
                      <w:sz w:val="21"/>
                      <w:szCs w:val="21"/>
                    </w:rPr>
                  </w:pPr>
                  <w:r>
                    <w:rPr>
                      <w:rFonts w:ascii="Times New Roman" w:hAnsi="Times New Roman"/>
                      <w:b/>
                      <w:color w:val="000000"/>
                      <w:sz w:val="21"/>
                      <w:szCs w:val="21"/>
                    </w:rPr>
                    <w:t>监测频次</w:t>
                  </w:r>
                </w:p>
              </w:tc>
              <w:tc>
                <w:tcPr>
                  <w:tcW w:w="1918" w:type="dxa"/>
                  <w:tcBorders>
                    <w:top w:val="single" w:color="auto" w:sz="12" w:space="0"/>
                    <w:left w:val="nil"/>
                    <w:bottom w:val="single" w:color="auto" w:sz="4" w:space="0"/>
                    <w:right w:val="single" w:color="auto" w:sz="4" w:space="0"/>
                  </w:tcBorders>
                  <w:vAlign w:val="center"/>
                </w:tcPr>
                <w:p>
                  <w:pPr>
                    <w:pStyle w:val="24"/>
                    <w:spacing w:before="0" w:beforeAutospacing="0" w:after="0" w:afterAutospacing="0"/>
                    <w:jc w:val="center"/>
                    <w:rPr>
                      <w:rFonts w:ascii="Times New Roman" w:hAnsi="Times New Roman"/>
                      <w:color w:val="000000"/>
                      <w:sz w:val="21"/>
                      <w:szCs w:val="21"/>
                    </w:rPr>
                  </w:pPr>
                  <w:r>
                    <w:rPr>
                      <w:rFonts w:ascii="Times New Roman" w:hAnsi="Times New Roman"/>
                      <w:b/>
                      <w:color w:val="000000"/>
                      <w:sz w:val="21"/>
                      <w:szCs w:val="21"/>
                    </w:rPr>
                    <w:t>检测项目（109项或者28项）</w:t>
                  </w:r>
                </w:p>
              </w:tc>
              <w:tc>
                <w:tcPr>
                  <w:tcW w:w="1090" w:type="dxa"/>
                  <w:tcBorders>
                    <w:top w:val="single" w:color="auto" w:sz="12" w:space="0"/>
                    <w:left w:val="nil"/>
                    <w:bottom w:val="single" w:color="auto" w:sz="4" w:space="0"/>
                    <w:right w:val="nil"/>
                  </w:tcBorders>
                  <w:vAlign w:val="center"/>
                </w:tcPr>
                <w:p>
                  <w:pPr>
                    <w:pStyle w:val="24"/>
                    <w:spacing w:before="0" w:beforeAutospacing="0" w:after="0" w:afterAutospacing="0"/>
                    <w:jc w:val="center"/>
                    <w:rPr>
                      <w:rFonts w:ascii="Times New Roman" w:hAnsi="Times New Roman"/>
                      <w:color w:val="000000"/>
                      <w:sz w:val="21"/>
                      <w:szCs w:val="21"/>
                    </w:rPr>
                  </w:pPr>
                  <w:r>
                    <w:rPr>
                      <w:rFonts w:ascii="Times New Roman" w:hAnsi="Times New Roman"/>
                      <w:b/>
                      <w:color w:val="000000"/>
                      <w:sz w:val="21"/>
                      <w:szCs w:val="21"/>
                    </w:rPr>
                    <w:t>达标率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2507" w:type="dxa"/>
                  <w:tcBorders>
                    <w:top w:val="single" w:color="auto" w:sz="4" w:space="0"/>
                    <w:left w:val="nil"/>
                    <w:bottom w:val="single" w:color="auto" w:sz="4" w:space="0"/>
                    <w:right w:val="single" w:color="auto" w:sz="4" w:space="0"/>
                  </w:tcBorders>
                  <w:vAlign w:val="center"/>
                </w:tcPr>
                <w:p>
                  <w:pPr>
                    <w:pStyle w:val="24"/>
                    <w:spacing w:before="0" w:beforeAutospacing="0" w:after="0" w:afterAutospacing="0"/>
                    <w:jc w:val="center"/>
                    <w:rPr>
                      <w:rFonts w:ascii="Times New Roman" w:hAnsi="Times New Roman"/>
                      <w:color w:val="000000"/>
                      <w:sz w:val="21"/>
                      <w:szCs w:val="21"/>
                    </w:rPr>
                  </w:pPr>
                  <w:r>
                    <w:rPr>
                      <w:rFonts w:ascii="Times New Roman" w:hAnsi="Times New Roman"/>
                      <w:color w:val="000000"/>
                      <w:sz w:val="21"/>
                      <w:szCs w:val="21"/>
                    </w:rPr>
                    <w:t>二水厂取水口</w:t>
                  </w:r>
                </w:p>
              </w:tc>
              <w:tc>
                <w:tcPr>
                  <w:tcW w:w="756" w:type="dxa"/>
                  <w:tcBorders>
                    <w:top w:val="single" w:color="auto" w:sz="4" w:space="0"/>
                    <w:left w:val="nil"/>
                    <w:bottom w:val="single" w:color="auto" w:sz="4" w:space="0"/>
                    <w:right w:val="single" w:color="auto" w:sz="4" w:space="0"/>
                  </w:tcBorders>
                  <w:vAlign w:val="center"/>
                </w:tcPr>
                <w:p>
                  <w:pPr>
                    <w:pStyle w:val="24"/>
                    <w:spacing w:before="0" w:beforeAutospacing="0" w:after="0" w:afterAutospacing="0"/>
                    <w:jc w:val="center"/>
                    <w:rPr>
                      <w:rFonts w:ascii="Times New Roman" w:hAnsi="Times New Roman"/>
                      <w:color w:val="000000"/>
                      <w:sz w:val="21"/>
                      <w:szCs w:val="21"/>
                    </w:rPr>
                  </w:pPr>
                  <w:r>
                    <w:rPr>
                      <w:rFonts w:ascii="Times New Roman" w:hAnsi="Times New Roman"/>
                      <w:color w:val="000000"/>
                      <w:sz w:val="21"/>
                      <w:szCs w:val="21"/>
                    </w:rPr>
                    <w:t>市级</w:t>
                  </w:r>
                </w:p>
              </w:tc>
              <w:tc>
                <w:tcPr>
                  <w:tcW w:w="1246" w:type="dxa"/>
                  <w:tcBorders>
                    <w:top w:val="single" w:color="auto" w:sz="4" w:space="0"/>
                    <w:left w:val="nil"/>
                    <w:bottom w:val="single" w:color="auto" w:sz="4" w:space="0"/>
                    <w:right w:val="single" w:color="auto" w:sz="4" w:space="0"/>
                  </w:tcBorders>
                  <w:vAlign w:val="center"/>
                </w:tcPr>
                <w:p>
                  <w:pPr>
                    <w:pStyle w:val="24"/>
                    <w:spacing w:before="0" w:beforeAutospacing="0" w:after="0" w:afterAutospacing="0"/>
                    <w:jc w:val="center"/>
                    <w:rPr>
                      <w:rFonts w:ascii="Times New Roman" w:hAnsi="Times New Roman"/>
                      <w:color w:val="000000"/>
                      <w:sz w:val="21"/>
                      <w:szCs w:val="21"/>
                    </w:rPr>
                  </w:pPr>
                  <w:r>
                    <w:rPr>
                      <w:rFonts w:ascii="Times New Roman" w:hAnsi="Times New Roman"/>
                      <w:color w:val="000000"/>
                      <w:sz w:val="21"/>
                      <w:szCs w:val="21"/>
                    </w:rPr>
                    <w:t>12次/年</w:t>
                  </w:r>
                </w:p>
              </w:tc>
              <w:tc>
                <w:tcPr>
                  <w:tcW w:w="1918" w:type="dxa"/>
                  <w:tcBorders>
                    <w:top w:val="single" w:color="auto" w:sz="4" w:space="0"/>
                    <w:left w:val="nil"/>
                    <w:bottom w:val="single" w:color="auto" w:sz="4" w:space="0"/>
                    <w:right w:val="single" w:color="auto" w:sz="4" w:space="0"/>
                  </w:tcBorders>
                  <w:vAlign w:val="center"/>
                </w:tcPr>
                <w:p>
                  <w:pPr>
                    <w:pStyle w:val="24"/>
                    <w:spacing w:before="0" w:beforeAutospacing="0" w:after="0" w:afterAutospacing="0"/>
                    <w:jc w:val="center"/>
                    <w:rPr>
                      <w:rFonts w:ascii="Times New Roman" w:hAnsi="Times New Roman"/>
                      <w:color w:val="000000"/>
                      <w:sz w:val="21"/>
                      <w:szCs w:val="21"/>
                    </w:rPr>
                  </w:pPr>
                  <w:r>
                    <w:rPr>
                      <w:rFonts w:ascii="Times New Roman" w:hAnsi="Times New Roman"/>
                      <w:color w:val="000000"/>
                      <w:sz w:val="21"/>
                      <w:szCs w:val="21"/>
                    </w:rPr>
                    <w:t>61项（全分析109项）</w:t>
                  </w:r>
                </w:p>
              </w:tc>
              <w:tc>
                <w:tcPr>
                  <w:tcW w:w="1090" w:type="dxa"/>
                  <w:tcBorders>
                    <w:top w:val="single" w:color="auto" w:sz="4" w:space="0"/>
                    <w:left w:val="nil"/>
                    <w:bottom w:val="single" w:color="auto" w:sz="4" w:space="0"/>
                    <w:right w:val="nil"/>
                  </w:tcBorders>
                  <w:vAlign w:val="center"/>
                </w:tcPr>
                <w:p>
                  <w:pPr>
                    <w:pStyle w:val="24"/>
                    <w:spacing w:before="0" w:beforeAutospacing="0" w:after="0" w:afterAutospacing="0"/>
                    <w:jc w:val="center"/>
                    <w:rPr>
                      <w:rFonts w:ascii="Times New Roman" w:hAnsi="Times New Roman"/>
                      <w:color w:val="000000"/>
                      <w:sz w:val="21"/>
                      <w:szCs w:val="21"/>
                    </w:rPr>
                  </w:pPr>
                  <w:r>
                    <w:rPr>
                      <w:rFonts w:ascii="Times New Roman" w:hAnsi="Times New Roman"/>
                      <w:color w:val="000000"/>
                      <w:sz w:val="21"/>
                      <w:szCs w:val="21"/>
                    </w:rPr>
                    <w:t>100%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2507" w:type="dxa"/>
                  <w:tcBorders>
                    <w:top w:val="single" w:color="auto" w:sz="4" w:space="0"/>
                    <w:left w:val="nil"/>
                    <w:bottom w:val="single" w:color="auto" w:sz="4" w:space="0"/>
                    <w:right w:val="single" w:color="auto" w:sz="4" w:space="0"/>
                  </w:tcBorders>
                  <w:vAlign w:val="center"/>
                </w:tcPr>
                <w:p>
                  <w:pPr>
                    <w:pStyle w:val="24"/>
                    <w:spacing w:before="0" w:beforeAutospacing="0" w:after="0" w:afterAutospacing="0"/>
                    <w:jc w:val="center"/>
                    <w:rPr>
                      <w:rFonts w:ascii="Times New Roman" w:hAnsi="Times New Roman"/>
                      <w:color w:val="000000"/>
                      <w:sz w:val="21"/>
                      <w:szCs w:val="21"/>
                    </w:rPr>
                  </w:pPr>
                  <w:r>
                    <w:rPr>
                      <w:rFonts w:ascii="Times New Roman" w:hAnsi="Times New Roman"/>
                      <w:color w:val="000000"/>
                      <w:sz w:val="21"/>
                      <w:szCs w:val="21"/>
                    </w:rPr>
                    <w:t>四水厂取水口</w:t>
                  </w:r>
                </w:p>
              </w:tc>
              <w:tc>
                <w:tcPr>
                  <w:tcW w:w="756" w:type="dxa"/>
                  <w:tcBorders>
                    <w:top w:val="single" w:color="auto" w:sz="4" w:space="0"/>
                    <w:left w:val="nil"/>
                    <w:bottom w:val="single" w:color="auto" w:sz="4" w:space="0"/>
                    <w:right w:val="single" w:color="auto" w:sz="4" w:space="0"/>
                  </w:tcBorders>
                  <w:vAlign w:val="center"/>
                </w:tcPr>
                <w:p>
                  <w:pPr>
                    <w:pStyle w:val="24"/>
                    <w:spacing w:before="0" w:beforeAutospacing="0" w:after="0" w:afterAutospacing="0"/>
                    <w:jc w:val="center"/>
                    <w:rPr>
                      <w:rFonts w:ascii="Times New Roman" w:hAnsi="Times New Roman"/>
                      <w:color w:val="000000"/>
                      <w:sz w:val="21"/>
                      <w:szCs w:val="21"/>
                    </w:rPr>
                  </w:pPr>
                  <w:r>
                    <w:rPr>
                      <w:rFonts w:ascii="Times New Roman" w:hAnsi="Times New Roman"/>
                      <w:color w:val="000000"/>
                      <w:sz w:val="21"/>
                      <w:szCs w:val="21"/>
                    </w:rPr>
                    <w:t>市级</w:t>
                  </w:r>
                </w:p>
              </w:tc>
              <w:tc>
                <w:tcPr>
                  <w:tcW w:w="1246" w:type="dxa"/>
                  <w:tcBorders>
                    <w:top w:val="single" w:color="auto" w:sz="4" w:space="0"/>
                    <w:left w:val="nil"/>
                    <w:bottom w:val="single" w:color="auto" w:sz="4" w:space="0"/>
                    <w:right w:val="single" w:color="auto" w:sz="4" w:space="0"/>
                  </w:tcBorders>
                  <w:vAlign w:val="center"/>
                </w:tcPr>
                <w:p>
                  <w:pPr>
                    <w:pStyle w:val="24"/>
                    <w:spacing w:before="0" w:beforeAutospacing="0" w:after="0" w:afterAutospacing="0"/>
                    <w:jc w:val="center"/>
                    <w:rPr>
                      <w:rFonts w:ascii="Times New Roman" w:hAnsi="Times New Roman"/>
                      <w:color w:val="000000"/>
                      <w:sz w:val="21"/>
                      <w:szCs w:val="21"/>
                    </w:rPr>
                  </w:pPr>
                  <w:r>
                    <w:rPr>
                      <w:rFonts w:ascii="Times New Roman" w:hAnsi="Times New Roman"/>
                      <w:color w:val="000000"/>
                      <w:sz w:val="21"/>
                      <w:szCs w:val="21"/>
                    </w:rPr>
                    <w:t>12次/年</w:t>
                  </w:r>
                </w:p>
              </w:tc>
              <w:tc>
                <w:tcPr>
                  <w:tcW w:w="1918" w:type="dxa"/>
                  <w:tcBorders>
                    <w:top w:val="single" w:color="auto" w:sz="4" w:space="0"/>
                    <w:left w:val="nil"/>
                    <w:bottom w:val="single" w:color="auto" w:sz="4" w:space="0"/>
                    <w:right w:val="single" w:color="auto" w:sz="4" w:space="0"/>
                  </w:tcBorders>
                  <w:vAlign w:val="center"/>
                </w:tcPr>
                <w:p>
                  <w:pPr>
                    <w:pStyle w:val="24"/>
                    <w:spacing w:before="0" w:beforeAutospacing="0" w:after="0" w:afterAutospacing="0"/>
                    <w:jc w:val="center"/>
                    <w:rPr>
                      <w:rFonts w:ascii="Times New Roman" w:hAnsi="Times New Roman"/>
                      <w:color w:val="000000"/>
                      <w:sz w:val="21"/>
                      <w:szCs w:val="21"/>
                    </w:rPr>
                  </w:pPr>
                  <w:r>
                    <w:rPr>
                      <w:rFonts w:ascii="Times New Roman" w:hAnsi="Times New Roman"/>
                      <w:color w:val="000000"/>
                      <w:sz w:val="21"/>
                      <w:szCs w:val="21"/>
                    </w:rPr>
                    <w:t>61项（全分析109项）</w:t>
                  </w:r>
                </w:p>
              </w:tc>
              <w:tc>
                <w:tcPr>
                  <w:tcW w:w="1090" w:type="dxa"/>
                  <w:tcBorders>
                    <w:top w:val="single" w:color="auto" w:sz="4" w:space="0"/>
                    <w:left w:val="nil"/>
                    <w:bottom w:val="single" w:color="auto" w:sz="4" w:space="0"/>
                    <w:right w:val="nil"/>
                  </w:tcBorders>
                  <w:vAlign w:val="center"/>
                </w:tcPr>
                <w:p>
                  <w:pPr>
                    <w:pStyle w:val="24"/>
                    <w:spacing w:before="0" w:beforeAutospacing="0" w:after="0" w:afterAutospacing="0"/>
                    <w:jc w:val="center"/>
                    <w:rPr>
                      <w:rFonts w:ascii="Times New Roman" w:hAnsi="Times New Roman"/>
                      <w:color w:val="000000"/>
                      <w:sz w:val="21"/>
                      <w:szCs w:val="21"/>
                    </w:rPr>
                  </w:pPr>
                  <w:r>
                    <w:rPr>
                      <w:rFonts w:ascii="Times New Roman" w:hAnsi="Times New Roman"/>
                      <w:color w:val="000000"/>
                      <w:sz w:val="21"/>
                      <w:szCs w:val="21"/>
                    </w:rPr>
                    <w:t>100%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2507" w:type="dxa"/>
                  <w:tcBorders>
                    <w:top w:val="single" w:color="auto" w:sz="4" w:space="0"/>
                    <w:left w:val="nil"/>
                    <w:bottom w:val="single" w:color="auto" w:sz="4" w:space="0"/>
                    <w:right w:val="single" w:color="auto" w:sz="4" w:space="0"/>
                  </w:tcBorders>
                  <w:vAlign w:val="center"/>
                </w:tcPr>
                <w:p>
                  <w:pPr>
                    <w:pStyle w:val="24"/>
                    <w:spacing w:before="0" w:beforeAutospacing="0" w:after="0" w:afterAutospacing="0"/>
                    <w:jc w:val="center"/>
                    <w:rPr>
                      <w:rFonts w:ascii="Times New Roman" w:hAnsi="Times New Roman"/>
                      <w:color w:val="000000"/>
                      <w:sz w:val="21"/>
                      <w:szCs w:val="21"/>
                    </w:rPr>
                  </w:pPr>
                  <w:r>
                    <w:rPr>
                      <w:rFonts w:ascii="Times New Roman" w:hAnsi="Times New Roman"/>
                      <w:color w:val="000000"/>
                      <w:sz w:val="21"/>
                      <w:szCs w:val="21"/>
                    </w:rPr>
                    <w:t>芜湖县供水有限公司取水口</w:t>
                  </w:r>
                </w:p>
              </w:tc>
              <w:tc>
                <w:tcPr>
                  <w:tcW w:w="756" w:type="dxa"/>
                  <w:tcBorders>
                    <w:top w:val="single" w:color="auto" w:sz="4" w:space="0"/>
                    <w:left w:val="nil"/>
                    <w:bottom w:val="single" w:color="auto" w:sz="4" w:space="0"/>
                    <w:right w:val="single" w:color="auto" w:sz="4" w:space="0"/>
                  </w:tcBorders>
                  <w:vAlign w:val="center"/>
                </w:tcPr>
                <w:p>
                  <w:pPr>
                    <w:pStyle w:val="24"/>
                    <w:spacing w:before="0" w:beforeAutospacing="0" w:after="0" w:afterAutospacing="0"/>
                    <w:jc w:val="center"/>
                    <w:rPr>
                      <w:rFonts w:ascii="Times New Roman" w:hAnsi="Times New Roman"/>
                      <w:color w:val="000000"/>
                      <w:sz w:val="21"/>
                      <w:szCs w:val="21"/>
                    </w:rPr>
                  </w:pPr>
                  <w:r>
                    <w:rPr>
                      <w:rFonts w:ascii="Times New Roman" w:hAnsi="Times New Roman"/>
                      <w:color w:val="000000"/>
                      <w:sz w:val="21"/>
                      <w:szCs w:val="21"/>
                    </w:rPr>
                    <w:t>县级</w:t>
                  </w:r>
                </w:p>
              </w:tc>
              <w:tc>
                <w:tcPr>
                  <w:tcW w:w="1246" w:type="dxa"/>
                  <w:tcBorders>
                    <w:top w:val="single" w:color="auto" w:sz="4" w:space="0"/>
                    <w:left w:val="nil"/>
                    <w:bottom w:val="single" w:color="auto" w:sz="4" w:space="0"/>
                    <w:right w:val="single" w:color="auto" w:sz="4" w:space="0"/>
                  </w:tcBorders>
                  <w:vAlign w:val="center"/>
                </w:tcPr>
                <w:p>
                  <w:pPr>
                    <w:pStyle w:val="24"/>
                    <w:spacing w:before="0" w:beforeAutospacing="0" w:after="0" w:afterAutospacing="0"/>
                    <w:jc w:val="center"/>
                    <w:rPr>
                      <w:rFonts w:ascii="Times New Roman" w:hAnsi="Times New Roman"/>
                      <w:color w:val="000000"/>
                      <w:sz w:val="21"/>
                      <w:szCs w:val="21"/>
                    </w:rPr>
                  </w:pPr>
                  <w:r>
                    <w:rPr>
                      <w:rFonts w:ascii="Times New Roman" w:hAnsi="Times New Roman"/>
                      <w:color w:val="000000"/>
                      <w:sz w:val="21"/>
                      <w:szCs w:val="21"/>
                    </w:rPr>
                    <w:t>4次/年</w:t>
                  </w:r>
                </w:p>
              </w:tc>
              <w:tc>
                <w:tcPr>
                  <w:tcW w:w="1918" w:type="dxa"/>
                  <w:tcBorders>
                    <w:top w:val="single" w:color="auto" w:sz="4" w:space="0"/>
                    <w:left w:val="nil"/>
                    <w:bottom w:val="single" w:color="auto" w:sz="4" w:space="0"/>
                    <w:right w:val="single" w:color="auto" w:sz="4" w:space="0"/>
                  </w:tcBorders>
                  <w:vAlign w:val="center"/>
                </w:tcPr>
                <w:p>
                  <w:pPr>
                    <w:pStyle w:val="24"/>
                    <w:spacing w:before="0" w:beforeAutospacing="0" w:after="0" w:afterAutospacing="0"/>
                    <w:jc w:val="center"/>
                    <w:rPr>
                      <w:rFonts w:ascii="Times New Roman" w:hAnsi="Times New Roman"/>
                      <w:color w:val="000000"/>
                      <w:sz w:val="21"/>
                      <w:szCs w:val="21"/>
                    </w:rPr>
                  </w:pPr>
                  <w:r>
                    <w:rPr>
                      <w:rFonts w:ascii="Times New Roman" w:hAnsi="Times New Roman"/>
                      <w:color w:val="000000"/>
                      <w:sz w:val="21"/>
                      <w:szCs w:val="21"/>
                    </w:rPr>
                    <w:t>61项（全分析109项）</w:t>
                  </w:r>
                </w:p>
              </w:tc>
              <w:tc>
                <w:tcPr>
                  <w:tcW w:w="1090" w:type="dxa"/>
                  <w:tcBorders>
                    <w:top w:val="single" w:color="auto" w:sz="4" w:space="0"/>
                    <w:left w:val="nil"/>
                    <w:bottom w:val="single" w:color="auto" w:sz="4" w:space="0"/>
                    <w:right w:val="nil"/>
                  </w:tcBorders>
                  <w:vAlign w:val="center"/>
                </w:tcPr>
                <w:p>
                  <w:pPr>
                    <w:pStyle w:val="24"/>
                    <w:spacing w:before="0" w:beforeAutospacing="0" w:after="0" w:afterAutospacing="0"/>
                    <w:jc w:val="center"/>
                    <w:rPr>
                      <w:rFonts w:ascii="Times New Roman" w:hAnsi="Times New Roman"/>
                      <w:color w:val="000000"/>
                      <w:sz w:val="21"/>
                      <w:szCs w:val="21"/>
                    </w:rPr>
                  </w:pPr>
                  <w:r>
                    <w:rPr>
                      <w:rFonts w:ascii="Times New Roman" w:hAnsi="Times New Roman"/>
                      <w:color w:val="000000"/>
                      <w:sz w:val="21"/>
                      <w:szCs w:val="21"/>
                    </w:rPr>
                    <w:t>100%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2507" w:type="dxa"/>
                  <w:tcBorders>
                    <w:top w:val="single" w:color="auto" w:sz="4" w:space="0"/>
                    <w:left w:val="nil"/>
                    <w:bottom w:val="single" w:color="auto" w:sz="4" w:space="0"/>
                    <w:right w:val="single" w:color="auto" w:sz="4" w:space="0"/>
                  </w:tcBorders>
                  <w:vAlign w:val="center"/>
                </w:tcPr>
                <w:p>
                  <w:pPr>
                    <w:pStyle w:val="24"/>
                    <w:spacing w:before="0" w:beforeAutospacing="0" w:after="0" w:afterAutospacing="0"/>
                    <w:jc w:val="center"/>
                    <w:rPr>
                      <w:rFonts w:ascii="Times New Roman" w:hAnsi="Times New Roman"/>
                      <w:color w:val="000000"/>
                      <w:sz w:val="21"/>
                      <w:szCs w:val="21"/>
                    </w:rPr>
                  </w:pPr>
                  <w:r>
                    <w:rPr>
                      <w:rFonts w:ascii="Times New Roman" w:hAnsi="Times New Roman"/>
                      <w:color w:val="000000"/>
                      <w:sz w:val="21"/>
                      <w:szCs w:val="21"/>
                    </w:rPr>
                    <w:t>南陵县麒麟自来水厂青弋江取水口</w:t>
                  </w:r>
                </w:p>
              </w:tc>
              <w:tc>
                <w:tcPr>
                  <w:tcW w:w="756" w:type="dxa"/>
                  <w:tcBorders>
                    <w:top w:val="single" w:color="auto" w:sz="4" w:space="0"/>
                    <w:left w:val="nil"/>
                    <w:bottom w:val="single" w:color="auto" w:sz="4" w:space="0"/>
                    <w:right w:val="single" w:color="auto" w:sz="4" w:space="0"/>
                  </w:tcBorders>
                  <w:vAlign w:val="center"/>
                </w:tcPr>
                <w:p>
                  <w:pPr>
                    <w:widowControl/>
                    <w:jc w:val="center"/>
                    <w:rPr>
                      <w:color w:val="000000"/>
                      <w:szCs w:val="21"/>
                    </w:rPr>
                  </w:pPr>
                  <w:r>
                    <w:rPr>
                      <w:color w:val="000000"/>
                      <w:kern w:val="0"/>
                    </w:rPr>
                    <w:t>县级</w:t>
                  </w:r>
                </w:p>
              </w:tc>
              <w:tc>
                <w:tcPr>
                  <w:tcW w:w="1246" w:type="dxa"/>
                  <w:tcBorders>
                    <w:top w:val="single" w:color="auto" w:sz="4" w:space="0"/>
                    <w:left w:val="nil"/>
                    <w:bottom w:val="single" w:color="auto" w:sz="4" w:space="0"/>
                    <w:right w:val="single" w:color="auto" w:sz="4" w:space="0"/>
                  </w:tcBorders>
                  <w:vAlign w:val="center"/>
                </w:tcPr>
                <w:p>
                  <w:pPr>
                    <w:pStyle w:val="24"/>
                    <w:spacing w:before="0" w:beforeAutospacing="0" w:after="0" w:afterAutospacing="0"/>
                    <w:jc w:val="center"/>
                    <w:rPr>
                      <w:rFonts w:ascii="Times New Roman" w:hAnsi="Times New Roman"/>
                      <w:color w:val="000000"/>
                      <w:sz w:val="21"/>
                      <w:szCs w:val="21"/>
                    </w:rPr>
                  </w:pPr>
                  <w:r>
                    <w:rPr>
                      <w:rFonts w:ascii="Times New Roman" w:hAnsi="Times New Roman"/>
                      <w:color w:val="000000"/>
                      <w:sz w:val="21"/>
                      <w:szCs w:val="21"/>
                    </w:rPr>
                    <w:t>4次/年</w:t>
                  </w:r>
                </w:p>
              </w:tc>
              <w:tc>
                <w:tcPr>
                  <w:tcW w:w="1918" w:type="dxa"/>
                  <w:tcBorders>
                    <w:top w:val="single" w:color="auto" w:sz="4" w:space="0"/>
                    <w:left w:val="nil"/>
                    <w:bottom w:val="single" w:color="auto" w:sz="4" w:space="0"/>
                    <w:right w:val="single" w:color="auto" w:sz="4" w:space="0"/>
                  </w:tcBorders>
                  <w:vAlign w:val="center"/>
                </w:tcPr>
                <w:p>
                  <w:pPr>
                    <w:pStyle w:val="24"/>
                    <w:spacing w:before="0" w:beforeAutospacing="0" w:after="0" w:afterAutospacing="0"/>
                    <w:jc w:val="center"/>
                    <w:rPr>
                      <w:rFonts w:ascii="Times New Roman" w:hAnsi="Times New Roman"/>
                      <w:color w:val="000000"/>
                      <w:sz w:val="21"/>
                      <w:szCs w:val="21"/>
                    </w:rPr>
                  </w:pPr>
                  <w:r>
                    <w:rPr>
                      <w:rFonts w:ascii="Times New Roman" w:hAnsi="Times New Roman"/>
                      <w:color w:val="000000"/>
                      <w:sz w:val="21"/>
                      <w:szCs w:val="21"/>
                    </w:rPr>
                    <w:t>61项（全分析109项）</w:t>
                  </w:r>
                </w:p>
              </w:tc>
              <w:tc>
                <w:tcPr>
                  <w:tcW w:w="1090" w:type="dxa"/>
                  <w:tcBorders>
                    <w:top w:val="single" w:color="auto" w:sz="4" w:space="0"/>
                    <w:left w:val="nil"/>
                    <w:bottom w:val="single" w:color="auto" w:sz="4" w:space="0"/>
                    <w:right w:val="nil"/>
                  </w:tcBorders>
                  <w:vAlign w:val="center"/>
                </w:tcPr>
                <w:p>
                  <w:pPr>
                    <w:pStyle w:val="24"/>
                    <w:spacing w:before="0" w:beforeAutospacing="0" w:after="0" w:afterAutospacing="0"/>
                    <w:jc w:val="center"/>
                    <w:rPr>
                      <w:rFonts w:ascii="Times New Roman" w:hAnsi="Times New Roman"/>
                      <w:color w:val="000000"/>
                      <w:sz w:val="21"/>
                      <w:szCs w:val="21"/>
                    </w:rPr>
                  </w:pPr>
                  <w:r>
                    <w:rPr>
                      <w:rFonts w:ascii="Times New Roman" w:hAnsi="Times New Roman"/>
                      <w:color w:val="000000"/>
                      <w:sz w:val="21"/>
                      <w:szCs w:val="21"/>
                    </w:rPr>
                    <w:t>100%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2507" w:type="dxa"/>
                  <w:tcBorders>
                    <w:top w:val="single" w:color="auto" w:sz="4" w:space="0"/>
                    <w:left w:val="nil"/>
                    <w:bottom w:val="single" w:color="auto" w:sz="4" w:space="0"/>
                    <w:right w:val="single" w:color="auto" w:sz="4" w:space="0"/>
                  </w:tcBorders>
                  <w:vAlign w:val="center"/>
                </w:tcPr>
                <w:p>
                  <w:pPr>
                    <w:pStyle w:val="24"/>
                    <w:spacing w:before="0" w:beforeAutospacing="0" w:after="0" w:afterAutospacing="0"/>
                    <w:jc w:val="center"/>
                    <w:rPr>
                      <w:rFonts w:ascii="Times New Roman" w:hAnsi="Times New Roman"/>
                      <w:color w:val="000000"/>
                      <w:sz w:val="21"/>
                      <w:szCs w:val="21"/>
                    </w:rPr>
                  </w:pPr>
                  <w:r>
                    <w:rPr>
                      <w:rFonts w:ascii="Times New Roman" w:hAnsi="Times New Roman"/>
                      <w:color w:val="000000"/>
                      <w:sz w:val="21"/>
                      <w:szCs w:val="21"/>
                    </w:rPr>
                    <w:t>无为县自来水厂长江取水口</w:t>
                  </w:r>
                </w:p>
              </w:tc>
              <w:tc>
                <w:tcPr>
                  <w:tcW w:w="756" w:type="dxa"/>
                  <w:tcBorders>
                    <w:top w:val="single" w:color="auto" w:sz="4" w:space="0"/>
                    <w:left w:val="nil"/>
                    <w:bottom w:val="single" w:color="auto" w:sz="4" w:space="0"/>
                    <w:right w:val="single" w:color="auto" w:sz="4" w:space="0"/>
                  </w:tcBorders>
                  <w:vAlign w:val="center"/>
                </w:tcPr>
                <w:p>
                  <w:pPr>
                    <w:widowControl/>
                    <w:jc w:val="center"/>
                    <w:rPr>
                      <w:color w:val="000000"/>
                      <w:szCs w:val="21"/>
                    </w:rPr>
                  </w:pPr>
                  <w:r>
                    <w:rPr>
                      <w:color w:val="000000"/>
                      <w:kern w:val="0"/>
                    </w:rPr>
                    <w:t>县级</w:t>
                  </w:r>
                </w:p>
              </w:tc>
              <w:tc>
                <w:tcPr>
                  <w:tcW w:w="1246" w:type="dxa"/>
                  <w:tcBorders>
                    <w:top w:val="single" w:color="auto" w:sz="4" w:space="0"/>
                    <w:left w:val="nil"/>
                    <w:bottom w:val="single" w:color="auto" w:sz="4" w:space="0"/>
                    <w:right w:val="single" w:color="auto" w:sz="4" w:space="0"/>
                  </w:tcBorders>
                  <w:vAlign w:val="center"/>
                </w:tcPr>
                <w:p>
                  <w:pPr>
                    <w:pStyle w:val="24"/>
                    <w:spacing w:before="0" w:beforeAutospacing="0" w:after="0" w:afterAutospacing="0"/>
                    <w:jc w:val="center"/>
                    <w:rPr>
                      <w:rFonts w:ascii="Times New Roman" w:hAnsi="Times New Roman"/>
                      <w:color w:val="000000"/>
                      <w:sz w:val="21"/>
                      <w:szCs w:val="21"/>
                    </w:rPr>
                  </w:pPr>
                  <w:r>
                    <w:rPr>
                      <w:rFonts w:ascii="Times New Roman" w:hAnsi="Times New Roman"/>
                      <w:color w:val="000000"/>
                      <w:sz w:val="21"/>
                      <w:szCs w:val="21"/>
                    </w:rPr>
                    <w:t>4次/年</w:t>
                  </w:r>
                </w:p>
              </w:tc>
              <w:tc>
                <w:tcPr>
                  <w:tcW w:w="1918" w:type="dxa"/>
                  <w:tcBorders>
                    <w:top w:val="single" w:color="auto" w:sz="4" w:space="0"/>
                    <w:left w:val="nil"/>
                    <w:bottom w:val="single" w:color="auto" w:sz="4" w:space="0"/>
                    <w:right w:val="single" w:color="auto" w:sz="4" w:space="0"/>
                  </w:tcBorders>
                  <w:vAlign w:val="center"/>
                </w:tcPr>
                <w:p>
                  <w:pPr>
                    <w:pStyle w:val="24"/>
                    <w:spacing w:before="0" w:beforeAutospacing="0" w:after="0" w:afterAutospacing="0"/>
                    <w:jc w:val="center"/>
                    <w:rPr>
                      <w:rFonts w:ascii="Times New Roman" w:hAnsi="Times New Roman"/>
                      <w:color w:val="000000"/>
                      <w:sz w:val="21"/>
                      <w:szCs w:val="21"/>
                    </w:rPr>
                  </w:pPr>
                  <w:r>
                    <w:rPr>
                      <w:rFonts w:ascii="Times New Roman" w:hAnsi="Times New Roman"/>
                      <w:color w:val="000000"/>
                      <w:sz w:val="21"/>
                      <w:szCs w:val="21"/>
                    </w:rPr>
                    <w:t>61项（全分析109项）</w:t>
                  </w:r>
                </w:p>
              </w:tc>
              <w:tc>
                <w:tcPr>
                  <w:tcW w:w="1090" w:type="dxa"/>
                  <w:tcBorders>
                    <w:top w:val="single" w:color="auto" w:sz="4" w:space="0"/>
                    <w:left w:val="nil"/>
                    <w:bottom w:val="single" w:color="auto" w:sz="4" w:space="0"/>
                    <w:right w:val="nil"/>
                  </w:tcBorders>
                  <w:vAlign w:val="center"/>
                </w:tcPr>
                <w:p>
                  <w:pPr>
                    <w:pStyle w:val="24"/>
                    <w:spacing w:before="0" w:beforeAutospacing="0" w:after="0" w:afterAutospacing="0"/>
                    <w:jc w:val="center"/>
                    <w:rPr>
                      <w:rFonts w:ascii="Times New Roman" w:hAnsi="Times New Roman"/>
                      <w:color w:val="000000"/>
                      <w:sz w:val="21"/>
                      <w:szCs w:val="21"/>
                    </w:rPr>
                  </w:pPr>
                  <w:r>
                    <w:rPr>
                      <w:rFonts w:ascii="Times New Roman" w:hAnsi="Times New Roman"/>
                      <w:color w:val="000000"/>
                      <w:sz w:val="21"/>
                      <w:szCs w:val="21"/>
                    </w:rPr>
                    <w:t>100%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2507" w:type="dxa"/>
                  <w:tcBorders>
                    <w:top w:val="single" w:color="auto" w:sz="4" w:space="0"/>
                    <w:left w:val="nil"/>
                    <w:bottom w:val="single" w:color="auto" w:sz="12" w:space="0"/>
                    <w:right w:val="single" w:color="auto" w:sz="4" w:space="0"/>
                  </w:tcBorders>
                  <w:vAlign w:val="center"/>
                </w:tcPr>
                <w:p>
                  <w:pPr>
                    <w:pStyle w:val="24"/>
                    <w:spacing w:before="0" w:beforeAutospacing="0" w:after="0" w:afterAutospacing="0"/>
                    <w:jc w:val="center"/>
                    <w:rPr>
                      <w:rFonts w:ascii="Times New Roman" w:hAnsi="Times New Roman"/>
                      <w:color w:val="000000"/>
                      <w:sz w:val="21"/>
                      <w:szCs w:val="21"/>
                    </w:rPr>
                  </w:pPr>
                  <w:r>
                    <w:rPr>
                      <w:rFonts w:ascii="Times New Roman" w:hAnsi="Times New Roman"/>
                      <w:color w:val="000000"/>
                      <w:sz w:val="21"/>
                      <w:szCs w:val="21"/>
                    </w:rPr>
                    <w:t>繁昌县长江新港取水口</w:t>
                  </w:r>
                </w:p>
              </w:tc>
              <w:tc>
                <w:tcPr>
                  <w:tcW w:w="756" w:type="dxa"/>
                  <w:tcBorders>
                    <w:top w:val="single" w:color="auto" w:sz="4" w:space="0"/>
                    <w:left w:val="nil"/>
                    <w:bottom w:val="single" w:color="auto" w:sz="12" w:space="0"/>
                    <w:right w:val="single" w:color="auto" w:sz="4" w:space="0"/>
                  </w:tcBorders>
                  <w:vAlign w:val="center"/>
                </w:tcPr>
                <w:p>
                  <w:pPr>
                    <w:widowControl/>
                    <w:jc w:val="center"/>
                    <w:rPr>
                      <w:color w:val="000000"/>
                      <w:szCs w:val="21"/>
                    </w:rPr>
                  </w:pPr>
                  <w:r>
                    <w:rPr>
                      <w:color w:val="000000"/>
                      <w:kern w:val="0"/>
                    </w:rPr>
                    <w:t>县级</w:t>
                  </w:r>
                </w:p>
              </w:tc>
              <w:tc>
                <w:tcPr>
                  <w:tcW w:w="1246" w:type="dxa"/>
                  <w:tcBorders>
                    <w:top w:val="single" w:color="auto" w:sz="4" w:space="0"/>
                    <w:left w:val="nil"/>
                    <w:bottom w:val="single" w:color="auto" w:sz="12" w:space="0"/>
                    <w:right w:val="single" w:color="auto" w:sz="4" w:space="0"/>
                  </w:tcBorders>
                  <w:vAlign w:val="center"/>
                </w:tcPr>
                <w:p>
                  <w:pPr>
                    <w:pStyle w:val="24"/>
                    <w:spacing w:before="0" w:beforeAutospacing="0" w:after="0" w:afterAutospacing="0"/>
                    <w:jc w:val="center"/>
                    <w:rPr>
                      <w:rFonts w:ascii="Times New Roman" w:hAnsi="Times New Roman"/>
                      <w:color w:val="000000"/>
                      <w:sz w:val="21"/>
                      <w:szCs w:val="21"/>
                    </w:rPr>
                  </w:pPr>
                  <w:r>
                    <w:rPr>
                      <w:rFonts w:ascii="Times New Roman" w:hAnsi="Times New Roman"/>
                      <w:color w:val="000000"/>
                      <w:sz w:val="21"/>
                      <w:szCs w:val="21"/>
                    </w:rPr>
                    <w:t>4次/年</w:t>
                  </w:r>
                </w:p>
              </w:tc>
              <w:tc>
                <w:tcPr>
                  <w:tcW w:w="1918" w:type="dxa"/>
                  <w:tcBorders>
                    <w:top w:val="single" w:color="auto" w:sz="4" w:space="0"/>
                    <w:left w:val="nil"/>
                    <w:bottom w:val="single" w:color="auto" w:sz="12" w:space="0"/>
                    <w:right w:val="single" w:color="auto" w:sz="4" w:space="0"/>
                  </w:tcBorders>
                  <w:vAlign w:val="center"/>
                </w:tcPr>
                <w:p>
                  <w:pPr>
                    <w:pStyle w:val="24"/>
                    <w:spacing w:before="0" w:beforeAutospacing="0" w:after="0" w:afterAutospacing="0"/>
                    <w:jc w:val="center"/>
                    <w:rPr>
                      <w:rFonts w:ascii="Times New Roman" w:hAnsi="Times New Roman"/>
                      <w:color w:val="000000"/>
                      <w:sz w:val="21"/>
                      <w:szCs w:val="21"/>
                    </w:rPr>
                  </w:pPr>
                  <w:r>
                    <w:rPr>
                      <w:rFonts w:ascii="Times New Roman" w:hAnsi="Times New Roman"/>
                      <w:color w:val="000000"/>
                      <w:sz w:val="21"/>
                      <w:szCs w:val="21"/>
                    </w:rPr>
                    <w:t>61项（全分析109项）</w:t>
                  </w:r>
                </w:p>
              </w:tc>
              <w:tc>
                <w:tcPr>
                  <w:tcW w:w="1090" w:type="dxa"/>
                  <w:tcBorders>
                    <w:top w:val="single" w:color="auto" w:sz="4" w:space="0"/>
                    <w:left w:val="nil"/>
                    <w:bottom w:val="single" w:color="auto" w:sz="12" w:space="0"/>
                    <w:right w:val="nil"/>
                  </w:tcBorders>
                  <w:vAlign w:val="center"/>
                </w:tcPr>
                <w:p>
                  <w:pPr>
                    <w:pStyle w:val="24"/>
                    <w:spacing w:before="0" w:beforeAutospacing="0" w:after="0" w:afterAutospacing="0"/>
                    <w:jc w:val="center"/>
                    <w:rPr>
                      <w:rFonts w:ascii="Times New Roman" w:hAnsi="Times New Roman"/>
                      <w:color w:val="000000"/>
                      <w:sz w:val="21"/>
                      <w:szCs w:val="21"/>
                    </w:rPr>
                  </w:pPr>
                  <w:r>
                    <w:rPr>
                      <w:rFonts w:ascii="Times New Roman" w:hAnsi="Times New Roman"/>
                      <w:color w:val="000000"/>
                      <w:sz w:val="21"/>
                      <w:szCs w:val="21"/>
                    </w:rPr>
                    <w:t>100%</w:t>
                  </w:r>
                </w:p>
              </w:tc>
            </w:tr>
          </w:tbl>
          <w:p>
            <w:pPr>
              <w:spacing w:line="360" w:lineRule="auto"/>
              <w:ind w:firstLine="480" w:firstLineChars="200"/>
              <w:rPr>
                <w:szCs w:val="21"/>
              </w:rPr>
            </w:pPr>
            <w:r>
              <w:rPr>
                <w:rFonts w:hint="eastAsia"/>
                <w:bCs/>
                <w:sz w:val="24"/>
              </w:rPr>
              <w:t>本项目所在区域污水由厂内污水处理站收集处理后厂内进行回用，不外排。</w:t>
            </w:r>
          </w:p>
          <w:p>
            <w:pPr>
              <w:spacing w:line="360" w:lineRule="auto"/>
              <w:ind w:firstLine="482" w:firstLineChars="200"/>
              <w:rPr>
                <w:b/>
                <w:color w:val="000000"/>
                <w:sz w:val="24"/>
              </w:rPr>
            </w:pPr>
            <w:r>
              <w:rPr>
                <w:b/>
                <w:color w:val="000000"/>
                <w:sz w:val="24"/>
              </w:rPr>
              <w:t>3、声环境质量状况</w:t>
            </w:r>
          </w:p>
          <w:p>
            <w:pPr>
              <w:spacing w:line="360" w:lineRule="auto"/>
              <w:ind w:firstLine="480" w:firstLineChars="200"/>
              <w:rPr>
                <w:rFonts w:hint="eastAsia"/>
                <w:bCs/>
                <w:sz w:val="24"/>
              </w:rPr>
            </w:pPr>
            <w:r>
              <w:rPr>
                <w:rFonts w:hint="eastAsia"/>
                <w:bCs/>
                <w:sz w:val="24"/>
              </w:rPr>
              <w:t>为了解项目周边声环境质量现状，</w:t>
            </w:r>
            <w:r>
              <w:rPr>
                <w:rFonts w:hint="eastAsia"/>
                <w:bCs/>
                <w:sz w:val="24"/>
                <w:lang w:val="en-US" w:eastAsia="zh-CN"/>
              </w:rPr>
              <w:t>芜湖新兴新材料产业园有限公司委托</w:t>
            </w:r>
            <w:r>
              <w:rPr>
                <w:rFonts w:hint="eastAsia"/>
                <w:bCs/>
                <w:sz w:val="24"/>
              </w:rPr>
              <w:t>安徽</w:t>
            </w:r>
            <w:r>
              <w:rPr>
                <w:rFonts w:hint="eastAsia"/>
                <w:bCs/>
                <w:sz w:val="24"/>
                <w:lang w:val="en-US" w:eastAsia="zh-CN"/>
              </w:rPr>
              <w:t>威正测试技术</w:t>
            </w:r>
            <w:r>
              <w:rPr>
                <w:rFonts w:hint="eastAsia"/>
                <w:bCs/>
                <w:sz w:val="24"/>
              </w:rPr>
              <w:t>有限公司对本项目所在地声环境进行现场测量</w:t>
            </w:r>
            <w:r>
              <w:rPr>
                <w:rFonts w:hint="eastAsia"/>
                <w:bCs/>
                <w:sz w:val="24"/>
                <w:lang w:eastAsia="zh-CN"/>
              </w:rPr>
              <w:t>（报告编号：2021113000807Q），</w:t>
            </w:r>
            <w:r>
              <w:rPr>
                <w:rFonts w:hint="eastAsia"/>
                <w:bCs/>
                <w:sz w:val="24"/>
              </w:rPr>
              <w:t>监测时间：2021年</w:t>
            </w:r>
            <w:r>
              <w:rPr>
                <w:rFonts w:hint="eastAsia"/>
                <w:bCs/>
                <w:sz w:val="24"/>
                <w:lang w:val="en-US" w:eastAsia="zh-CN"/>
              </w:rPr>
              <w:t>12</w:t>
            </w:r>
            <w:r>
              <w:rPr>
                <w:rFonts w:hint="eastAsia"/>
                <w:bCs/>
                <w:sz w:val="24"/>
              </w:rPr>
              <w:t>月</w:t>
            </w:r>
            <w:r>
              <w:rPr>
                <w:rFonts w:hint="eastAsia"/>
                <w:bCs/>
                <w:sz w:val="24"/>
                <w:lang w:val="en-US" w:eastAsia="zh-CN"/>
              </w:rPr>
              <w:t>03</w:t>
            </w:r>
            <w:r>
              <w:rPr>
                <w:rFonts w:hint="eastAsia"/>
                <w:bCs/>
                <w:sz w:val="24"/>
              </w:rPr>
              <w:t>日，</w:t>
            </w:r>
            <w:r>
              <w:rPr>
                <w:rFonts w:hint="eastAsia"/>
                <w:bCs/>
                <w:sz w:val="24"/>
                <w:lang w:val="en-US" w:eastAsia="zh-CN"/>
              </w:rPr>
              <w:t>4个点位，</w:t>
            </w:r>
            <w:r>
              <w:rPr>
                <w:rFonts w:hint="eastAsia"/>
                <w:bCs/>
                <w:sz w:val="24"/>
              </w:rPr>
              <w:t>昼夜各监测一次</w:t>
            </w:r>
            <w:r>
              <w:rPr>
                <w:rFonts w:hint="eastAsia"/>
                <w:bCs/>
                <w:sz w:val="24"/>
                <w:lang w:eastAsia="zh-CN"/>
              </w:rPr>
              <w:t>，</w:t>
            </w:r>
            <w:r>
              <w:rPr>
                <w:rFonts w:hint="eastAsia"/>
                <w:bCs/>
                <w:sz w:val="24"/>
                <w:lang w:val="en-US" w:eastAsia="zh-CN"/>
              </w:rPr>
              <w:t>监测两天</w:t>
            </w:r>
            <w:r>
              <w:rPr>
                <w:rFonts w:hint="eastAsia"/>
                <w:bCs/>
                <w:sz w:val="24"/>
              </w:rPr>
              <w:t>。 监测结果表明，项目所在地厂界四周声环境能够达到《声环境质量标准》 （GB3096-2008）3 类标准。监测结果见下表。</w:t>
            </w:r>
          </w:p>
          <w:p>
            <w:pPr>
              <w:spacing w:line="360" w:lineRule="auto"/>
              <w:ind w:firstLine="482" w:firstLineChars="200"/>
              <w:jc w:val="center"/>
              <w:rPr>
                <w:rFonts w:hint="eastAsia"/>
                <w:b/>
                <w:bCs/>
                <w:sz w:val="24"/>
              </w:rPr>
            </w:pPr>
            <w:r>
              <w:rPr>
                <w:rFonts w:hint="eastAsia"/>
                <w:b/>
                <w:bCs/>
                <w:sz w:val="24"/>
              </w:rPr>
              <w:t>表 3-</w:t>
            </w:r>
            <w:r>
              <w:rPr>
                <w:rFonts w:hint="eastAsia"/>
                <w:b/>
                <w:bCs/>
                <w:sz w:val="24"/>
                <w:lang w:val="en-US" w:eastAsia="zh-CN"/>
              </w:rPr>
              <w:t>3</w:t>
            </w:r>
            <w:r>
              <w:rPr>
                <w:rFonts w:hint="eastAsia"/>
                <w:b/>
                <w:bCs/>
                <w:sz w:val="24"/>
              </w:rPr>
              <w:t xml:space="preserve"> 地块环境噪声现状监测表</w:t>
            </w:r>
          </w:p>
          <w:tbl>
            <w:tblPr>
              <w:tblStyle w:val="26"/>
              <w:tblW w:w="4914"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97"/>
              <w:gridCol w:w="1446"/>
              <w:gridCol w:w="1323"/>
              <w:gridCol w:w="1323"/>
              <w:gridCol w:w="1323"/>
              <w:gridCol w:w="1407"/>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897" w:type="dxa"/>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点位编号</w:t>
                  </w:r>
                </w:p>
              </w:tc>
              <w:tc>
                <w:tcPr>
                  <w:tcW w:w="1446" w:type="dxa"/>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点位名称</w:t>
                  </w:r>
                </w:p>
              </w:tc>
              <w:tc>
                <w:tcPr>
                  <w:tcW w:w="5376" w:type="dxa"/>
                  <w:gridSpan w:val="4"/>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rPr>
                    <w:t>检测结果Leq[dB(A)]</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897"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bCs/>
                      <w:color w:val="auto"/>
                      <w:sz w:val="21"/>
                      <w:szCs w:val="21"/>
                    </w:rPr>
                  </w:pPr>
                </w:p>
              </w:tc>
              <w:tc>
                <w:tcPr>
                  <w:tcW w:w="1446"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bCs/>
                      <w:color w:val="auto"/>
                      <w:sz w:val="21"/>
                      <w:szCs w:val="21"/>
                    </w:rPr>
                  </w:pPr>
                </w:p>
              </w:tc>
              <w:tc>
                <w:tcPr>
                  <w:tcW w:w="2646" w:type="dxa"/>
                  <w:gridSpan w:val="2"/>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bCs/>
                      <w:color w:val="000000"/>
                      <w:sz w:val="21"/>
                      <w:szCs w:val="21"/>
                      <w:lang w:val="en-US" w:eastAsia="zh-CN"/>
                    </w:rPr>
                  </w:pPr>
                  <w:r>
                    <w:rPr>
                      <w:rFonts w:hint="default" w:ascii="Times New Roman" w:hAnsi="Times New Roman" w:eastAsia="宋体" w:cs="Times New Roman"/>
                      <w:b/>
                      <w:bCs/>
                      <w:color w:val="000000"/>
                      <w:sz w:val="21"/>
                      <w:szCs w:val="21"/>
                      <w:lang w:val="en-US" w:eastAsia="zh-CN"/>
                    </w:rPr>
                    <w:t>202</w:t>
                  </w:r>
                  <w:r>
                    <w:rPr>
                      <w:rFonts w:hint="eastAsia" w:cs="Times New Roman"/>
                      <w:b/>
                      <w:bCs/>
                      <w:color w:val="000000"/>
                      <w:sz w:val="21"/>
                      <w:szCs w:val="21"/>
                      <w:lang w:val="en-US" w:eastAsia="zh-CN"/>
                    </w:rPr>
                    <w:t>1</w:t>
                  </w:r>
                  <w:r>
                    <w:rPr>
                      <w:rFonts w:hint="default" w:ascii="Times New Roman" w:hAnsi="Times New Roman" w:eastAsia="宋体" w:cs="Times New Roman"/>
                      <w:b/>
                      <w:bCs/>
                      <w:color w:val="000000"/>
                      <w:sz w:val="21"/>
                      <w:szCs w:val="21"/>
                      <w:lang w:val="en-US" w:eastAsia="zh-CN"/>
                    </w:rPr>
                    <w:t>.</w:t>
                  </w:r>
                  <w:r>
                    <w:rPr>
                      <w:rFonts w:hint="eastAsia" w:cs="Times New Roman"/>
                      <w:b/>
                      <w:bCs/>
                      <w:color w:val="000000"/>
                      <w:sz w:val="21"/>
                      <w:szCs w:val="21"/>
                      <w:lang w:val="en-US" w:eastAsia="zh-CN"/>
                    </w:rPr>
                    <w:t>12</w:t>
                  </w:r>
                  <w:r>
                    <w:rPr>
                      <w:rFonts w:hint="default" w:ascii="Times New Roman" w:hAnsi="Times New Roman" w:eastAsia="宋体" w:cs="Times New Roman"/>
                      <w:b/>
                      <w:bCs/>
                      <w:color w:val="000000"/>
                      <w:sz w:val="21"/>
                      <w:szCs w:val="21"/>
                      <w:lang w:val="en-US" w:eastAsia="zh-CN"/>
                    </w:rPr>
                    <w:t>.1</w:t>
                  </w:r>
                </w:p>
              </w:tc>
              <w:tc>
                <w:tcPr>
                  <w:tcW w:w="2730" w:type="dxa"/>
                  <w:gridSpan w:val="2"/>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bCs/>
                      <w:color w:val="000000"/>
                      <w:sz w:val="21"/>
                      <w:szCs w:val="21"/>
                      <w:lang w:val="en-US" w:eastAsia="zh-CN"/>
                    </w:rPr>
                  </w:pPr>
                  <w:r>
                    <w:rPr>
                      <w:rFonts w:hint="default" w:ascii="Times New Roman" w:hAnsi="Times New Roman" w:eastAsia="宋体" w:cs="Times New Roman"/>
                      <w:b/>
                      <w:bCs/>
                      <w:color w:val="000000"/>
                      <w:sz w:val="21"/>
                      <w:szCs w:val="21"/>
                      <w:lang w:val="en-US" w:eastAsia="zh-CN"/>
                    </w:rPr>
                    <w:t>202</w:t>
                  </w:r>
                  <w:r>
                    <w:rPr>
                      <w:rFonts w:hint="eastAsia" w:cs="Times New Roman"/>
                      <w:b/>
                      <w:bCs/>
                      <w:color w:val="000000"/>
                      <w:sz w:val="21"/>
                      <w:szCs w:val="21"/>
                      <w:lang w:val="en-US" w:eastAsia="zh-CN"/>
                    </w:rPr>
                    <w:t>1</w:t>
                  </w:r>
                  <w:r>
                    <w:rPr>
                      <w:rFonts w:hint="default" w:ascii="Times New Roman" w:hAnsi="Times New Roman" w:eastAsia="宋体" w:cs="Times New Roman"/>
                      <w:b/>
                      <w:bCs/>
                      <w:color w:val="000000"/>
                      <w:sz w:val="21"/>
                      <w:szCs w:val="21"/>
                      <w:lang w:val="en-US" w:eastAsia="zh-CN"/>
                    </w:rPr>
                    <w:t>.</w:t>
                  </w:r>
                  <w:r>
                    <w:rPr>
                      <w:rFonts w:hint="eastAsia" w:cs="Times New Roman"/>
                      <w:b/>
                      <w:bCs/>
                      <w:color w:val="000000"/>
                      <w:sz w:val="21"/>
                      <w:szCs w:val="21"/>
                      <w:lang w:val="en-US" w:eastAsia="zh-CN"/>
                    </w:rPr>
                    <w:t>12</w:t>
                  </w:r>
                  <w:r>
                    <w:rPr>
                      <w:rFonts w:hint="default" w:ascii="Times New Roman" w:hAnsi="Times New Roman" w:eastAsia="宋体" w:cs="Times New Roman"/>
                      <w:b/>
                      <w:bCs/>
                      <w:color w:val="000000"/>
                      <w:sz w:val="21"/>
                      <w:szCs w:val="21"/>
                      <w:lang w:val="en-US" w:eastAsia="zh-CN"/>
                    </w:rPr>
                    <w:t>.2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897"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bCs/>
                      <w:color w:val="auto"/>
                      <w:sz w:val="21"/>
                      <w:szCs w:val="21"/>
                    </w:rPr>
                  </w:pPr>
                </w:p>
              </w:tc>
              <w:tc>
                <w:tcPr>
                  <w:tcW w:w="1446"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bCs/>
                      <w:color w:val="auto"/>
                      <w:sz w:val="21"/>
                      <w:szCs w:val="21"/>
                    </w:rPr>
                  </w:pPr>
                </w:p>
              </w:tc>
              <w:tc>
                <w:tcPr>
                  <w:tcW w:w="1323"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rPr>
                    <w:t>昼间</w:t>
                  </w:r>
                </w:p>
              </w:tc>
              <w:tc>
                <w:tcPr>
                  <w:tcW w:w="1323"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lang w:eastAsia="zh-CN"/>
                    </w:rPr>
                    <w:t>夜</w:t>
                  </w:r>
                  <w:r>
                    <w:rPr>
                      <w:rFonts w:hint="default" w:ascii="Times New Roman" w:hAnsi="Times New Roman" w:eastAsia="宋体" w:cs="Times New Roman"/>
                      <w:b/>
                      <w:bCs/>
                      <w:color w:val="000000"/>
                      <w:sz w:val="21"/>
                      <w:szCs w:val="21"/>
                    </w:rPr>
                    <w:t>间</w:t>
                  </w:r>
                </w:p>
              </w:tc>
              <w:tc>
                <w:tcPr>
                  <w:tcW w:w="1323"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rPr>
                    <w:t>昼间</w:t>
                  </w:r>
                </w:p>
              </w:tc>
              <w:tc>
                <w:tcPr>
                  <w:tcW w:w="1407"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lang w:eastAsia="zh-CN"/>
                    </w:rPr>
                    <w:t>夜</w:t>
                  </w:r>
                  <w:r>
                    <w:rPr>
                      <w:rFonts w:hint="default" w:ascii="Times New Roman" w:hAnsi="Times New Roman" w:eastAsia="宋体" w:cs="Times New Roman"/>
                      <w:b/>
                      <w:bCs/>
                      <w:color w:val="000000"/>
                      <w:sz w:val="21"/>
                      <w:szCs w:val="21"/>
                    </w:rPr>
                    <w:t>间</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897"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rPr>
                  </w:pPr>
                  <w:r>
                    <w:rPr>
                      <w:rFonts w:hint="default" w:ascii="Times New Roman" w:hAnsi="Times New Roman" w:eastAsia="宋体" w:cs="Times New Roman"/>
                      <w:b w:val="0"/>
                      <w:bCs/>
                      <w:color w:val="000000"/>
                      <w:sz w:val="21"/>
                      <w:szCs w:val="21"/>
                    </w:rPr>
                    <w:t>N1</w:t>
                  </w:r>
                </w:p>
              </w:tc>
              <w:tc>
                <w:tcPr>
                  <w:tcW w:w="1446"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rPr>
                    <w:t>厂界东</w:t>
                  </w:r>
                  <w:r>
                    <w:rPr>
                      <w:rFonts w:hint="eastAsia" w:cs="Times New Roman"/>
                      <w:b w:val="0"/>
                      <w:bCs/>
                      <w:color w:val="000000"/>
                      <w:sz w:val="21"/>
                      <w:szCs w:val="21"/>
                      <w:lang w:val="en-US" w:eastAsia="zh-CN"/>
                    </w:rPr>
                    <w:t>侧</w:t>
                  </w:r>
                </w:p>
              </w:tc>
              <w:tc>
                <w:tcPr>
                  <w:tcW w:w="1323"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eastAsia="zh-CN"/>
                    </w:rPr>
                  </w:pPr>
                  <w:r>
                    <w:rPr>
                      <w:rFonts w:hint="eastAsia" w:cs="Times New Roman"/>
                      <w:b w:val="0"/>
                      <w:bCs/>
                      <w:color w:val="000000"/>
                      <w:sz w:val="21"/>
                      <w:szCs w:val="21"/>
                      <w:lang w:val="en-US" w:eastAsia="zh-CN"/>
                    </w:rPr>
                    <w:t>55.2</w:t>
                  </w:r>
                </w:p>
              </w:tc>
              <w:tc>
                <w:tcPr>
                  <w:tcW w:w="1323"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eastAsia="zh-CN"/>
                    </w:rPr>
                  </w:pPr>
                  <w:r>
                    <w:rPr>
                      <w:rFonts w:hint="eastAsia" w:cs="Times New Roman"/>
                      <w:b w:val="0"/>
                      <w:bCs/>
                      <w:color w:val="000000"/>
                      <w:sz w:val="21"/>
                      <w:szCs w:val="21"/>
                      <w:lang w:val="en-US" w:eastAsia="zh-CN"/>
                    </w:rPr>
                    <w:t>44.8</w:t>
                  </w:r>
                </w:p>
              </w:tc>
              <w:tc>
                <w:tcPr>
                  <w:tcW w:w="1323"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eastAsia="zh-CN"/>
                    </w:rPr>
                  </w:pPr>
                  <w:r>
                    <w:rPr>
                      <w:rFonts w:hint="eastAsia" w:cs="Times New Roman"/>
                      <w:b w:val="0"/>
                      <w:bCs/>
                      <w:color w:val="000000"/>
                      <w:sz w:val="21"/>
                      <w:szCs w:val="21"/>
                      <w:lang w:val="en-US" w:eastAsia="zh-CN"/>
                    </w:rPr>
                    <w:t>55.1</w:t>
                  </w:r>
                </w:p>
              </w:tc>
              <w:tc>
                <w:tcPr>
                  <w:tcW w:w="1407"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eastAsia="zh-CN"/>
                    </w:rPr>
                  </w:pPr>
                  <w:r>
                    <w:rPr>
                      <w:rFonts w:hint="eastAsia" w:cs="Times New Roman"/>
                      <w:b w:val="0"/>
                      <w:bCs/>
                      <w:color w:val="000000"/>
                      <w:sz w:val="21"/>
                      <w:szCs w:val="21"/>
                      <w:lang w:val="en-US" w:eastAsia="zh-CN"/>
                    </w:rPr>
                    <w:t>44.9</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398" w:hRule="atLeast"/>
                <w:jc w:val="center"/>
              </w:trPr>
              <w:tc>
                <w:tcPr>
                  <w:tcW w:w="897"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eastAsia="zh-CN"/>
                    </w:rPr>
                  </w:pPr>
                  <w:r>
                    <w:rPr>
                      <w:rFonts w:hint="default" w:ascii="Times New Roman" w:hAnsi="Times New Roman" w:eastAsia="宋体" w:cs="Times New Roman"/>
                      <w:b w:val="0"/>
                      <w:bCs/>
                      <w:color w:val="000000"/>
                      <w:sz w:val="21"/>
                      <w:szCs w:val="21"/>
                      <w:lang w:val="en-US" w:eastAsia="zh-CN"/>
                    </w:rPr>
                    <w:t>N2</w:t>
                  </w:r>
                </w:p>
              </w:tc>
              <w:tc>
                <w:tcPr>
                  <w:tcW w:w="1446"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rPr>
                    <w:t>厂界</w:t>
                  </w:r>
                  <w:r>
                    <w:rPr>
                      <w:rFonts w:hint="eastAsia" w:cs="Times New Roman"/>
                      <w:b w:val="0"/>
                      <w:bCs/>
                      <w:color w:val="000000"/>
                      <w:sz w:val="21"/>
                      <w:szCs w:val="21"/>
                      <w:lang w:val="en-US" w:eastAsia="zh-CN"/>
                    </w:rPr>
                    <w:t>南侧</w:t>
                  </w:r>
                </w:p>
              </w:tc>
              <w:tc>
                <w:tcPr>
                  <w:tcW w:w="1323"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eastAsia="zh-CN"/>
                    </w:rPr>
                  </w:pPr>
                  <w:r>
                    <w:rPr>
                      <w:rFonts w:hint="eastAsia" w:cs="Times New Roman"/>
                      <w:b w:val="0"/>
                      <w:bCs/>
                      <w:color w:val="000000"/>
                      <w:sz w:val="21"/>
                      <w:szCs w:val="21"/>
                      <w:lang w:val="en-US" w:eastAsia="zh-CN"/>
                    </w:rPr>
                    <w:t>55.8</w:t>
                  </w:r>
                </w:p>
              </w:tc>
              <w:tc>
                <w:tcPr>
                  <w:tcW w:w="1323"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eastAsia="zh-CN"/>
                    </w:rPr>
                  </w:pPr>
                  <w:r>
                    <w:rPr>
                      <w:rFonts w:hint="eastAsia" w:cs="Times New Roman"/>
                      <w:b w:val="0"/>
                      <w:bCs/>
                      <w:color w:val="000000"/>
                      <w:sz w:val="21"/>
                      <w:szCs w:val="21"/>
                      <w:lang w:val="en-US" w:eastAsia="zh-CN"/>
                    </w:rPr>
                    <w:t>45.1</w:t>
                  </w:r>
                </w:p>
              </w:tc>
              <w:tc>
                <w:tcPr>
                  <w:tcW w:w="1323"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eastAsia="zh-CN"/>
                    </w:rPr>
                  </w:pPr>
                  <w:r>
                    <w:rPr>
                      <w:rFonts w:hint="eastAsia" w:cs="Times New Roman"/>
                      <w:b w:val="0"/>
                      <w:bCs/>
                      <w:color w:val="000000"/>
                      <w:sz w:val="21"/>
                      <w:szCs w:val="21"/>
                      <w:lang w:val="en-US" w:eastAsia="zh-CN"/>
                    </w:rPr>
                    <w:t>55.6</w:t>
                  </w:r>
                </w:p>
              </w:tc>
              <w:tc>
                <w:tcPr>
                  <w:tcW w:w="1407"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eastAsia="zh-CN"/>
                    </w:rPr>
                  </w:pPr>
                  <w:r>
                    <w:rPr>
                      <w:rFonts w:hint="eastAsia" w:cs="Times New Roman"/>
                      <w:b w:val="0"/>
                      <w:bCs/>
                      <w:color w:val="000000"/>
                      <w:sz w:val="21"/>
                      <w:szCs w:val="21"/>
                      <w:lang w:val="en-US" w:eastAsia="zh-CN"/>
                    </w:rPr>
                    <w:t>45.3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897"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eastAsia="zh-CN"/>
                    </w:rPr>
                  </w:pPr>
                  <w:r>
                    <w:rPr>
                      <w:rFonts w:hint="default" w:ascii="Times New Roman" w:hAnsi="Times New Roman" w:eastAsia="宋体" w:cs="Times New Roman"/>
                      <w:b w:val="0"/>
                      <w:bCs/>
                      <w:color w:val="000000"/>
                      <w:sz w:val="21"/>
                      <w:szCs w:val="21"/>
                    </w:rPr>
                    <w:t>N</w:t>
                  </w:r>
                  <w:r>
                    <w:rPr>
                      <w:rFonts w:hint="default" w:ascii="Times New Roman" w:hAnsi="Times New Roman" w:eastAsia="宋体" w:cs="Times New Roman"/>
                      <w:b w:val="0"/>
                      <w:bCs/>
                      <w:color w:val="000000"/>
                      <w:sz w:val="21"/>
                      <w:szCs w:val="21"/>
                      <w:lang w:val="en-US" w:eastAsia="zh-CN"/>
                    </w:rPr>
                    <w:t>3</w:t>
                  </w:r>
                </w:p>
              </w:tc>
              <w:tc>
                <w:tcPr>
                  <w:tcW w:w="1446"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rPr>
                    <w:t>厂界</w:t>
                  </w:r>
                  <w:r>
                    <w:rPr>
                      <w:rFonts w:hint="eastAsia" w:cs="Times New Roman"/>
                      <w:b w:val="0"/>
                      <w:bCs/>
                      <w:color w:val="000000"/>
                      <w:sz w:val="21"/>
                      <w:szCs w:val="21"/>
                      <w:lang w:val="en-US" w:eastAsia="zh-CN"/>
                    </w:rPr>
                    <w:t>西侧</w:t>
                  </w:r>
                </w:p>
              </w:tc>
              <w:tc>
                <w:tcPr>
                  <w:tcW w:w="1323"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eastAsia="zh-CN"/>
                    </w:rPr>
                  </w:pPr>
                  <w:r>
                    <w:rPr>
                      <w:rFonts w:hint="eastAsia" w:cs="Times New Roman"/>
                      <w:b w:val="0"/>
                      <w:bCs/>
                      <w:color w:val="000000"/>
                      <w:sz w:val="21"/>
                      <w:szCs w:val="21"/>
                      <w:lang w:val="en-US" w:eastAsia="zh-CN"/>
                    </w:rPr>
                    <w:t>55.4</w:t>
                  </w:r>
                </w:p>
              </w:tc>
              <w:tc>
                <w:tcPr>
                  <w:tcW w:w="1323"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eastAsia="zh-CN"/>
                    </w:rPr>
                  </w:pPr>
                  <w:r>
                    <w:rPr>
                      <w:rFonts w:hint="eastAsia" w:cs="Times New Roman"/>
                      <w:b w:val="0"/>
                      <w:bCs/>
                      <w:color w:val="000000"/>
                      <w:sz w:val="21"/>
                      <w:szCs w:val="21"/>
                      <w:lang w:val="en-US" w:eastAsia="zh-CN"/>
                    </w:rPr>
                    <w:t>44.9</w:t>
                  </w:r>
                </w:p>
              </w:tc>
              <w:tc>
                <w:tcPr>
                  <w:tcW w:w="1323"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eastAsia="zh-CN"/>
                    </w:rPr>
                  </w:pPr>
                  <w:r>
                    <w:rPr>
                      <w:rFonts w:hint="eastAsia" w:cs="Times New Roman"/>
                      <w:b w:val="0"/>
                      <w:bCs/>
                      <w:color w:val="000000"/>
                      <w:sz w:val="21"/>
                      <w:szCs w:val="21"/>
                      <w:lang w:val="en-US" w:eastAsia="zh-CN"/>
                    </w:rPr>
                    <w:t>55.0</w:t>
                  </w:r>
                </w:p>
              </w:tc>
              <w:tc>
                <w:tcPr>
                  <w:tcW w:w="1407"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eastAsia="zh-CN"/>
                    </w:rPr>
                  </w:pPr>
                  <w:r>
                    <w:rPr>
                      <w:rFonts w:hint="eastAsia" w:cs="Times New Roman"/>
                      <w:b w:val="0"/>
                      <w:bCs/>
                      <w:color w:val="000000"/>
                      <w:sz w:val="21"/>
                      <w:szCs w:val="21"/>
                      <w:lang w:val="en-US" w:eastAsia="zh-CN"/>
                    </w:rPr>
                    <w:t>45.1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897"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rPr>
                  </w:pPr>
                  <w:r>
                    <w:rPr>
                      <w:rFonts w:hint="default" w:ascii="Times New Roman" w:hAnsi="Times New Roman" w:eastAsia="宋体" w:cs="Times New Roman"/>
                      <w:b w:val="0"/>
                      <w:bCs/>
                      <w:color w:val="000000"/>
                      <w:sz w:val="21"/>
                      <w:szCs w:val="21"/>
                      <w:lang w:val="en-US" w:eastAsia="zh-CN"/>
                    </w:rPr>
                    <w:t>N4</w:t>
                  </w:r>
                </w:p>
              </w:tc>
              <w:tc>
                <w:tcPr>
                  <w:tcW w:w="1446"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rPr>
                    <w:t>厂界</w:t>
                  </w:r>
                  <w:r>
                    <w:rPr>
                      <w:rFonts w:hint="eastAsia" w:cs="Times New Roman"/>
                      <w:b w:val="0"/>
                      <w:bCs/>
                      <w:color w:val="000000"/>
                      <w:sz w:val="21"/>
                      <w:szCs w:val="21"/>
                      <w:lang w:val="en-US" w:eastAsia="zh-CN"/>
                    </w:rPr>
                    <w:t>北侧</w:t>
                  </w:r>
                </w:p>
              </w:tc>
              <w:tc>
                <w:tcPr>
                  <w:tcW w:w="1323"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eastAsia="zh-CN"/>
                    </w:rPr>
                  </w:pPr>
                  <w:r>
                    <w:rPr>
                      <w:rFonts w:hint="eastAsia" w:cs="Times New Roman"/>
                      <w:b w:val="0"/>
                      <w:bCs/>
                      <w:color w:val="000000"/>
                      <w:sz w:val="21"/>
                      <w:szCs w:val="21"/>
                      <w:lang w:val="en-US" w:eastAsia="zh-CN"/>
                    </w:rPr>
                    <w:t>56.4</w:t>
                  </w:r>
                </w:p>
              </w:tc>
              <w:tc>
                <w:tcPr>
                  <w:tcW w:w="1323"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eastAsia="zh-CN"/>
                    </w:rPr>
                  </w:pPr>
                  <w:r>
                    <w:rPr>
                      <w:rFonts w:hint="eastAsia" w:cs="Times New Roman"/>
                      <w:b w:val="0"/>
                      <w:bCs/>
                      <w:color w:val="000000"/>
                      <w:sz w:val="21"/>
                      <w:szCs w:val="21"/>
                      <w:lang w:val="en-US" w:eastAsia="zh-CN"/>
                    </w:rPr>
                    <w:t>45.5</w:t>
                  </w:r>
                </w:p>
              </w:tc>
              <w:tc>
                <w:tcPr>
                  <w:tcW w:w="1323"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eastAsia="zh-CN"/>
                    </w:rPr>
                  </w:pPr>
                  <w:r>
                    <w:rPr>
                      <w:rFonts w:hint="eastAsia" w:cs="Times New Roman"/>
                      <w:b w:val="0"/>
                      <w:bCs/>
                      <w:color w:val="000000"/>
                      <w:sz w:val="21"/>
                      <w:szCs w:val="21"/>
                      <w:lang w:val="en-US" w:eastAsia="zh-CN"/>
                    </w:rPr>
                    <w:t>56.3</w:t>
                  </w:r>
                </w:p>
              </w:tc>
              <w:tc>
                <w:tcPr>
                  <w:tcW w:w="1407"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eastAsia="zh-CN"/>
                    </w:rPr>
                  </w:pPr>
                  <w:r>
                    <w:rPr>
                      <w:rFonts w:hint="eastAsia" w:cs="Times New Roman"/>
                      <w:b w:val="0"/>
                      <w:bCs/>
                      <w:color w:val="000000"/>
                      <w:sz w:val="21"/>
                      <w:szCs w:val="21"/>
                      <w:lang w:val="en-US" w:eastAsia="zh-CN"/>
                    </w:rPr>
                    <w:t>45.8</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2343" w:type="dxa"/>
                  <w:gridSpan w:val="2"/>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bCs w:val="0"/>
                      <w:color w:val="000000"/>
                      <w:sz w:val="21"/>
                      <w:szCs w:val="21"/>
                    </w:rPr>
                  </w:pPr>
                  <w:r>
                    <w:rPr>
                      <w:rFonts w:hint="default" w:ascii="Times New Roman" w:hAnsi="Times New Roman" w:eastAsia="宋体" w:cs="Times New Roman"/>
                      <w:b w:val="0"/>
                      <w:bCs/>
                      <w:color w:val="000000"/>
                      <w:sz w:val="21"/>
                      <w:szCs w:val="21"/>
                    </w:rPr>
                    <w:t>标准限值</w:t>
                  </w:r>
                </w:p>
              </w:tc>
              <w:tc>
                <w:tcPr>
                  <w:tcW w:w="1323"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val="0"/>
                      <w:color w:val="auto"/>
                      <w:sz w:val="21"/>
                      <w:szCs w:val="21"/>
                      <w:lang w:val="en-US" w:eastAsia="zh-CN"/>
                    </w:rPr>
                    <w:t>65</w:t>
                  </w:r>
                </w:p>
              </w:tc>
              <w:tc>
                <w:tcPr>
                  <w:tcW w:w="1323"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val="0"/>
                      <w:color w:val="auto"/>
                      <w:sz w:val="21"/>
                      <w:szCs w:val="21"/>
                      <w:lang w:val="en-US" w:eastAsia="zh-CN"/>
                    </w:rPr>
                    <w:t>55</w:t>
                  </w:r>
                </w:p>
              </w:tc>
              <w:tc>
                <w:tcPr>
                  <w:tcW w:w="1323"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val="0"/>
                      <w:color w:val="auto"/>
                      <w:sz w:val="21"/>
                      <w:szCs w:val="21"/>
                      <w:lang w:val="en-US" w:eastAsia="zh-CN"/>
                    </w:rPr>
                    <w:t>65</w:t>
                  </w:r>
                </w:p>
              </w:tc>
              <w:tc>
                <w:tcPr>
                  <w:tcW w:w="1407"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val="0"/>
                      <w:color w:val="auto"/>
                      <w:sz w:val="21"/>
                      <w:szCs w:val="21"/>
                      <w:lang w:val="en-US" w:eastAsia="zh-CN"/>
                    </w:rPr>
                    <w:t>55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2343" w:type="dxa"/>
                  <w:gridSpan w:val="2"/>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eastAsia="zh-CN"/>
                    </w:rPr>
                  </w:pPr>
                  <w:r>
                    <w:rPr>
                      <w:rFonts w:hint="default" w:ascii="Times New Roman" w:hAnsi="Times New Roman" w:eastAsia="宋体" w:cs="Times New Roman"/>
                      <w:b w:val="0"/>
                      <w:bCs/>
                      <w:color w:val="000000"/>
                      <w:sz w:val="21"/>
                      <w:szCs w:val="21"/>
                      <w:lang w:val="en-US" w:eastAsia="zh-CN"/>
                    </w:rPr>
                    <w:t>执行标准</w:t>
                  </w:r>
                </w:p>
              </w:tc>
              <w:tc>
                <w:tcPr>
                  <w:tcW w:w="5376" w:type="dxa"/>
                  <w:gridSpan w:val="4"/>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both"/>
                    <w:textAlignment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i w:val="0"/>
                      <w:color w:val="auto"/>
                      <w:kern w:val="0"/>
                      <w:sz w:val="21"/>
                      <w:szCs w:val="21"/>
                      <w:u w:val="none"/>
                      <w:lang w:val="en-US" w:eastAsia="zh-CN" w:bidi="ar"/>
                    </w:rPr>
                    <w:t>《工业企业厂界环境噪声排放标准》（GB12348-2008） 表1中3类。</w:t>
                  </w:r>
                </w:p>
              </w:tc>
            </w:tr>
          </w:tbl>
          <w:p>
            <w:pPr>
              <w:pStyle w:val="87"/>
              <w:ind w:firstLine="477" w:firstLineChars="199"/>
              <w:rPr>
                <w:rFonts w:ascii="Times New Roman" w:hAnsi="Times New Roman" w:cs="宋体"/>
                <w:szCs w:val="21"/>
              </w:rPr>
            </w:pPr>
            <w:r>
              <w:rPr>
                <w:rFonts w:hint="eastAsia"/>
                <w:bCs/>
                <w:sz w:val="24"/>
              </w:rPr>
              <w:t xml:space="preserve"> </w:t>
            </w:r>
            <w:r>
              <w:rPr>
                <w:rFonts w:ascii="Times New Roman" w:hAnsi="Times New Roman"/>
                <w:color w:val="000000"/>
              </w:rPr>
              <w:t>根据监测结果，建设项目各厂界的声环境质量现状监测值可满足《声环境质量标准》（GB3096-2008）中的3类标准要求</w:t>
            </w:r>
            <w:r>
              <w:rPr>
                <w:rFonts w:hint="eastAsia" w:ascii="Times New Roman" w:hAnsi="Times New Roman"/>
                <w:color w:val="000000"/>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00" w:hRule="atLeast"/>
          <w:jc w:val="center"/>
        </w:trPr>
        <w:tc>
          <w:tcPr>
            <w:tcW w:w="992" w:type="dxa"/>
            <w:vAlign w:val="center"/>
          </w:tcPr>
          <w:p>
            <w:pPr>
              <w:adjustRightInd w:val="0"/>
              <w:snapToGrid w:val="0"/>
              <w:jc w:val="center"/>
              <w:rPr>
                <w:rFonts w:cs="宋体"/>
                <w:kern w:val="0"/>
                <w:sz w:val="24"/>
              </w:rPr>
            </w:pPr>
            <w:r>
              <w:rPr>
                <w:rFonts w:hint="eastAsia" w:cs="宋体"/>
                <w:kern w:val="0"/>
                <w:sz w:val="24"/>
              </w:rPr>
              <w:t>环境</w:t>
            </w:r>
          </w:p>
          <w:p>
            <w:pPr>
              <w:adjustRightInd w:val="0"/>
              <w:snapToGrid w:val="0"/>
              <w:jc w:val="center"/>
              <w:rPr>
                <w:rFonts w:cs="宋体"/>
                <w:kern w:val="0"/>
                <w:sz w:val="24"/>
              </w:rPr>
            </w:pPr>
            <w:r>
              <w:rPr>
                <w:rFonts w:hint="eastAsia" w:cs="宋体"/>
                <w:kern w:val="0"/>
                <w:sz w:val="24"/>
              </w:rPr>
              <w:t>保护</w:t>
            </w:r>
          </w:p>
          <w:p>
            <w:pPr>
              <w:adjustRightInd w:val="0"/>
              <w:snapToGrid w:val="0"/>
              <w:jc w:val="center"/>
              <w:rPr>
                <w:rFonts w:cs="宋体"/>
                <w:kern w:val="0"/>
                <w:sz w:val="24"/>
              </w:rPr>
            </w:pPr>
            <w:r>
              <w:rPr>
                <w:rFonts w:hint="eastAsia" w:cs="宋体"/>
                <w:kern w:val="0"/>
                <w:sz w:val="24"/>
              </w:rPr>
              <w:t>目标</w:t>
            </w:r>
          </w:p>
        </w:tc>
        <w:tc>
          <w:tcPr>
            <w:tcW w:w="8069" w:type="dxa"/>
            <w:vAlign w:val="center"/>
          </w:tcPr>
          <w:p>
            <w:pPr>
              <w:spacing w:line="440" w:lineRule="atLeast"/>
              <w:ind w:left="-13" w:leftChars="-34" w:hanging="58" w:hangingChars="24"/>
              <w:rPr>
                <w:b/>
                <w:color w:val="auto"/>
                <w:sz w:val="24"/>
              </w:rPr>
            </w:pPr>
            <w:r>
              <w:rPr>
                <w:rFonts w:hint="eastAsia"/>
                <w:b/>
                <w:color w:val="auto"/>
                <w:sz w:val="24"/>
              </w:rPr>
              <w:t>主要环境保护目标（列出名单及保护级别）：</w:t>
            </w:r>
          </w:p>
          <w:p>
            <w:pPr>
              <w:adjustRightInd w:val="0"/>
              <w:spacing w:line="460" w:lineRule="exact"/>
              <w:ind w:firstLine="480" w:firstLineChars="200"/>
              <w:rPr>
                <w:rFonts w:hint="eastAsia" w:ascii="Times New Roman" w:hAnsi="Times New Roman" w:eastAsia="宋体" w:cs="Times New Roman"/>
                <w:color w:val="000000"/>
                <w:kern w:val="0"/>
                <w:sz w:val="24"/>
              </w:rPr>
            </w:pPr>
            <w:r>
              <w:rPr>
                <w:rFonts w:hint="eastAsia" w:ascii="Times New Roman" w:hAnsi="Times New Roman" w:eastAsia="宋体" w:cs="Times New Roman"/>
                <w:color w:val="000000"/>
                <w:kern w:val="0"/>
                <w:sz w:val="24"/>
              </w:rPr>
              <w:t>本项目位于芜湖市三山区春洲路2号</w:t>
            </w:r>
            <w:r>
              <w:rPr>
                <w:rFonts w:hint="eastAsia" w:ascii="Times New Roman" w:hAnsi="Times New Roman" w:eastAsia="宋体" w:cs="Times New Roman"/>
                <w:color w:val="000000"/>
                <w:kern w:val="0"/>
                <w:sz w:val="24"/>
                <w:lang w:eastAsia="zh-CN"/>
              </w:rPr>
              <w:t>，</w:t>
            </w:r>
            <w:r>
              <w:rPr>
                <w:rFonts w:hint="eastAsia" w:ascii="Times New Roman" w:hAnsi="Times New Roman" w:eastAsia="宋体" w:cs="Times New Roman"/>
                <w:color w:val="000000"/>
                <w:kern w:val="0"/>
                <w:sz w:val="24"/>
              </w:rPr>
              <w:t>根据现场踏勘结果</w:t>
            </w:r>
            <w:r>
              <w:rPr>
                <w:rFonts w:hint="eastAsia" w:ascii="Times New Roman" w:hAnsi="Times New Roman" w:eastAsia="宋体" w:cs="Times New Roman"/>
                <w:color w:val="000000"/>
                <w:kern w:val="0"/>
                <w:sz w:val="24"/>
                <w:lang w:eastAsia="zh-CN"/>
              </w:rPr>
              <w:t>，</w:t>
            </w:r>
            <w:r>
              <w:rPr>
                <w:rFonts w:hint="eastAsia" w:ascii="Times New Roman" w:hAnsi="Times New Roman" w:eastAsia="宋体" w:cs="Times New Roman"/>
                <w:color w:val="000000"/>
                <w:kern w:val="0"/>
                <w:sz w:val="24"/>
                <w:lang w:val="en-US" w:eastAsia="zh-CN"/>
              </w:rPr>
              <w:t>项目</w:t>
            </w:r>
            <w:r>
              <w:rPr>
                <w:rFonts w:hint="eastAsia" w:ascii="Times New Roman" w:hAnsi="Times New Roman" w:eastAsia="宋体" w:cs="Times New Roman"/>
                <w:color w:val="000000"/>
                <w:kern w:val="0"/>
                <w:sz w:val="24"/>
              </w:rPr>
              <w:t>评价范围内无自然保护区、风景旅游点和文物古迹等需要特殊保护的环境敏感对象。保护目标为总体上不因本项目的实施而改变区域环境现有功能，具体环境保护目标如下：</w:t>
            </w:r>
          </w:p>
          <w:p>
            <w:pPr>
              <w:adjustRightInd w:val="0"/>
              <w:spacing w:line="460" w:lineRule="exact"/>
              <w:ind w:firstLine="480" w:firstLineChars="200"/>
              <w:rPr>
                <w:rFonts w:hint="eastAsia" w:ascii="Times New Roman" w:hAnsi="Times New Roman" w:eastAsia="宋体" w:cs="Times New Roman"/>
                <w:color w:val="000000"/>
                <w:kern w:val="0"/>
                <w:sz w:val="24"/>
              </w:rPr>
            </w:pPr>
            <w:r>
              <w:rPr>
                <w:rFonts w:hint="eastAsia" w:ascii="Times New Roman" w:hAnsi="Times New Roman" w:eastAsia="宋体" w:cs="Times New Roman"/>
                <w:color w:val="000000"/>
                <w:kern w:val="0"/>
                <w:sz w:val="24"/>
              </w:rPr>
              <w:t>（1）区域地表水体长江以《地表水环境质量标准》（GB3838-2002）III类保护。</w:t>
            </w:r>
          </w:p>
          <w:p>
            <w:pPr>
              <w:adjustRightInd w:val="0"/>
              <w:spacing w:line="460" w:lineRule="exact"/>
              <w:ind w:firstLine="480" w:firstLineChars="200"/>
              <w:rPr>
                <w:rFonts w:hint="eastAsia" w:ascii="Times New Roman" w:hAnsi="Times New Roman" w:eastAsia="宋体" w:cs="Times New Roman"/>
                <w:color w:val="000000"/>
                <w:kern w:val="0"/>
                <w:sz w:val="24"/>
              </w:rPr>
            </w:pPr>
            <w:r>
              <w:rPr>
                <w:rFonts w:hint="eastAsia" w:ascii="Times New Roman" w:hAnsi="Times New Roman" w:eastAsia="宋体" w:cs="Times New Roman"/>
                <w:color w:val="000000"/>
                <w:kern w:val="0"/>
                <w:sz w:val="24"/>
              </w:rPr>
              <w:t>（2）保护项目区域所在地环境空气质量达到《环境空气质量标准》（GB3095-2012）中的二级标准；</w:t>
            </w:r>
          </w:p>
          <w:p>
            <w:pPr>
              <w:adjustRightInd w:val="0"/>
              <w:spacing w:line="460" w:lineRule="exact"/>
              <w:ind w:firstLine="480" w:firstLineChars="200"/>
              <w:rPr>
                <w:rFonts w:hint="eastAsia" w:ascii="Times New Roman" w:hAnsi="Times New Roman" w:eastAsia="宋体" w:cs="Times New Roman"/>
                <w:color w:val="000000"/>
                <w:kern w:val="0"/>
                <w:sz w:val="24"/>
              </w:rPr>
            </w:pPr>
            <w:r>
              <w:rPr>
                <w:rFonts w:hint="eastAsia" w:ascii="Times New Roman" w:hAnsi="Times New Roman" w:eastAsia="宋体" w:cs="Times New Roman"/>
                <w:color w:val="000000"/>
                <w:kern w:val="0"/>
                <w:sz w:val="24"/>
              </w:rPr>
              <w:t>（3）保护项目区周围环境噪声满足《声环境质量标准》（GB3096-2008）中3类功能区标准。</w:t>
            </w:r>
          </w:p>
          <w:p>
            <w:pPr>
              <w:adjustRightInd w:val="0"/>
              <w:spacing w:line="460" w:lineRule="exact"/>
              <w:ind w:firstLine="480" w:firstLineChars="200"/>
              <w:rPr>
                <w:rFonts w:hint="eastAsia" w:ascii="Times New Roman" w:hAnsi="Times New Roman" w:eastAsia="宋体" w:cs="Times New Roman"/>
                <w:color w:val="000000"/>
                <w:kern w:val="0"/>
                <w:sz w:val="24"/>
              </w:rPr>
            </w:pPr>
            <w:r>
              <w:rPr>
                <w:rFonts w:hint="eastAsia" w:ascii="Times New Roman" w:hAnsi="Times New Roman" w:eastAsia="宋体" w:cs="Times New Roman"/>
                <w:color w:val="000000"/>
                <w:kern w:val="0"/>
                <w:sz w:val="24"/>
              </w:rPr>
              <w:t>其主要环境保护目标详见下表。</w:t>
            </w:r>
          </w:p>
          <w:p>
            <w:pPr>
              <w:adjustRightInd w:val="0"/>
              <w:spacing w:line="460" w:lineRule="exact"/>
              <w:ind w:firstLine="480" w:firstLineChars="200"/>
              <w:rPr>
                <w:rFonts w:hint="eastAsia" w:ascii="Times New Roman" w:hAnsi="Times New Roman" w:eastAsia="宋体" w:cs="Times New Roman"/>
                <w:color w:val="000000"/>
                <w:kern w:val="0"/>
                <w:sz w:val="24"/>
              </w:rPr>
            </w:pPr>
            <w:r>
              <w:rPr>
                <w:rFonts w:hint="eastAsia" w:ascii="Times New Roman" w:hAnsi="Times New Roman" w:eastAsia="宋体" w:cs="Times New Roman"/>
                <w:color w:val="000000"/>
                <w:kern w:val="0"/>
                <w:sz w:val="24"/>
              </w:rPr>
              <w:t>本项目500m范围内无环境空气保护目标</w:t>
            </w:r>
          </w:p>
          <w:p>
            <w:pPr>
              <w:spacing w:line="480" w:lineRule="exact"/>
              <w:jc w:val="center"/>
              <w:rPr>
                <w:b/>
                <w:bCs/>
                <w:color w:val="000000"/>
                <w:sz w:val="24"/>
              </w:rPr>
            </w:pPr>
            <w:r>
              <w:rPr>
                <w:b/>
                <w:bCs/>
                <w:color w:val="000000"/>
                <w:sz w:val="24"/>
              </w:rPr>
              <w:t>表3-</w:t>
            </w:r>
            <w:r>
              <w:rPr>
                <w:rFonts w:hint="eastAsia"/>
                <w:b/>
                <w:bCs/>
                <w:color w:val="000000"/>
                <w:sz w:val="24"/>
                <w:lang w:val="en-US" w:eastAsia="zh-CN"/>
              </w:rPr>
              <w:t>4</w:t>
            </w:r>
            <w:r>
              <w:rPr>
                <w:b/>
                <w:bCs/>
                <w:color w:val="000000"/>
                <w:sz w:val="24"/>
              </w:rPr>
              <w:t xml:space="preserve">  环境保护目标一览表</w:t>
            </w:r>
          </w:p>
          <w:tbl>
            <w:tblPr>
              <w:tblStyle w:val="26"/>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43"/>
              <w:gridCol w:w="1310"/>
              <w:gridCol w:w="988"/>
              <w:gridCol w:w="1395"/>
              <w:gridCol w:w="1298"/>
              <w:gridCol w:w="2120"/>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473" w:type="pct"/>
                  <w:tcBorders>
                    <w:top w:val="single" w:color="auto" w:sz="4" w:space="0"/>
                    <w:bottom w:val="single" w:color="auto" w:sz="4" w:space="0"/>
                    <w:right w:val="single" w:color="auto" w:sz="4" w:space="0"/>
                  </w:tcBorders>
                  <w:vAlign w:val="center"/>
                </w:tcPr>
                <w:p>
                  <w:pPr>
                    <w:spacing w:line="240" w:lineRule="atLeast"/>
                    <w:jc w:val="center"/>
                    <w:rPr>
                      <w:b/>
                      <w:bCs/>
                      <w:color w:val="000000"/>
                    </w:rPr>
                  </w:pPr>
                  <w:r>
                    <w:rPr>
                      <w:b/>
                      <w:bCs/>
                      <w:color w:val="000000"/>
                    </w:rPr>
                    <w:t>环境</w:t>
                  </w:r>
                </w:p>
                <w:p>
                  <w:pPr>
                    <w:spacing w:line="240" w:lineRule="atLeast"/>
                    <w:jc w:val="center"/>
                    <w:rPr>
                      <w:b/>
                      <w:bCs/>
                      <w:color w:val="000000"/>
                    </w:rPr>
                  </w:pPr>
                  <w:r>
                    <w:rPr>
                      <w:b/>
                      <w:bCs/>
                      <w:color w:val="000000"/>
                    </w:rPr>
                    <w:t>要素</w:t>
                  </w:r>
                </w:p>
              </w:tc>
              <w:tc>
                <w:tcPr>
                  <w:tcW w:w="833" w:type="pct"/>
                  <w:tcBorders>
                    <w:top w:val="single" w:color="auto" w:sz="4" w:space="0"/>
                    <w:left w:val="nil"/>
                    <w:bottom w:val="single" w:color="auto" w:sz="4" w:space="0"/>
                    <w:right w:val="single" w:color="auto" w:sz="4" w:space="0"/>
                  </w:tcBorders>
                  <w:vAlign w:val="center"/>
                </w:tcPr>
                <w:p>
                  <w:pPr>
                    <w:spacing w:line="240" w:lineRule="atLeast"/>
                    <w:jc w:val="center"/>
                    <w:rPr>
                      <w:b/>
                      <w:bCs/>
                      <w:color w:val="000000"/>
                    </w:rPr>
                  </w:pPr>
                  <w:r>
                    <w:rPr>
                      <w:b/>
                      <w:bCs/>
                      <w:color w:val="000000"/>
                    </w:rPr>
                    <w:t>名称</w:t>
                  </w:r>
                </w:p>
              </w:tc>
              <w:tc>
                <w:tcPr>
                  <w:tcW w:w="628" w:type="pct"/>
                  <w:tcBorders>
                    <w:top w:val="single" w:color="auto" w:sz="4" w:space="0"/>
                    <w:left w:val="nil"/>
                    <w:bottom w:val="single" w:color="auto" w:sz="4" w:space="0"/>
                    <w:right w:val="single" w:color="auto" w:sz="4" w:space="0"/>
                  </w:tcBorders>
                  <w:vAlign w:val="center"/>
                </w:tcPr>
                <w:p>
                  <w:pPr>
                    <w:spacing w:line="240" w:lineRule="atLeast"/>
                    <w:jc w:val="center"/>
                    <w:rPr>
                      <w:b/>
                      <w:bCs/>
                      <w:color w:val="000000"/>
                    </w:rPr>
                  </w:pPr>
                  <w:r>
                    <w:rPr>
                      <w:b/>
                      <w:bCs/>
                      <w:color w:val="000000"/>
                    </w:rPr>
                    <w:t>相对项</w:t>
                  </w:r>
                </w:p>
                <w:p>
                  <w:pPr>
                    <w:spacing w:line="240" w:lineRule="atLeast"/>
                    <w:jc w:val="center"/>
                    <w:rPr>
                      <w:b/>
                      <w:bCs/>
                      <w:color w:val="000000"/>
                    </w:rPr>
                  </w:pPr>
                  <w:r>
                    <w:rPr>
                      <w:b/>
                      <w:bCs/>
                      <w:color w:val="000000"/>
                    </w:rPr>
                    <w:t>目方位</w:t>
                  </w:r>
                </w:p>
              </w:tc>
              <w:tc>
                <w:tcPr>
                  <w:tcW w:w="888" w:type="pct"/>
                  <w:tcBorders>
                    <w:top w:val="single" w:color="auto" w:sz="4" w:space="0"/>
                    <w:left w:val="nil"/>
                    <w:bottom w:val="single" w:color="auto" w:sz="4" w:space="0"/>
                    <w:right w:val="single" w:color="auto" w:sz="4" w:space="0"/>
                  </w:tcBorders>
                  <w:vAlign w:val="center"/>
                </w:tcPr>
                <w:p>
                  <w:pPr>
                    <w:spacing w:line="240" w:lineRule="atLeast"/>
                    <w:jc w:val="center"/>
                    <w:rPr>
                      <w:b/>
                      <w:bCs/>
                      <w:color w:val="000000"/>
                    </w:rPr>
                  </w:pPr>
                  <w:r>
                    <w:rPr>
                      <w:b/>
                      <w:bCs/>
                      <w:color w:val="000000"/>
                    </w:rPr>
                    <w:t>与项目厂界最近距离m</w:t>
                  </w:r>
                </w:p>
              </w:tc>
              <w:tc>
                <w:tcPr>
                  <w:tcW w:w="826" w:type="pct"/>
                  <w:tcBorders>
                    <w:top w:val="single" w:color="auto" w:sz="4" w:space="0"/>
                    <w:left w:val="nil"/>
                    <w:bottom w:val="single" w:color="auto" w:sz="4" w:space="0"/>
                    <w:right w:val="single" w:color="auto" w:sz="4" w:space="0"/>
                  </w:tcBorders>
                  <w:vAlign w:val="center"/>
                </w:tcPr>
                <w:p>
                  <w:pPr>
                    <w:spacing w:line="240" w:lineRule="atLeast"/>
                    <w:jc w:val="center"/>
                    <w:rPr>
                      <w:b/>
                      <w:bCs/>
                      <w:color w:val="000000"/>
                    </w:rPr>
                  </w:pPr>
                  <w:r>
                    <w:rPr>
                      <w:b/>
                      <w:bCs/>
                      <w:color w:val="000000"/>
                    </w:rPr>
                    <w:t>规模</w:t>
                  </w:r>
                </w:p>
              </w:tc>
              <w:tc>
                <w:tcPr>
                  <w:tcW w:w="1349" w:type="pct"/>
                  <w:tcBorders>
                    <w:top w:val="single" w:color="auto" w:sz="4" w:space="0"/>
                    <w:left w:val="nil"/>
                    <w:bottom w:val="single" w:color="auto" w:sz="4" w:space="0"/>
                  </w:tcBorders>
                  <w:vAlign w:val="center"/>
                </w:tcPr>
                <w:p>
                  <w:pPr>
                    <w:spacing w:line="240" w:lineRule="atLeast"/>
                    <w:jc w:val="center"/>
                    <w:rPr>
                      <w:b/>
                      <w:bCs/>
                      <w:color w:val="000000"/>
                    </w:rPr>
                  </w:pPr>
                  <w:r>
                    <w:rPr>
                      <w:b/>
                      <w:bCs/>
                      <w:color w:val="000000"/>
                    </w:rPr>
                    <w:t>环境保护级别</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473" w:type="pct"/>
                  <w:tcBorders>
                    <w:top w:val="single" w:color="auto" w:sz="4" w:space="0"/>
                    <w:bottom w:val="single" w:color="auto" w:sz="4" w:space="0"/>
                    <w:right w:val="single" w:color="auto" w:sz="4" w:space="0"/>
                  </w:tcBorders>
                  <w:vAlign w:val="center"/>
                </w:tcPr>
                <w:p>
                  <w:pPr>
                    <w:spacing w:line="240" w:lineRule="atLeast"/>
                    <w:jc w:val="center"/>
                    <w:rPr>
                      <w:color w:val="000000"/>
                    </w:rPr>
                  </w:pPr>
                  <w:r>
                    <w:rPr>
                      <w:color w:val="000000"/>
                    </w:rPr>
                    <w:t>水环境</w:t>
                  </w:r>
                </w:p>
              </w:tc>
              <w:tc>
                <w:tcPr>
                  <w:tcW w:w="833" w:type="pct"/>
                  <w:tcBorders>
                    <w:top w:val="single" w:color="auto" w:sz="4" w:space="0"/>
                    <w:left w:val="nil"/>
                    <w:bottom w:val="single" w:color="auto" w:sz="4" w:space="0"/>
                    <w:right w:val="single" w:color="auto" w:sz="4" w:space="0"/>
                  </w:tcBorders>
                  <w:vAlign w:val="center"/>
                </w:tcPr>
                <w:p>
                  <w:pPr>
                    <w:pStyle w:val="54"/>
                    <w:autoSpaceDE w:val="0"/>
                    <w:autoSpaceDN w:val="0"/>
                    <w:spacing w:line="240" w:lineRule="atLeast"/>
                    <w:jc w:val="center"/>
                    <w:rPr>
                      <w:rFonts w:ascii="Times New Roman" w:hAnsi="Times New Roman"/>
                      <w:color w:val="000000"/>
                      <w:kern w:val="2"/>
                    </w:rPr>
                  </w:pPr>
                  <w:r>
                    <w:rPr>
                      <w:rFonts w:ascii="Times New Roman" w:hAnsi="Times New Roman"/>
                      <w:color w:val="000000"/>
                      <w:kern w:val="2"/>
                      <w:sz w:val="21"/>
                      <w:szCs w:val="21"/>
                    </w:rPr>
                    <w:t>长江（评价河段）</w:t>
                  </w:r>
                </w:p>
              </w:tc>
              <w:tc>
                <w:tcPr>
                  <w:tcW w:w="628" w:type="pct"/>
                  <w:tcBorders>
                    <w:top w:val="single" w:color="auto" w:sz="4" w:space="0"/>
                    <w:left w:val="nil"/>
                    <w:bottom w:val="single" w:color="auto" w:sz="4" w:space="0"/>
                    <w:right w:val="single" w:color="auto" w:sz="4" w:space="0"/>
                  </w:tcBorders>
                  <w:vAlign w:val="center"/>
                </w:tcPr>
                <w:p>
                  <w:pPr>
                    <w:pStyle w:val="54"/>
                    <w:autoSpaceDE w:val="0"/>
                    <w:autoSpaceDN w:val="0"/>
                    <w:spacing w:line="240" w:lineRule="atLeast"/>
                    <w:jc w:val="center"/>
                    <w:rPr>
                      <w:rFonts w:ascii="Times New Roman" w:hAnsi="Times New Roman"/>
                      <w:color w:val="000000"/>
                      <w:kern w:val="2"/>
                    </w:rPr>
                  </w:pPr>
                  <w:r>
                    <w:rPr>
                      <w:rFonts w:ascii="Times New Roman" w:hAnsi="Times New Roman"/>
                      <w:color w:val="000000"/>
                      <w:kern w:val="2"/>
                      <w:sz w:val="21"/>
                      <w:szCs w:val="21"/>
                    </w:rPr>
                    <w:t>NW</w:t>
                  </w:r>
                </w:p>
              </w:tc>
              <w:tc>
                <w:tcPr>
                  <w:tcW w:w="888" w:type="pct"/>
                  <w:tcBorders>
                    <w:top w:val="single" w:color="auto" w:sz="4" w:space="0"/>
                    <w:left w:val="nil"/>
                    <w:bottom w:val="single" w:color="auto" w:sz="4" w:space="0"/>
                    <w:right w:val="single" w:color="auto" w:sz="4" w:space="0"/>
                  </w:tcBorders>
                  <w:vAlign w:val="center"/>
                </w:tcPr>
                <w:p>
                  <w:pPr>
                    <w:pStyle w:val="54"/>
                    <w:autoSpaceDE w:val="0"/>
                    <w:autoSpaceDN w:val="0"/>
                    <w:spacing w:line="240" w:lineRule="atLeast"/>
                    <w:jc w:val="center"/>
                    <w:rPr>
                      <w:rFonts w:ascii="Times New Roman" w:hAnsi="Times New Roman"/>
                      <w:color w:val="000000"/>
                      <w:kern w:val="2"/>
                    </w:rPr>
                  </w:pPr>
                  <w:r>
                    <w:rPr>
                      <w:rFonts w:hint="eastAsia" w:ascii="Times New Roman" w:hAnsi="Times New Roman"/>
                      <w:color w:val="000000"/>
                      <w:kern w:val="2"/>
                      <w:sz w:val="21"/>
                      <w:szCs w:val="21"/>
                      <w:lang w:val="en-US" w:eastAsia="zh-CN"/>
                    </w:rPr>
                    <w:t>240</w:t>
                  </w:r>
                  <w:r>
                    <w:rPr>
                      <w:rFonts w:ascii="Times New Roman" w:hAnsi="Times New Roman"/>
                      <w:color w:val="000000"/>
                      <w:kern w:val="2"/>
                      <w:sz w:val="21"/>
                      <w:szCs w:val="21"/>
                    </w:rPr>
                    <w:t>0</w:t>
                  </w:r>
                </w:p>
              </w:tc>
              <w:tc>
                <w:tcPr>
                  <w:tcW w:w="826" w:type="pct"/>
                  <w:tcBorders>
                    <w:top w:val="single" w:color="auto" w:sz="4" w:space="0"/>
                    <w:left w:val="nil"/>
                    <w:bottom w:val="single" w:color="auto" w:sz="4" w:space="0"/>
                    <w:right w:val="single" w:color="auto" w:sz="4" w:space="0"/>
                  </w:tcBorders>
                  <w:vAlign w:val="center"/>
                </w:tcPr>
                <w:p>
                  <w:pPr>
                    <w:pStyle w:val="54"/>
                    <w:autoSpaceDE w:val="0"/>
                    <w:autoSpaceDN w:val="0"/>
                    <w:spacing w:line="240" w:lineRule="atLeast"/>
                    <w:jc w:val="center"/>
                    <w:rPr>
                      <w:rFonts w:ascii="Times New Roman" w:hAnsi="Times New Roman"/>
                      <w:color w:val="000000"/>
                      <w:kern w:val="2"/>
                    </w:rPr>
                  </w:pPr>
                  <w:r>
                    <w:rPr>
                      <w:rFonts w:ascii="Times New Roman" w:hAnsi="Times New Roman"/>
                      <w:color w:val="000000"/>
                      <w:kern w:val="2"/>
                      <w:sz w:val="21"/>
                      <w:szCs w:val="21"/>
                    </w:rPr>
                    <w:t>大型河流</w:t>
                  </w:r>
                </w:p>
              </w:tc>
              <w:tc>
                <w:tcPr>
                  <w:tcW w:w="1349" w:type="pct"/>
                  <w:tcBorders>
                    <w:top w:val="single" w:color="auto" w:sz="4" w:space="0"/>
                    <w:left w:val="nil"/>
                    <w:bottom w:val="single" w:color="auto" w:sz="4" w:space="0"/>
                  </w:tcBorders>
                  <w:vAlign w:val="center"/>
                </w:tcPr>
                <w:p>
                  <w:pPr>
                    <w:spacing w:line="240" w:lineRule="atLeast"/>
                    <w:jc w:val="center"/>
                    <w:rPr>
                      <w:color w:val="000000"/>
                    </w:rPr>
                  </w:pPr>
                  <w:r>
                    <w:rPr>
                      <w:color w:val="000000"/>
                    </w:rPr>
                    <w:t>《地表水环境质量标准》（GB3838-2002）中Ⅲ类标准</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473" w:type="pct"/>
                  <w:tcBorders>
                    <w:top w:val="single" w:color="auto" w:sz="4" w:space="0"/>
                    <w:bottom w:val="single" w:color="auto" w:sz="4" w:space="0"/>
                    <w:right w:val="single" w:color="auto" w:sz="4" w:space="0"/>
                  </w:tcBorders>
                  <w:vAlign w:val="center"/>
                </w:tcPr>
                <w:p>
                  <w:pPr>
                    <w:spacing w:line="240" w:lineRule="atLeast"/>
                    <w:jc w:val="center"/>
                    <w:rPr>
                      <w:color w:val="000000"/>
                    </w:rPr>
                  </w:pPr>
                  <w:r>
                    <w:rPr>
                      <w:color w:val="000000"/>
                    </w:rPr>
                    <w:t>声环境</w:t>
                  </w:r>
                </w:p>
              </w:tc>
              <w:tc>
                <w:tcPr>
                  <w:tcW w:w="833" w:type="pct"/>
                  <w:tcBorders>
                    <w:top w:val="single" w:color="auto" w:sz="4" w:space="0"/>
                    <w:left w:val="nil"/>
                    <w:bottom w:val="single" w:color="auto" w:sz="4" w:space="0"/>
                    <w:right w:val="single" w:color="auto" w:sz="4" w:space="0"/>
                  </w:tcBorders>
                  <w:vAlign w:val="center"/>
                </w:tcPr>
                <w:p>
                  <w:pPr>
                    <w:pStyle w:val="54"/>
                    <w:autoSpaceDE w:val="0"/>
                    <w:autoSpaceDN w:val="0"/>
                    <w:spacing w:line="240" w:lineRule="atLeast"/>
                    <w:jc w:val="center"/>
                    <w:rPr>
                      <w:rFonts w:ascii="Times New Roman" w:hAnsi="Times New Roman"/>
                      <w:color w:val="000000"/>
                      <w:kern w:val="2"/>
                    </w:rPr>
                  </w:pPr>
                  <w:r>
                    <w:rPr>
                      <w:rFonts w:ascii="Times New Roman" w:hAnsi="Times New Roman"/>
                      <w:color w:val="000000"/>
                      <w:kern w:val="2"/>
                      <w:sz w:val="21"/>
                      <w:szCs w:val="21"/>
                    </w:rPr>
                    <w:t>厂界四周</w:t>
                  </w:r>
                </w:p>
              </w:tc>
              <w:tc>
                <w:tcPr>
                  <w:tcW w:w="628" w:type="pct"/>
                  <w:tcBorders>
                    <w:top w:val="single" w:color="auto" w:sz="4" w:space="0"/>
                    <w:left w:val="nil"/>
                    <w:bottom w:val="single" w:color="auto" w:sz="4" w:space="0"/>
                    <w:right w:val="single" w:color="auto" w:sz="4" w:space="0"/>
                  </w:tcBorders>
                  <w:vAlign w:val="center"/>
                </w:tcPr>
                <w:p>
                  <w:pPr>
                    <w:pStyle w:val="54"/>
                    <w:autoSpaceDE w:val="0"/>
                    <w:autoSpaceDN w:val="0"/>
                    <w:spacing w:line="240" w:lineRule="atLeast"/>
                    <w:jc w:val="center"/>
                    <w:rPr>
                      <w:rFonts w:ascii="Times New Roman" w:hAnsi="Times New Roman"/>
                      <w:color w:val="000000"/>
                      <w:kern w:val="2"/>
                    </w:rPr>
                  </w:pPr>
                  <w:r>
                    <w:rPr>
                      <w:rFonts w:ascii="Times New Roman" w:hAnsi="Times New Roman"/>
                      <w:color w:val="000000"/>
                      <w:kern w:val="2"/>
                      <w:sz w:val="21"/>
                      <w:szCs w:val="21"/>
                    </w:rPr>
                    <w:t>/</w:t>
                  </w:r>
                </w:p>
              </w:tc>
              <w:tc>
                <w:tcPr>
                  <w:tcW w:w="888" w:type="pct"/>
                  <w:tcBorders>
                    <w:top w:val="single" w:color="auto" w:sz="4" w:space="0"/>
                    <w:left w:val="nil"/>
                    <w:bottom w:val="single" w:color="auto" w:sz="4" w:space="0"/>
                    <w:right w:val="single" w:color="auto" w:sz="4" w:space="0"/>
                  </w:tcBorders>
                  <w:vAlign w:val="center"/>
                </w:tcPr>
                <w:p>
                  <w:pPr>
                    <w:pStyle w:val="54"/>
                    <w:autoSpaceDE w:val="0"/>
                    <w:autoSpaceDN w:val="0"/>
                    <w:spacing w:line="240" w:lineRule="atLeast"/>
                    <w:jc w:val="center"/>
                    <w:rPr>
                      <w:rFonts w:ascii="Times New Roman" w:hAnsi="Times New Roman"/>
                      <w:color w:val="000000"/>
                      <w:kern w:val="2"/>
                    </w:rPr>
                  </w:pPr>
                  <w:r>
                    <w:rPr>
                      <w:rFonts w:ascii="Times New Roman" w:hAnsi="Times New Roman"/>
                      <w:color w:val="000000"/>
                      <w:kern w:val="2"/>
                      <w:sz w:val="21"/>
                      <w:szCs w:val="21"/>
                    </w:rPr>
                    <w:t>/</w:t>
                  </w:r>
                </w:p>
              </w:tc>
              <w:tc>
                <w:tcPr>
                  <w:tcW w:w="826" w:type="pct"/>
                  <w:tcBorders>
                    <w:top w:val="single" w:color="auto" w:sz="4" w:space="0"/>
                    <w:left w:val="nil"/>
                    <w:bottom w:val="single" w:color="auto" w:sz="4" w:space="0"/>
                    <w:right w:val="single" w:color="auto" w:sz="4" w:space="0"/>
                  </w:tcBorders>
                  <w:vAlign w:val="center"/>
                </w:tcPr>
                <w:p>
                  <w:pPr>
                    <w:pStyle w:val="54"/>
                    <w:autoSpaceDE w:val="0"/>
                    <w:autoSpaceDN w:val="0"/>
                    <w:spacing w:line="240" w:lineRule="atLeast"/>
                    <w:jc w:val="center"/>
                    <w:rPr>
                      <w:rFonts w:ascii="Times New Roman" w:hAnsi="Times New Roman"/>
                      <w:color w:val="000000"/>
                      <w:kern w:val="2"/>
                    </w:rPr>
                  </w:pPr>
                  <w:r>
                    <w:rPr>
                      <w:rFonts w:ascii="Times New Roman" w:hAnsi="Times New Roman"/>
                      <w:color w:val="000000"/>
                      <w:kern w:val="2"/>
                      <w:sz w:val="21"/>
                      <w:szCs w:val="21"/>
                    </w:rPr>
                    <w:t>/</w:t>
                  </w:r>
                </w:p>
              </w:tc>
              <w:tc>
                <w:tcPr>
                  <w:tcW w:w="1349" w:type="pct"/>
                  <w:tcBorders>
                    <w:top w:val="single" w:color="auto" w:sz="4" w:space="0"/>
                    <w:left w:val="nil"/>
                    <w:bottom w:val="single" w:color="auto" w:sz="4" w:space="0"/>
                  </w:tcBorders>
                  <w:vAlign w:val="center"/>
                </w:tcPr>
                <w:p>
                  <w:pPr>
                    <w:spacing w:line="240" w:lineRule="atLeast"/>
                    <w:jc w:val="center"/>
                    <w:rPr>
                      <w:color w:val="000000"/>
                    </w:rPr>
                  </w:pPr>
                  <w:r>
                    <w:rPr>
                      <w:color w:val="000000"/>
                    </w:rPr>
                    <w:t>《声环境质量标准》（3096-2008）中3类区标准要求</w:t>
                  </w:r>
                </w:p>
              </w:tc>
            </w:tr>
          </w:tbl>
          <w:p>
            <w:pPr>
              <w:pStyle w:val="5"/>
            </w:pPr>
          </w:p>
          <w:p>
            <w:pPr>
              <w:pStyle w:val="31"/>
              <w:spacing w:after="240"/>
              <w:jc w:val="both"/>
              <w:rPr>
                <w:rFonts w:ascii="Times New Roman" w:hAnsi="Times New Roman" w:cs="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94" w:hRule="atLeast"/>
          <w:jc w:val="center"/>
        </w:trPr>
        <w:tc>
          <w:tcPr>
            <w:tcW w:w="992" w:type="dxa"/>
            <w:tcMar>
              <w:left w:w="28" w:type="dxa"/>
              <w:right w:w="28" w:type="dxa"/>
            </w:tcMar>
            <w:vAlign w:val="center"/>
          </w:tcPr>
          <w:p>
            <w:pPr>
              <w:adjustRightInd w:val="0"/>
              <w:snapToGrid w:val="0"/>
              <w:jc w:val="center"/>
              <w:rPr>
                <w:rFonts w:cs="宋体"/>
                <w:kern w:val="0"/>
                <w:sz w:val="24"/>
              </w:rPr>
            </w:pPr>
            <w:r>
              <w:rPr>
                <w:rFonts w:hint="eastAsia" w:cs="宋体"/>
                <w:kern w:val="0"/>
                <w:sz w:val="24"/>
              </w:rPr>
              <w:t>污染</w:t>
            </w:r>
          </w:p>
          <w:p>
            <w:pPr>
              <w:adjustRightInd w:val="0"/>
              <w:snapToGrid w:val="0"/>
              <w:jc w:val="center"/>
              <w:rPr>
                <w:rFonts w:cs="宋体"/>
                <w:kern w:val="0"/>
                <w:sz w:val="24"/>
              </w:rPr>
            </w:pPr>
            <w:r>
              <w:rPr>
                <w:rFonts w:hint="eastAsia" w:cs="宋体"/>
                <w:kern w:val="0"/>
                <w:sz w:val="24"/>
              </w:rPr>
              <w:t>物排</w:t>
            </w:r>
          </w:p>
          <w:p>
            <w:pPr>
              <w:adjustRightInd w:val="0"/>
              <w:snapToGrid w:val="0"/>
              <w:jc w:val="center"/>
              <w:rPr>
                <w:rFonts w:cs="宋体"/>
                <w:kern w:val="0"/>
                <w:sz w:val="24"/>
              </w:rPr>
            </w:pPr>
            <w:r>
              <w:rPr>
                <w:rFonts w:hint="eastAsia" w:cs="宋体"/>
                <w:kern w:val="0"/>
                <w:sz w:val="24"/>
              </w:rPr>
              <w:t>放控</w:t>
            </w:r>
          </w:p>
          <w:p>
            <w:pPr>
              <w:adjustRightInd w:val="0"/>
              <w:snapToGrid w:val="0"/>
              <w:jc w:val="center"/>
              <w:rPr>
                <w:rFonts w:cs="宋体"/>
                <w:kern w:val="0"/>
                <w:sz w:val="24"/>
              </w:rPr>
            </w:pPr>
            <w:r>
              <w:rPr>
                <w:rFonts w:hint="eastAsia" w:cs="宋体"/>
                <w:kern w:val="0"/>
                <w:sz w:val="24"/>
              </w:rPr>
              <w:t>制标</w:t>
            </w:r>
          </w:p>
          <w:p>
            <w:pPr>
              <w:adjustRightInd w:val="0"/>
              <w:snapToGrid w:val="0"/>
              <w:jc w:val="center"/>
              <w:rPr>
                <w:rFonts w:cs="宋体"/>
                <w:kern w:val="0"/>
                <w:szCs w:val="21"/>
              </w:rPr>
            </w:pPr>
            <w:r>
              <w:rPr>
                <w:rFonts w:hint="eastAsia" w:cs="宋体"/>
                <w:kern w:val="0"/>
                <w:sz w:val="24"/>
              </w:rPr>
              <w:t>准</w:t>
            </w:r>
          </w:p>
        </w:tc>
        <w:tc>
          <w:tcPr>
            <w:tcW w:w="8069" w:type="dxa"/>
            <w:vAlign w:val="center"/>
          </w:tcPr>
          <w:p>
            <w:pPr>
              <w:spacing w:line="480" w:lineRule="exact"/>
              <w:ind w:firstLine="472" w:firstLineChars="196"/>
              <w:rPr>
                <w:b/>
                <w:bCs/>
                <w:color w:val="000000"/>
                <w:kern w:val="0"/>
                <w:sz w:val="24"/>
              </w:rPr>
            </w:pPr>
            <w:r>
              <w:rPr>
                <w:b/>
                <w:bCs/>
                <w:color w:val="000000"/>
                <w:kern w:val="0"/>
                <w:sz w:val="24"/>
              </w:rPr>
              <w:t>1、废气</w:t>
            </w:r>
          </w:p>
          <w:p>
            <w:pPr>
              <w:adjustRightInd w:val="0"/>
              <w:snapToGrid w:val="0"/>
              <w:spacing w:line="360" w:lineRule="auto"/>
              <w:ind w:firstLine="480" w:firstLineChars="200"/>
              <w:rPr>
                <w:b/>
                <w:color w:val="000000"/>
                <w:sz w:val="24"/>
              </w:rPr>
            </w:pPr>
            <w:r>
              <w:rPr>
                <w:rFonts w:hint="eastAsia"/>
                <w:bCs/>
                <w:color w:val="000000"/>
                <w:sz w:val="24"/>
              </w:rPr>
              <w:t>本项目生产过程中产生的废气污染物主要为粉尘。本项目采用湿法制</w:t>
            </w:r>
            <w:r>
              <w:rPr>
                <w:rFonts w:hint="eastAsia"/>
                <w:bCs/>
                <w:color w:val="000000"/>
                <w:sz w:val="24"/>
                <w:lang w:val="en-US" w:eastAsia="zh-CN"/>
              </w:rPr>
              <w:t>砂</w:t>
            </w:r>
            <w:r>
              <w:rPr>
                <w:rFonts w:hint="eastAsia"/>
                <w:bCs/>
                <w:color w:val="000000"/>
                <w:sz w:val="24"/>
              </w:rPr>
              <w:t>工艺制</w:t>
            </w:r>
            <w:r>
              <w:rPr>
                <w:rFonts w:hint="eastAsia"/>
                <w:bCs/>
                <w:color w:val="000000"/>
                <w:sz w:val="24"/>
                <w:lang w:val="en-US" w:eastAsia="zh-CN"/>
              </w:rPr>
              <w:t>砂</w:t>
            </w:r>
            <w:r>
              <w:rPr>
                <w:rFonts w:hint="eastAsia"/>
                <w:bCs/>
                <w:color w:val="000000"/>
                <w:sz w:val="24"/>
              </w:rPr>
              <w:t>，产生粉尘的工序主要</w:t>
            </w:r>
            <w:r>
              <w:rPr>
                <w:rFonts w:hint="eastAsia"/>
                <w:bCs/>
                <w:color w:val="000000"/>
                <w:sz w:val="24"/>
                <w:lang w:val="en-US" w:eastAsia="zh-CN"/>
              </w:rPr>
              <w:t>为车辆运输、装卸、破碎和筛分等，在</w:t>
            </w:r>
            <w:r>
              <w:rPr>
                <w:rFonts w:hint="eastAsia"/>
                <w:bCs/>
                <w:color w:val="000000"/>
                <w:sz w:val="24"/>
                <w:lang w:eastAsia="zh-CN"/>
              </w:rPr>
              <w:t>厂界执行</w:t>
            </w:r>
            <w:r>
              <w:rPr>
                <w:rFonts w:hint="eastAsia"/>
                <w:sz w:val="24"/>
              </w:rPr>
              <w:t>上海市地方标准《大气污染物综合排放标准》（DB31/933-2015）表3无组织排放点监控浓度限值</w:t>
            </w:r>
            <w:r>
              <w:rPr>
                <w:rFonts w:hint="eastAsia"/>
                <w:bCs/>
                <w:color w:val="000000"/>
                <w:sz w:val="24"/>
              </w:rPr>
              <w:t>。</w:t>
            </w:r>
            <w:r>
              <w:rPr>
                <w:bCs/>
                <w:color w:val="000000"/>
                <w:sz w:val="24"/>
              </w:rPr>
              <w:t>具体标准值见下表</w:t>
            </w:r>
            <w:r>
              <w:rPr>
                <w:color w:val="000000"/>
                <w:sz w:val="24"/>
              </w:rPr>
              <w:t>。</w:t>
            </w:r>
          </w:p>
          <w:p>
            <w:pPr>
              <w:spacing w:line="480" w:lineRule="exact"/>
              <w:jc w:val="center"/>
              <w:rPr>
                <w:b/>
                <w:color w:val="000000"/>
                <w:sz w:val="24"/>
              </w:rPr>
            </w:pPr>
            <w:r>
              <w:rPr>
                <w:b/>
                <w:color w:val="000000"/>
                <w:sz w:val="24"/>
              </w:rPr>
              <w:t>表3-</w:t>
            </w:r>
            <w:r>
              <w:rPr>
                <w:rFonts w:hint="eastAsia"/>
                <w:b/>
                <w:color w:val="000000"/>
                <w:sz w:val="24"/>
                <w:lang w:val="en-US" w:eastAsia="zh-CN"/>
              </w:rPr>
              <w:t>5</w:t>
            </w:r>
            <w:r>
              <w:rPr>
                <w:b/>
                <w:color w:val="000000"/>
                <w:sz w:val="24"/>
              </w:rPr>
              <w:t xml:space="preserve"> </w:t>
            </w:r>
            <w:r>
              <w:rPr>
                <w:rFonts w:hint="eastAsia"/>
                <w:b/>
                <w:color w:val="000000"/>
                <w:sz w:val="24"/>
                <w:lang w:val="en-US" w:eastAsia="zh-CN"/>
              </w:rPr>
              <w:t>无组织废气</w:t>
            </w:r>
            <w:r>
              <w:rPr>
                <w:b/>
                <w:color w:val="000000"/>
                <w:sz w:val="24"/>
              </w:rPr>
              <w:t xml:space="preserve">污染物排放标准 </w:t>
            </w:r>
          </w:p>
          <w:tbl>
            <w:tblPr>
              <w:tblStyle w:val="26"/>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46"/>
              <w:gridCol w:w="1334"/>
              <w:gridCol w:w="1915"/>
              <w:gridCol w:w="355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0" w:hRule="atLeast"/>
                <w:tblHeader/>
                <w:jc w:val="center"/>
              </w:trPr>
              <w:tc>
                <w:tcPr>
                  <w:tcW w:w="666" w:type="pct"/>
                  <w:vAlign w:val="center"/>
                </w:tcPr>
                <w:p>
                  <w:pPr>
                    <w:widowControl/>
                    <w:adjustRightInd w:val="0"/>
                    <w:snapToGrid w:val="0"/>
                    <w:jc w:val="center"/>
                    <w:rPr>
                      <w:b/>
                      <w:color w:val="0D0D0D" w:themeColor="text1" w:themeTint="F2"/>
                      <w:kern w:val="0"/>
                      <w:szCs w:val="21"/>
                      <w14:textFill>
                        <w14:solidFill>
                          <w14:schemeClr w14:val="tx1">
                            <w14:lumMod w14:val="95000"/>
                            <w14:lumOff w14:val="5000"/>
                          </w14:schemeClr>
                        </w14:solidFill>
                      </w14:textFill>
                    </w:rPr>
                  </w:pPr>
                  <w:r>
                    <w:rPr>
                      <w:rFonts w:hint="eastAsia"/>
                      <w:b/>
                      <w:color w:val="0D0D0D" w:themeColor="text1" w:themeTint="F2"/>
                      <w:kern w:val="0"/>
                      <w:szCs w:val="21"/>
                      <w14:textFill>
                        <w14:solidFill>
                          <w14:schemeClr w14:val="tx1">
                            <w14:lumMod w14:val="95000"/>
                            <w14:lumOff w14:val="5000"/>
                          </w14:schemeClr>
                        </w14:solidFill>
                      </w14:textFill>
                    </w:rPr>
                    <w:t>污染物</w:t>
                  </w:r>
                </w:p>
              </w:tc>
              <w:tc>
                <w:tcPr>
                  <w:tcW w:w="849" w:type="pct"/>
                  <w:vAlign w:val="center"/>
                </w:tcPr>
                <w:p>
                  <w:pPr>
                    <w:widowControl/>
                    <w:snapToGrid w:val="0"/>
                    <w:jc w:val="center"/>
                    <w:rPr>
                      <w:b/>
                      <w:color w:val="0D0D0D" w:themeColor="text1" w:themeTint="F2"/>
                      <w:kern w:val="0"/>
                      <w:szCs w:val="21"/>
                      <w14:textFill>
                        <w14:solidFill>
                          <w14:schemeClr w14:val="tx1">
                            <w14:lumMod w14:val="95000"/>
                            <w14:lumOff w14:val="5000"/>
                          </w14:schemeClr>
                        </w14:solidFill>
                      </w14:textFill>
                    </w:rPr>
                  </w:pPr>
                  <w:r>
                    <w:rPr>
                      <w:rFonts w:hint="eastAsia"/>
                      <w:b/>
                      <w:bCs/>
                      <w:color w:val="0D0D0D" w:themeColor="text1" w:themeTint="F2"/>
                      <w:kern w:val="0"/>
                      <w:szCs w:val="21"/>
                      <w14:textFill>
                        <w14:solidFill>
                          <w14:schemeClr w14:val="tx1">
                            <w14:lumMod w14:val="95000"/>
                            <w14:lumOff w14:val="5000"/>
                          </w14:schemeClr>
                        </w14:solidFill>
                      </w14:textFill>
                    </w:rPr>
                    <w:t>排放</w:t>
                  </w:r>
                  <w:r>
                    <w:rPr>
                      <w:b/>
                      <w:bCs/>
                      <w:color w:val="0D0D0D" w:themeColor="text1" w:themeTint="F2"/>
                      <w:kern w:val="0"/>
                      <w:szCs w:val="21"/>
                      <w14:textFill>
                        <w14:solidFill>
                          <w14:schemeClr w14:val="tx1">
                            <w14:lumMod w14:val="95000"/>
                            <w14:lumOff w14:val="5000"/>
                          </w14:schemeClr>
                        </w14:solidFill>
                      </w14:textFill>
                    </w:rPr>
                    <w:t>限值</w:t>
                  </w:r>
                </w:p>
              </w:tc>
              <w:tc>
                <w:tcPr>
                  <w:tcW w:w="1219" w:type="pct"/>
                  <w:vAlign w:val="center"/>
                </w:tcPr>
                <w:p>
                  <w:pPr>
                    <w:widowControl/>
                    <w:snapToGrid w:val="0"/>
                    <w:jc w:val="center"/>
                    <w:rPr>
                      <w:b/>
                      <w:color w:val="0D0D0D" w:themeColor="text1" w:themeTint="F2"/>
                      <w:kern w:val="0"/>
                      <w:szCs w:val="21"/>
                      <w14:textFill>
                        <w14:solidFill>
                          <w14:schemeClr w14:val="tx1">
                            <w14:lumMod w14:val="95000"/>
                            <w14:lumOff w14:val="5000"/>
                          </w14:schemeClr>
                        </w14:solidFill>
                      </w14:textFill>
                    </w:rPr>
                  </w:pPr>
                  <w:r>
                    <w:rPr>
                      <w:rFonts w:hint="eastAsia"/>
                      <w:b/>
                      <w:color w:val="0D0D0D" w:themeColor="text1" w:themeTint="F2"/>
                      <w:kern w:val="0"/>
                      <w:szCs w:val="21"/>
                      <w14:textFill>
                        <w14:solidFill>
                          <w14:schemeClr w14:val="tx1">
                            <w14:lumMod w14:val="95000"/>
                            <w14:lumOff w14:val="5000"/>
                          </w14:schemeClr>
                        </w14:solidFill>
                      </w14:textFill>
                    </w:rPr>
                    <w:t>监控点/限值含义</w:t>
                  </w:r>
                </w:p>
              </w:tc>
              <w:tc>
                <w:tcPr>
                  <w:tcW w:w="2264" w:type="pct"/>
                  <w:vAlign w:val="center"/>
                </w:tcPr>
                <w:p>
                  <w:pPr>
                    <w:widowControl/>
                    <w:snapToGrid w:val="0"/>
                    <w:jc w:val="center"/>
                    <w:rPr>
                      <w:b/>
                      <w:color w:val="0D0D0D" w:themeColor="text1" w:themeTint="F2"/>
                      <w:kern w:val="0"/>
                      <w:szCs w:val="21"/>
                      <w14:textFill>
                        <w14:solidFill>
                          <w14:schemeClr w14:val="tx1">
                            <w14:lumMod w14:val="95000"/>
                            <w14:lumOff w14:val="5000"/>
                          </w14:schemeClr>
                        </w14:solidFill>
                      </w14:textFill>
                    </w:rPr>
                  </w:pPr>
                  <w:r>
                    <w:rPr>
                      <w:rFonts w:hint="eastAsia"/>
                      <w:b/>
                      <w:color w:val="0D0D0D" w:themeColor="text1" w:themeTint="F2"/>
                      <w:kern w:val="0"/>
                      <w:szCs w:val="21"/>
                      <w14:textFill>
                        <w14:solidFill>
                          <w14:schemeClr w14:val="tx1">
                            <w14:lumMod w14:val="95000"/>
                            <w14:lumOff w14:val="5000"/>
                          </w14:schemeClr>
                        </w14:solidFill>
                      </w14:textFill>
                    </w:rPr>
                    <w:t>标准依据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7" w:hRule="atLeast"/>
                <w:tblHeader/>
                <w:jc w:val="center"/>
              </w:trPr>
              <w:tc>
                <w:tcPr>
                  <w:tcW w:w="666" w:type="pct"/>
                  <w:vAlign w:val="center"/>
                </w:tcPr>
                <w:p>
                  <w:pPr>
                    <w:widowControl/>
                    <w:adjustRightInd w:val="0"/>
                    <w:snapToGrid w:val="0"/>
                    <w:jc w:val="center"/>
                    <w:rPr>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颗粒物</w:t>
                  </w:r>
                </w:p>
              </w:tc>
              <w:tc>
                <w:tcPr>
                  <w:tcW w:w="849" w:type="pct"/>
                  <w:vAlign w:val="center"/>
                </w:tcPr>
                <w:p>
                  <w:pPr>
                    <w:widowControl/>
                    <w:snapToGrid w:val="0"/>
                    <w:jc w:val="center"/>
                    <w:rPr>
                      <w:bCs/>
                      <w:color w:val="0D0D0D" w:themeColor="text1" w:themeTint="F2"/>
                      <w:kern w:val="0"/>
                      <w:szCs w:val="21"/>
                      <w14:textFill>
                        <w14:solidFill>
                          <w14:schemeClr w14:val="tx1">
                            <w14:lumMod w14:val="95000"/>
                            <w14:lumOff w14:val="5000"/>
                          </w14:schemeClr>
                        </w14:solidFill>
                      </w14:textFill>
                    </w:rPr>
                  </w:pPr>
                  <w:r>
                    <w:rPr>
                      <w:rFonts w:hint="eastAsia"/>
                      <w:bCs/>
                      <w:color w:val="0D0D0D" w:themeColor="text1" w:themeTint="F2"/>
                      <w:kern w:val="0"/>
                      <w:szCs w:val="21"/>
                      <w:lang w:val="en-US" w:eastAsia="zh-CN"/>
                      <w14:textFill>
                        <w14:solidFill>
                          <w14:schemeClr w14:val="tx1">
                            <w14:lumMod w14:val="95000"/>
                            <w14:lumOff w14:val="5000"/>
                          </w14:schemeClr>
                        </w14:solidFill>
                      </w14:textFill>
                    </w:rPr>
                    <w:t>0.5</w:t>
                  </w:r>
                  <w:r>
                    <w:rPr>
                      <w:rFonts w:hint="eastAsia"/>
                      <w:bCs/>
                      <w:color w:val="0D0D0D" w:themeColor="text1" w:themeTint="F2"/>
                      <w:kern w:val="0"/>
                      <w:szCs w:val="21"/>
                      <w14:textFill>
                        <w14:solidFill>
                          <w14:schemeClr w14:val="tx1">
                            <w14:lumMod w14:val="95000"/>
                            <w14:lumOff w14:val="5000"/>
                          </w14:schemeClr>
                        </w14:solidFill>
                      </w14:textFill>
                    </w:rPr>
                    <w:t xml:space="preserve"> </w:t>
                  </w:r>
                  <w:r>
                    <w:rPr>
                      <w:bCs/>
                      <w:color w:val="0D0D0D" w:themeColor="text1" w:themeTint="F2"/>
                      <w:kern w:val="0"/>
                      <w:szCs w:val="21"/>
                      <w14:textFill>
                        <w14:solidFill>
                          <w14:schemeClr w14:val="tx1">
                            <w14:lumMod w14:val="95000"/>
                            <w14:lumOff w14:val="5000"/>
                          </w14:schemeClr>
                        </w14:solidFill>
                      </w14:textFill>
                    </w:rPr>
                    <w:t>mg/m</w:t>
                  </w:r>
                  <w:r>
                    <w:rPr>
                      <w:bCs/>
                      <w:color w:val="0D0D0D" w:themeColor="text1" w:themeTint="F2"/>
                      <w:kern w:val="0"/>
                      <w:szCs w:val="21"/>
                      <w:vertAlign w:val="superscript"/>
                      <w14:textFill>
                        <w14:solidFill>
                          <w14:schemeClr w14:val="tx1">
                            <w14:lumMod w14:val="95000"/>
                            <w14:lumOff w14:val="5000"/>
                          </w14:schemeClr>
                        </w14:solidFill>
                      </w14:textFill>
                    </w:rPr>
                    <w:t>3</w:t>
                  </w:r>
                </w:p>
              </w:tc>
              <w:tc>
                <w:tcPr>
                  <w:tcW w:w="1219" w:type="pct"/>
                  <w:vAlign w:val="center"/>
                </w:tcPr>
                <w:p>
                  <w:pPr>
                    <w:widowControl/>
                    <w:snapToGrid w:val="0"/>
                    <w:jc w:val="center"/>
                    <w:rPr>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企业边界</w:t>
                  </w:r>
                </w:p>
              </w:tc>
              <w:tc>
                <w:tcPr>
                  <w:tcW w:w="2264" w:type="pct"/>
                  <w:vAlign w:val="center"/>
                </w:tcPr>
                <w:p>
                  <w:pPr>
                    <w:rPr>
                      <w:color w:val="0D0D0D" w:themeColor="text1" w:themeTint="F2"/>
                      <w:kern w:val="0"/>
                      <w:szCs w:val="21"/>
                      <w14:textFill>
                        <w14:solidFill>
                          <w14:schemeClr w14:val="tx1">
                            <w14:lumMod w14:val="95000"/>
                            <w14:lumOff w14:val="5000"/>
                          </w14:schemeClr>
                        </w14:solidFill>
                      </w14:textFill>
                    </w:rPr>
                  </w:pPr>
                  <w:r>
                    <w:rPr>
                      <w:rFonts w:hint="eastAsia"/>
                      <w:color w:val="000000"/>
                      <w:szCs w:val="21"/>
                    </w:rPr>
                    <w:t>上海市地方标准《大气污染物综合排放标准》（DB31/933-2015）表3无组织排放点监控浓度限值</w:t>
                  </w:r>
                </w:p>
              </w:tc>
            </w:tr>
          </w:tbl>
          <w:p>
            <w:pPr>
              <w:spacing w:line="460" w:lineRule="exact"/>
              <w:ind w:firstLine="482" w:firstLineChars="200"/>
              <w:rPr>
                <w:b/>
                <w:bCs/>
                <w:color w:val="000000"/>
                <w:kern w:val="0"/>
                <w:sz w:val="24"/>
              </w:rPr>
            </w:pPr>
            <w:r>
              <w:rPr>
                <w:b/>
                <w:bCs/>
                <w:color w:val="000000"/>
                <w:kern w:val="0"/>
                <w:sz w:val="24"/>
              </w:rPr>
              <w:t>2、废水</w:t>
            </w:r>
          </w:p>
          <w:p>
            <w:pPr>
              <w:adjustRightInd w:val="0"/>
              <w:spacing w:line="460" w:lineRule="exact"/>
              <w:ind w:firstLine="480" w:firstLineChars="200"/>
              <w:rPr>
                <w:color w:val="000000"/>
                <w:kern w:val="0"/>
                <w:sz w:val="24"/>
              </w:rPr>
            </w:pPr>
            <w:r>
              <w:rPr>
                <w:rFonts w:hint="eastAsia"/>
                <w:color w:val="000000"/>
                <w:kern w:val="0"/>
                <w:sz w:val="24"/>
              </w:rPr>
              <w:t>生产废水经循环沉淀池沉淀后循环使用，不外排</w:t>
            </w:r>
            <w:r>
              <w:rPr>
                <w:rFonts w:hint="eastAsia"/>
                <w:color w:val="000000"/>
                <w:kern w:val="0"/>
                <w:sz w:val="24"/>
                <w:lang w:eastAsia="zh-CN"/>
              </w:rPr>
              <w:t>。</w:t>
            </w:r>
            <w:r>
              <w:rPr>
                <w:rFonts w:hint="default"/>
                <w:bCs/>
                <w:color w:val="000000"/>
                <w:sz w:val="24"/>
                <w:lang w:val="en-US" w:eastAsia="zh-CN"/>
              </w:rPr>
              <w:t>员工为</w:t>
            </w:r>
            <w:r>
              <w:rPr>
                <w:rFonts w:hint="default"/>
                <w:bCs/>
                <w:color w:val="000000"/>
                <w:sz w:val="24"/>
                <w:lang w:eastAsia="zh-CN"/>
              </w:rPr>
              <w:t>芜湖新兴铸管有限责任公司</w:t>
            </w:r>
            <w:r>
              <w:rPr>
                <w:rFonts w:hint="default"/>
                <w:bCs/>
                <w:color w:val="000000"/>
                <w:sz w:val="24"/>
                <w:lang w:val="en-US" w:eastAsia="zh-CN"/>
              </w:rPr>
              <w:t>调配人员，生活用水依托</w:t>
            </w:r>
            <w:r>
              <w:rPr>
                <w:rFonts w:hint="default"/>
                <w:bCs/>
                <w:color w:val="000000"/>
                <w:sz w:val="24"/>
                <w:lang w:eastAsia="zh-CN"/>
              </w:rPr>
              <w:t>芜湖新兴铸管有限责任公司，</w:t>
            </w:r>
            <w:r>
              <w:rPr>
                <w:rFonts w:hint="eastAsia"/>
                <w:color w:val="000000"/>
                <w:kern w:val="0"/>
                <w:sz w:val="24"/>
                <w:lang w:val="en-US" w:eastAsia="zh-CN"/>
              </w:rPr>
              <w:t>生活污水执行《污水综合排放标准》（GB8978-1996）中的三级标准。</w:t>
            </w:r>
          </w:p>
          <w:p>
            <w:pPr>
              <w:spacing w:line="480" w:lineRule="exact"/>
              <w:ind w:firstLine="472" w:firstLineChars="196"/>
              <w:rPr>
                <w:b/>
                <w:bCs/>
                <w:color w:val="000000"/>
                <w:kern w:val="0"/>
                <w:sz w:val="24"/>
              </w:rPr>
            </w:pPr>
            <w:r>
              <w:rPr>
                <w:b/>
                <w:bCs/>
                <w:color w:val="000000"/>
                <w:kern w:val="0"/>
                <w:sz w:val="24"/>
              </w:rPr>
              <w:t>3、噪声</w:t>
            </w:r>
          </w:p>
          <w:p>
            <w:pPr>
              <w:adjustRightInd w:val="0"/>
              <w:spacing w:line="460" w:lineRule="exact"/>
              <w:ind w:firstLine="480" w:firstLineChars="200"/>
              <w:rPr>
                <w:rFonts w:hint="eastAsia"/>
                <w:color w:val="000000"/>
                <w:kern w:val="0"/>
                <w:sz w:val="24"/>
              </w:rPr>
            </w:pPr>
            <w:r>
              <w:rPr>
                <w:rFonts w:hint="eastAsia"/>
                <w:color w:val="000000"/>
                <w:kern w:val="0"/>
                <w:sz w:val="24"/>
              </w:rPr>
              <w:t>项目运营期噪声执行《工业企业厂界环境噪声排放标准》（GB12348-2008） 中的 3 类标准。具体限值详见下表。</w:t>
            </w:r>
          </w:p>
          <w:p>
            <w:pPr>
              <w:spacing w:line="440" w:lineRule="exact"/>
              <w:jc w:val="center"/>
              <w:rPr>
                <w:b/>
                <w:color w:val="000000"/>
                <w:sz w:val="24"/>
              </w:rPr>
            </w:pPr>
            <w:r>
              <w:rPr>
                <w:b/>
                <w:color w:val="000000"/>
                <w:sz w:val="24"/>
              </w:rPr>
              <w:t>表3-</w:t>
            </w:r>
            <w:r>
              <w:rPr>
                <w:rFonts w:hint="eastAsia"/>
                <w:b/>
                <w:color w:val="000000"/>
                <w:sz w:val="24"/>
                <w:lang w:val="en-US" w:eastAsia="zh-CN"/>
              </w:rPr>
              <w:t>6</w:t>
            </w:r>
            <w:r>
              <w:rPr>
                <w:b/>
                <w:color w:val="000000"/>
                <w:sz w:val="24"/>
              </w:rPr>
              <w:t xml:space="preserve">  工业企业厂界环境噪声排放标准   单位：dB（A）</w:t>
            </w:r>
          </w:p>
          <w:tbl>
            <w:tblPr>
              <w:tblStyle w:val="26"/>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690"/>
              <w:gridCol w:w="1958"/>
              <w:gridCol w:w="3205"/>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12" w:type="pct"/>
                  <w:tcBorders>
                    <w:top w:val="single" w:color="auto" w:sz="4" w:space="0"/>
                    <w:left w:val="nil"/>
                    <w:bottom w:val="single" w:color="auto" w:sz="4" w:space="0"/>
                    <w:right w:val="single" w:color="auto" w:sz="4" w:space="0"/>
                  </w:tcBorders>
                  <w:vAlign w:val="center"/>
                </w:tcPr>
                <w:p>
                  <w:pPr>
                    <w:spacing w:line="320" w:lineRule="exact"/>
                    <w:jc w:val="center"/>
                    <w:rPr>
                      <w:b/>
                      <w:color w:val="000000"/>
                      <w:szCs w:val="21"/>
                    </w:rPr>
                  </w:pPr>
                  <w:r>
                    <w:rPr>
                      <w:b/>
                      <w:color w:val="000000"/>
                      <w:szCs w:val="21"/>
                    </w:rPr>
                    <w:t>声环境功能区类别</w:t>
                  </w:r>
                </w:p>
              </w:tc>
              <w:tc>
                <w:tcPr>
                  <w:tcW w:w="1246" w:type="pct"/>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szCs w:val="21"/>
                    </w:rPr>
                  </w:pPr>
                  <w:r>
                    <w:rPr>
                      <w:b/>
                      <w:color w:val="000000"/>
                      <w:szCs w:val="21"/>
                    </w:rPr>
                    <w:t>昼间</w:t>
                  </w:r>
                </w:p>
              </w:tc>
              <w:tc>
                <w:tcPr>
                  <w:tcW w:w="2040" w:type="pct"/>
                  <w:tcBorders>
                    <w:top w:val="single" w:color="auto" w:sz="4" w:space="0"/>
                    <w:left w:val="single" w:color="auto" w:sz="4" w:space="0"/>
                    <w:bottom w:val="single" w:color="auto" w:sz="4" w:space="0"/>
                    <w:right w:val="nil"/>
                  </w:tcBorders>
                  <w:vAlign w:val="center"/>
                </w:tcPr>
                <w:p>
                  <w:pPr>
                    <w:spacing w:line="320" w:lineRule="exact"/>
                    <w:jc w:val="center"/>
                    <w:rPr>
                      <w:b/>
                      <w:color w:val="000000"/>
                      <w:szCs w:val="21"/>
                    </w:rPr>
                  </w:pPr>
                  <w:r>
                    <w:rPr>
                      <w:b/>
                      <w:color w:val="000000"/>
                      <w:szCs w:val="21"/>
                    </w:rPr>
                    <w:t>夜间</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12" w:type="pct"/>
                  <w:tcBorders>
                    <w:top w:val="single" w:color="auto" w:sz="4" w:space="0"/>
                    <w:left w:val="nil"/>
                    <w:bottom w:val="single" w:color="auto" w:sz="4" w:space="0"/>
                    <w:right w:val="single" w:color="auto" w:sz="4" w:space="0"/>
                  </w:tcBorders>
                  <w:vAlign w:val="center"/>
                </w:tcPr>
                <w:p>
                  <w:pPr>
                    <w:spacing w:line="320" w:lineRule="exact"/>
                    <w:jc w:val="center"/>
                    <w:rPr>
                      <w:color w:val="000000"/>
                      <w:szCs w:val="21"/>
                    </w:rPr>
                  </w:pPr>
                  <w:r>
                    <w:rPr>
                      <w:color w:val="000000"/>
                      <w:szCs w:val="21"/>
                    </w:rPr>
                    <w:t>3类</w:t>
                  </w:r>
                </w:p>
              </w:tc>
              <w:tc>
                <w:tcPr>
                  <w:tcW w:w="1246" w:type="pct"/>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szCs w:val="21"/>
                    </w:rPr>
                  </w:pPr>
                  <w:r>
                    <w:rPr>
                      <w:color w:val="000000"/>
                      <w:szCs w:val="21"/>
                    </w:rPr>
                    <w:t xml:space="preserve">65 </w:t>
                  </w:r>
                </w:p>
              </w:tc>
              <w:tc>
                <w:tcPr>
                  <w:tcW w:w="2040" w:type="pct"/>
                  <w:tcBorders>
                    <w:top w:val="single" w:color="auto" w:sz="4" w:space="0"/>
                    <w:left w:val="single" w:color="auto" w:sz="4" w:space="0"/>
                    <w:bottom w:val="single" w:color="auto" w:sz="4" w:space="0"/>
                    <w:right w:val="nil"/>
                  </w:tcBorders>
                  <w:vAlign w:val="center"/>
                </w:tcPr>
                <w:p>
                  <w:pPr>
                    <w:spacing w:line="320" w:lineRule="exact"/>
                    <w:jc w:val="center"/>
                    <w:rPr>
                      <w:color w:val="000000"/>
                      <w:szCs w:val="21"/>
                    </w:rPr>
                  </w:pPr>
                  <w:r>
                    <w:rPr>
                      <w:color w:val="000000"/>
                      <w:szCs w:val="21"/>
                    </w:rPr>
                    <w:t>55</w:t>
                  </w:r>
                </w:p>
              </w:tc>
            </w:tr>
          </w:tbl>
          <w:p>
            <w:pPr>
              <w:spacing w:line="480" w:lineRule="exact"/>
              <w:ind w:firstLine="472" w:firstLineChars="196"/>
              <w:jc w:val="left"/>
              <w:rPr>
                <w:b/>
                <w:bCs/>
                <w:color w:val="000000"/>
                <w:kern w:val="0"/>
                <w:sz w:val="24"/>
              </w:rPr>
            </w:pPr>
            <w:r>
              <w:rPr>
                <w:b/>
                <w:bCs/>
                <w:color w:val="000000"/>
                <w:kern w:val="0"/>
                <w:sz w:val="24"/>
              </w:rPr>
              <w:t>4、固体废物</w:t>
            </w:r>
          </w:p>
          <w:p>
            <w:pPr>
              <w:adjustRightInd w:val="0"/>
              <w:spacing w:line="460" w:lineRule="exact"/>
              <w:ind w:firstLine="480" w:firstLineChars="200"/>
              <w:rPr>
                <w:rFonts w:hint="eastAsia"/>
                <w:color w:val="000000"/>
                <w:kern w:val="0"/>
                <w:sz w:val="24"/>
              </w:rPr>
            </w:pPr>
            <w:r>
              <w:rPr>
                <w:rFonts w:hint="eastAsia"/>
                <w:color w:val="000000"/>
                <w:kern w:val="0"/>
                <w:sz w:val="24"/>
              </w:rPr>
              <w:t>项目生产过程中一般固废的暂存执行《一般工业固体废物贮存和填埋污染控制标准》（GB18599-2020）的要求。危险固废的暂存场所执行《危险废物贮存污染控制标准》（GB18597-2001）（2013 年修订）中有关要求。</w:t>
            </w:r>
          </w:p>
          <w:p>
            <w:pPr>
              <w:adjustRightInd w:val="0"/>
              <w:snapToGrid w:val="0"/>
              <w:jc w:val="center"/>
              <w:rPr>
                <w:rFonts w:cs="宋体"/>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30" w:hRule="atLeast"/>
          <w:jc w:val="center"/>
        </w:trPr>
        <w:tc>
          <w:tcPr>
            <w:tcW w:w="992" w:type="dxa"/>
            <w:vAlign w:val="center"/>
          </w:tcPr>
          <w:p>
            <w:pPr>
              <w:adjustRightInd w:val="0"/>
              <w:snapToGrid w:val="0"/>
              <w:jc w:val="center"/>
              <w:rPr>
                <w:rFonts w:cs="宋体"/>
                <w:kern w:val="0"/>
                <w:sz w:val="24"/>
              </w:rPr>
            </w:pPr>
            <w:r>
              <w:rPr>
                <w:rFonts w:hint="eastAsia" w:cs="宋体"/>
                <w:kern w:val="0"/>
                <w:sz w:val="24"/>
              </w:rPr>
              <w:t>总量</w:t>
            </w:r>
          </w:p>
          <w:p>
            <w:pPr>
              <w:adjustRightInd w:val="0"/>
              <w:snapToGrid w:val="0"/>
              <w:jc w:val="center"/>
              <w:rPr>
                <w:rFonts w:cs="宋体"/>
                <w:kern w:val="0"/>
                <w:sz w:val="24"/>
              </w:rPr>
            </w:pPr>
            <w:r>
              <w:rPr>
                <w:rFonts w:hint="eastAsia" w:cs="宋体"/>
                <w:kern w:val="0"/>
                <w:sz w:val="24"/>
              </w:rPr>
              <w:t>控制</w:t>
            </w:r>
          </w:p>
          <w:p>
            <w:pPr>
              <w:adjustRightInd w:val="0"/>
              <w:snapToGrid w:val="0"/>
              <w:jc w:val="center"/>
              <w:rPr>
                <w:rFonts w:cs="宋体"/>
                <w:kern w:val="0"/>
                <w:szCs w:val="21"/>
              </w:rPr>
            </w:pPr>
            <w:r>
              <w:rPr>
                <w:rFonts w:hint="eastAsia" w:cs="宋体"/>
                <w:kern w:val="0"/>
                <w:sz w:val="24"/>
              </w:rPr>
              <w:t>指标</w:t>
            </w:r>
          </w:p>
        </w:tc>
        <w:tc>
          <w:tcPr>
            <w:tcW w:w="8069" w:type="dxa"/>
            <w:vAlign w:val="center"/>
          </w:tcPr>
          <w:p>
            <w:pPr>
              <w:autoSpaceDE w:val="0"/>
              <w:autoSpaceDN w:val="0"/>
              <w:adjustRightInd w:val="0"/>
              <w:spacing w:line="360" w:lineRule="auto"/>
              <w:ind w:firstLine="480" w:firstLineChars="200"/>
              <w:rPr>
                <w:color w:val="000000"/>
                <w:kern w:val="0"/>
                <w:sz w:val="24"/>
              </w:rPr>
            </w:pPr>
            <w:r>
              <w:rPr>
                <w:color w:val="000000"/>
                <w:kern w:val="0"/>
                <w:sz w:val="24"/>
              </w:rPr>
              <w:t>根据《国务院关于印发&lt;“十三五”节能减排综合性工作方案&gt;的通知》（国发[2013]37号），目前国家对化学需氧量COD、氨氮NH</w:t>
            </w:r>
            <w:r>
              <w:rPr>
                <w:color w:val="000000"/>
                <w:kern w:val="0"/>
                <w:sz w:val="24"/>
                <w:vertAlign w:val="subscript"/>
              </w:rPr>
              <w:t>3</w:t>
            </w:r>
            <w:r>
              <w:rPr>
                <w:color w:val="000000"/>
                <w:kern w:val="0"/>
                <w:sz w:val="24"/>
              </w:rPr>
              <w:t>-N、二氧化硫SO</w:t>
            </w:r>
            <w:r>
              <w:rPr>
                <w:color w:val="000000"/>
                <w:kern w:val="0"/>
                <w:sz w:val="24"/>
                <w:vertAlign w:val="subscript"/>
              </w:rPr>
              <w:t>2</w:t>
            </w:r>
            <w:r>
              <w:rPr>
                <w:color w:val="000000"/>
                <w:kern w:val="0"/>
                <w:sz w:val="24"/>
              </w:rPr>
              <w:t>、氮氧化物NOx、烟粉尘、VOCs等六种主要污染物纳入排放总量控制计划管理。</w:t>
            </w:r>
          </w:p>
          <w:p>
            <w:pPr>
              <w:pStyle w:val="5"/>
              <w:rPr>
                <w:rFonts w:hint="eastAsia" w:ascii="Times New Roman" w:hAnsi="Times New Roman" w:eastAsia="宋体" w:cs="Times New Roman"/>
                <w:b w:val="0"/>
                <w:bCs w:val="0"/>
                <w:color w:val="000000"/>
                <w:kern w:val="0"/>
                <w:sz w:val="24"/>
                <w:szCs w:val="24"/>
                <w:lang w:val="en-US" w:eastAsia="zh-CN" w:bidi="ar-SA"/>
              </w:rPr>
            </w:pPr>
            <w:r>
              <w:rPr>
                <w:rFonts w:hint="eastAsia" w:ascii="Times New Roman" w:hAnsi="Times New Roman" w:eastAsia="宋体" w:cs="Times New Roman"/>
                <w:b w:val="0"/>
                <w:bCs w:val="0"/>
                <w:color w:val="000000"/>
                <w:kern w:val="0"/>
                <w:sz w:val="24"/>
                <w:szCs w:val="24"/>
                <w:lang w:val="en-US" w:eastAsia="zh-CN" w:bidi="ar-SA"/>
              </w:rPr>
              <w:t>本项目总量控制因子详见表3-7。</w:t>
            </w:r>
          </w:p>
          <w:p>
            <w:pPr>
              <w:spacing w:line="440" w:lineRule="exact"/>
              <w:jc w:val="center"/>
              <w:rPr>
                <w:rFonts w:hint="eastAsia"/>
                <w:b/>
                <w:color w:val="000000"/>
                <w:sz w:val="24"/>
              </w:rPr>
            </w:pPr>
            <w:r>
              <w:rPr>
                <w:rFonts w:hint="eastAsia"/>
                <w:b/>
                <w:color w:val="000000"/>
                <w:sz w:val="24"/>
              </w:rPr>
              <w:t>表3-</w:t>
            </w:r>
            <w:r>
              <w:rPr>
                <w:rFonts w:hint="eastAsia"/>
                <w:b/>
                <w:color w:val="000000"/>
                <w:sz w:val="24"/>
                <w:lang w:val="en-US" w:eastAsia="zh-CN"/>
              </w:rPr>
              <w:t>7</w:t>
            </w:r>
            <w:r>
              <w:rPr>
                <w:rFonts w:hint="eastAsia"/>
                <w:b/>
                <w:color w:val="000000"/>
                <w:sz w:val="24"/>
              </w:rPr>
              <w:t xml:space="preserve"> 污染物排放总量控制指标表 t/a</w:t>
            </w:r>
          </w:p>
          <w:tbl>
            <w:tblPr>
              <w:tblStyle w:val="27"/>
              <w:tblW w:w="5000" w:type="pct"/>
              <w:tblInd w:w="5"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69"/>
              <w:gridCol w:w="1571"/>
              <w:gridCol w:w="1571"/>
              <w:gridCol w:w="1571"/>
              <w:gridCol w:w="1571"/>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1675" w:type="dxa"/>
                  <w:vMerge w:val="restart"/>
                  <w:vAlign w:val="center"/>
                </w:tcPr>
                <w:p>
                  <w:pPr>
                    <w:pStyle w:val="5"/>
                    <w:jc w:val="center"/>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类别</w:t>
                  </w:r>
                </w:p>
              </w:tc>
              <w:tc>
                <w:tcPr>
                  <w:tcW w:w="1676" w:type="dxa"/>
                  <w:vMerge w:val="restart"/>
                  <w:vAlign w:val="center"/>
                </w:tcPr>
                <w:p>
                  <w:pPr>
                    <w:pStyle w:val="5"/>
                    <w:jc w:val="center"/>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污染物名称</w:t>
                  </w:r>
                </w:p>
              </w:tc>
              <w:tc>
                <w:tcPr>
                  <w:tcW w:w="5028" w:type="dxa"/>
                  <w:gridSpan w:val="3"/>
                  <w:vAlign w:val="center"/>
                </w:tcPr>
                <w:p>
                  <w:pPr>
                    <w:pStyle w:val="5"/>
                    <w:jc w:val="center"/>
                    <w:rPr>
                      <w:rFonts w:hint="eastAsia" w:ascii="宋体" w:hAnsi="宋体" w:eastAsia="宋体" w:cs="宋体"/>
                      <w:b/>
                      <w:bCs/>
                      <w:sz w:val="21"/>
                      <w:szCs w:val="21"/>
                      <w:vertAlign w:val="baseline"/>
                    </w:rPr>
                  </w:pPr>
                  <w:r>
                    <w:rPr>
                      <w:rFonts w:hint="eastAsia" w:ascii="宋体" w:hAnsi="宋体" w:eastAsia="宋体" w:cs="宋体"/>
                      <w:b/>
                      <w:bCs/>
                      <w:sz w:val="21"/>
                      <w:szCs w:val="21"/>
                      <w:vertAlign w:val="baseline"/>
                      <w:lang w:val="en-US" w:eastAsia="zh-CN"/>
                    </w:rPr>
                    <w:t>污染物排放量</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675" w:type="dxa"/>
                  <w:vMerge w:val="continue"/>
                  <w:vAlign w:val="center"/>
                </w:tcPr>
                <w:p>
                  <w:pPr>
                    <w:pStyle w:val="5"/>
                    <w:jc w:val="center"/>
                    <w:rPr>
                      <w:rFonts w:hint="eastAsia" w:ascii="宋体" w:hAnsi="宋体" w:eastAsia="宋体" w:cs="宋体"/>
                      <w:b/>
                      <w:bCs/>
                      <w:sz w:val="21"/>
                      <w:szCs w:val="21"/>
                      <w:vertAlign w:val="baseline"/>
                    </w:rPr>
                  </w:pPr>
                </w:p>
              </w:tc>
              <w:tc>
                <w:tcPr>
                  <w:tcW w:w="1676" w:type="dxa"/>
                  <w:vMerge w:val="continue"/>
                  <w:vAlign w:val="center"/>
                </w:tcPr>
                <w:p>
                  <w:pPr>
                    <w:pStyle w:val="5"/>
                    <w:jc w:val="center"/>
                    <w:rPr>
                      <w:rFonts w:hint="eastAsia" w:ascii="宋体" w:hAnsi="宋体" w:eastAsia="宋体" w:cs="宋体"/>
                      <w:b/>
                      <w:bCs/>
                      <w:sz w:val="21"/>
                      <w:szCs w:val="21"/>
                      <w:vertAlign w:val="baseline"/>
                    </w:rPr>
                  </w:pPr>
                </w:p>
              </w:tc>
              <w:tc>
                <w:tcPr>
                  <w:tcW w:w="1676" w:type="dxa"/>
                  <w:vAlign w:val="center"/>
                </w:tcPr>
                <w:p>
                  <w:pPr>
                    <w:pStyle w:val="5"/>
                    <w:jc w:val="center"/>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现有项目</w:t>
                  </w:r>
                </w:p>
              </w:tc>
              <w:tc>
                <w:tcPr>
                  <w:tcW w:w="1676" w:type="dxa"/>
                  <w:vAlign w:val="center"/>
                </w:tcPr>
                <w:p>
                  <w:pPr>
                    <w:pStyle w:val="5"/>
                    <w:jc w:val="center"/>
                    <w:rPr>
                      <w:rFonts w:hint="eastAsia" w:ascii="宋体" w:hAnsi="宋体" w:eastAsia="宋体" w:cs="宋体"/>
                      <w:b/>
                      <w:bCs/>
                      <w:color w:val="auto"/>
                      <w:sz w:val="21"/>
                      <w:szCs w:val="21"/>
                      <w:vertAlign w:val="baseline"/>
                      <w:lang w:val="en-US" w:eastAsia="zh-CN"/>
                    </w:rPr>
                  </w:pPr>
                  <w:r>
                    <w:rPr>
                      <w:rFonts w:hint="eastAsia" w:ascii="宋体" w:hAnsi="宋体" w:eastAsia="宋体" w:cs="宋体"/>
                      <w:b/>
                      <w:bCs/>
                      <w:color w:val="auto"/>
                      <w:sz w:val="21"/>
                      <w:szCs w:val="21"/>
                      <w:vertAlign w:val="baseline"/>
                      <w:lang w:val="en-US" w:eastAsia="zh-CN"/>
                    </w:rPr>
                    <w:t>本项目新增</w:t>
                  </w:r>
                </w:p>
              </w:tc>
              <w:tc>
                <w:tcPr>
                  <w:tcW w:w="1676" w:type="dxa"/>
                  <w:vAlign w:val="center"/>
                </w:tcPr>
                <w:p>
                  <w:pPr>
                    <w:pStyle w:val="5"/>
                    <w:jc w:val="center"/>
                    <w:rPr>
                      <w:rFonts w:hint="eastAsia" w:ascii="宋体" w:hAnsi="宋体" w:eastAsia="宋体" w:cs="宋体"/>
                      <w:b/>
                      <w:bCs/>
                      <w:color w:val="auto"/>
                      <w:sz w:val="21"/>
                      <w:szCs w:val="21"/>
                      <w:vertAlign w:val="baseline"/>
                      <w:lang w:val="en-US" w:eastAsia="zh-CN"/>
                    </w:rPr>
                  </w:pPr>
                  <w:r>
                    <w:rPr>
                      <w:rFonts w:hint="eastAsia" w:ascii="宋体" w:hAnsi="宋体" w:eastAsia="宋体" w:cs="宋体"/>
                      <w:b/>
                      <w:bCs/>
                      <w:color w:val="auto"/>
                      <w:sz w:val="21"/>
                      <w:szCs w:val="21"/>
                      <w:vertAlign w:val="baseline"/>
                      <w:lang w:val="en-US" w:eastAsia="zh-CN"/>
                    </w:rPr>
                    <w:t>改扩建后</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675" w:type="dxa"/>
                  <w:vAlign w:val="center"/>
                </w:tcPr>
                <w:p>
                  <w:pPr>
                    <w:pStyle w:val="5"/>
                    <w:jc w:val="center"/>
                    <w:rPr>
                      <w:rFonts w:hint="default"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大气污染物</w:t>
                  </w:r>
                </w:p>
              </w:tc>
              <w:tc>
                <w:tcPr>
                  <w:tcW w:w="1676" w:type="dxa"/>
                  <w:vAlign w:val="center"/>
                </w:tcPr>
                <w:p>
                  <w:pPr>
                    <w:pStyle w:val="5"/>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颗粒物</w:t>
                  </w:r>
                </w:p>
              </w:tc>
              <w:tc>
                <w:tcPr>
                  <w:tcW w:w="1676" w:type="dxa"/>
                  <w:vAlign w:val="center"/>
                </w:tcPr>
                <w:p>
                  <w:pPr>
                    <w:pStyle w:val="5"/>
                    <w:jc w:val="center"/>
                    <w:rPr>
                      <w:rFonts w:hint="default"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0.126</w:t>
                  </w:r>
                </w:p>
              </w:tc>
              <w:tc>
                <w:tcPr>
                  <w:tcW w:w="1676" w:type="dxa"/>
                  <w:vAlign w:val="center"/>
                </w:tcPr>
                <w:p>
                  <w:pPr>
                    <w:pStyle w:val="5"/>
                    <w:jc w:val="center"/>
                    <w:rPr>
                      <w:rFonts w:hint="default"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4.6267</w:t>
                  </w:r>
                </w:p>
              </w:tc>
              <w:tc>
                <w:tcPr>
                  <w:tcW w:w="1676" w:type="dxa"/>
                  <w:vAlign w:val="center"/>
                </w:tcPr>
                <w:p>
                  <w:pPr>
                    <w:pStyle w:val="5"/>
                    <w:jc w:val="center"/>
                    <w:rPr>
                      <w:rFonts w:hint="default"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4.7527</w:t>
                  </w:r>
                </w:p>
              </w:tc>
            </w:tr>
          </w:tbl>
          <w:p>
            <w:pPr>
              <w:adjustRightInd w:val="0"/>
              <w:spacing w:line="360" w:lineRule="auto"/>
              <w:ind w:firstLine="420" w:firstLineChars="200"/>
              <w:rPr>
                <w:rFonts w:cs="宋体"/>
                <w:kern w:val="0"/>
                <w:szCs w:val="21"/>
              </w:rPr>
            </w:pPr>
          </w:p>
        </w:tc>
      </w:tr>
    </w:tbl>
    <w:p>
      <w:pPr>
        <w:pStyle w:val="24"/>
        <w:jc w:val="center"/>
        <w:outlineLvl w:val="0"/>
        <w:rPr>
          <w:rFonts w:ascii="Times New Roman" w:hAnsi="Times New Roman"/>
          <w:snapToGrid w:val="0"/>
          <w:sz w:val="30"/>
          <w:szCs w:val="30"/>
        </w:rPr>
      </w:pPr>
      <w:r>
        <w:rPr>
          <w:rFonts w:ascii="Times New Roman" w:hAnsi="Times New Roman"/>
          <w:snapToGrid w:val="0"/>
          <w:sz w:val="36"/>
          <w:szCs w:val="36"/>
        </w:rPr>
        <w:br w:type="page"/>
      </w:r>
      <w:r>
        <w:rPr>
          <w:rFonts w:hint="eastAsia" w:ascii="Times New Roman" w:hAnsi="Times New Roman"/>
          <w:snapToGrid w:val="0"/>
          <w:sz w:val="30"/>
          <w:szCs w:val="30"/>
        </w:rPr>
        <w:t>四、主要环境影响和保护措施</w:t>
      </w:r>
    </w:p>
    <w:tbl>
      <w:tblPr>
        <w:tblStyle w:val="26"/>
        <w:tblW w:w="898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07"/>
        <w:gridCol w:w="807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68" w:hRule="atLeast"/>
          <w:jc w:val="center"/>
        </w:trPr>
        <w:tc>
          <w:tcPr>
            <w:tcW w:w="907" w:type="dxa"/>
            <w:tcMar>
              <w:left w:w="28" w:type="dxa"/>
              <w:right w:w="28" w:type="dxa"/>
            </w:tcMar>
            <w:vAlign w:val="center"/>
          </w:tcPr>
          <w:p>
            <w:pPr>
              <w:pStyle w:val="24"/>
              <w:adjustRightInd w:val="0"/>
              <w:snapToGrid w:val="0"/>
              <w:spacing w:before="0" w:beforeAutospacing="0" w:after="0" w:afterAutospacing="0"/>
              <w:jc w:val="center"/>
              <w:rPr>
                <w:rFonts w:ascii="Times New Roman" w:hAnsi="Times New Roman" w:cs="宋体"/>
                <w:kern w:val="2"/>
                <w:szCs w:val="24"/>
              </w:rPr>
            </w:pPr>
            <w:r>
              <w:rPr>
                <w:rFonts w:hint="eastAsia" w:ascii="Times New Roman" w:hAnsi="Times New Roman" w:cs="宋体"/>
                <w:kern w:val="2"/>
                <w:szCs w:val="24"/>
              </w:rPr>
              <w:t>施工</w:t>
            </w:r>
          </w:p>
          <w:p>
            <w:pPr>
              <w:pStyle w:val="24"/>
              <w:adjustRightInd w:val="0"/>
              <w:snapToGrid w:val="0"/>
              <w:spacing w:before="0" w:beforeAutospacing="0" w:after="0" w:afterAutospacing="0"/>
              <w:jc w:val="center"/>
              <w:rPr>
                <w:rFonts w:ascii="Times New Roman" w:hAnsi="Times New Roman" w:cs="宋体"/>
                <w:kern w:val="2"/>
                <w:szCs w:val="24"/>
              </w:rPr>
            </w:pPr>
            <w:r>
              <w:rPr>
                <w:rFonts w:hint="eastAsia" w:ascii="Times New Roman" w:hAnsi="Times New Roman" w:cs="宋体"/>
                <w:kern w:val="2"/>
                <w:szCs w:val="24"/>
              </w:rPr>
              <w:t>期环</w:t>
            </w:r>
          </w:p>
          <w:p>
            <w:pPr>
              <w:pStyle w:val="24"/>
              <w:adjustRightInd w:val="0"/>
              <w:snapToGrid w:val="0"/>
              <w:spacing w:before="0" w:beforeAutospacing="0" w:after="0" w:afterAutospacing="0"/>
              <w:jc w:val="center"/>
              <w:rPr>
                <w:rFonts w:ascii="Times New Roman" w:hAnsi="Times New Roman" w:cs="宋体"/>
                <w:kern w:val="2"/>
                <w:szCs w:val="24"/>
              </w:rPr>
            </w:pPr>
            <w:r>
              <w:rPr>
                <w:rFonts w:hint="eastAsia" w:ascii="Times New Roman" w:hAnsi="Times New Roman" w:cs="宋体"/>
                <w:kern w:val="2"/>
                <w:szCs w:val="24"/>
              </w:rPr>
              <w:t>境保</w:t>
            </w:r>
          </w:p>
          <w:p>
            <w:pPr>
              <w:pStyle w:val="24"/>
              <w:adjustRightInd w:val="0"/>
              <w:snapToGrid w:val="0"/>
              <w:spacing w:before="0" w:beforeAutospacing="0" w:after="0" w:afterAutospacing="0"/>
              <w:jc w:val="center"/>
              <w:rPr>
                <w:rFonts w:ascii="Times New Roman" w:hAnsi="Times New Roman" w:cs="宋体"/>
                <w:kern w:val="2"/>
                <w:szCs w:val="24"/>
              </w:rPr>
            </w:pPr>
            <w:r>
              <w:rPr>
                <w:rFonts w:hint="eastAsia" w:ascii="Times New Roman" w:hAnsi="Times New Roman" w:cs="宋体"/>
                <w:kern w:val="2"/>
                <w:szCs w:val="24"/>
              </w:rPr>
              <w:t>护措</w:t>
            </w:r>
          </w:p>
          <w:p>
            <w:pPr>
              <w:pStyle w:val="24"/>
              <w:adjustRightInd w:val="0"/>
              <w:snapToGrid w:val="0"/>
              <w:spacing w:before="0" w:beforeAutospacing="0" w:after="0" w:afterAutospacing="0"/>
              <w:jc w:val="center"/>
              <w:rPr>
                <w:rFonts w:ascii="Times New Roman" w:hAnsi="Times New Roman" w:cs="宋体"/>
                <w:bCs/>
                <w:kern w:val="2"/>
                <w:sz w:val="21"/>
                <w:szCs w:val="21"/>
              </w:rPr>
            </w:pPr>
            <w:r>
              <w:rPr>
                <w:rFonts w:hint="eastAsia" w:ascii="Times New Roman" w:hAnsi="Times New Roman" w:cs="宋体"/>
                <w:kern w:val="2"/>
                <w:szCs w:val="24"/>
              </w:rPr>
              <w:t>施</w:t>
            </w:r>
          </w:p>
        </w:tc>
        <w:tc>
          <w:tcPr>
            <w:tcW w:w="8074" w:type="dxa"/>
            <w:vAlign w:val="center"/>
          </w:tcPr>
          <w:p>
            <w:pPr>
              <w:spacing w:line="360" w:lineRule="auto"/>
              <w:ind w:firstLine="480" w:firstLineChars="200"/>
              <w:textAlignment w:val="baseline"/>
              <w:rPr>
                <w:szCs w:val="21"/>
              </w:rPr>
            </w:pPr>
            <w:r>
              <w:rPr>
                <w:rFonts w:hint="eastAsia"/>
                <w:color w:val="000000"/>
                <w:sz w:val="24"/>
                <w:lang w:val="en-US" w:eastAsia="zh-CN"/>
              </w:rPr>
              <w:t>本项目利用自有和租赁的生产用房，没有土建施工，不产生土建施工的 相关环境影响。但在设备安装过程中会产生一些机械噪声，源强峰值可达 85~100 分贝，因此，为控制设备安装期间的噪声污染，施工单位应尽量采用低噪声的器械，避免夜间进行高噪振动操作，从而减轻对厂界周围声环境的影响。另外，设备安装期间产生的生活污水应排入污水管网，生活垃圾应及时收集处理，设备安装期间产生的固废应妥善处理，能回用的尽量回用，不能回用的应根据固废的性质不同交由不同的处理部门处理。设备安装期的影响短暂，随着安装调试的结束，环境影响随即停止</w:t>
            </w:r>
            <w:r>
              <w:rPr>
                <w:rFonts w:hint="eastAsia"/>
                <w:b/>
                <w:bCs/>
                <w:color w:val="000000"/>
                <w:sz w:val="24"/>
                <w:szCs w:val="32"/>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07" w:type="dxa"/>
            <w:tcMar>
              <w:left w:w="28" w:type="dxa"/>
              <w:right w:w="28" w:type="dxa"/>
            </w:tcMar>
            <w:vAlign w:val="center"/>
          </w:tcPr>
          <w:p>
            <w:pPr>
              <w:adjustRightInd w:val="0"/>
              <w:snapToGrid w:val="0"/>
              <w:jc w:val="center"/>
              <w:rPr>
                <w:rFonts w:cs="宋体"/>
                <w:bCs/>
                <w:sz w:val="24"/>
              </w:rPr>
            </w:pPr>
            <w:r>
              <w:rPr>
                <w:rFonts w:hint="eastAsia" w:cs="宋体"/>
                <w:bCs/>
                <w:sz w:val="24"/>
              </w:rPr>
              <w:t>运营</w:t>
            </w:r>
          </w:p>
          <w:p>
            <w:pPr>
              <w:adjustRightInd w:val="0"/>
              <w:snapToGrid w:val="0"/>
              <w:jc w:val="center"/>
              <w:rPr>
                <w:rFonts w:cs="宋体"/>
                <w:bCs/>
                <w:sz w:val="24"/>
              </w:rPr>
            </w:pPr>
            <w:r>
              <w:rPr>
                <w:rFonts w:hint="eastAsia" w:cs="宋体"/>
                <w:bCs/>
                <w:sz w:val="24"/>
              </w:rPr>
              <w:t>期环</w:t>
            </w:r>
          </w:p>
          <w:p>
            <w:pPr>
              <w:adjustRightInd w:val="0"/>
              <w:snapToGrid w:val="0"/>
              <w:jc w:val="center"/>
              <w:rPr>
                <w:rFonts w:cs="宋体"/>
                <w:bCs/>
                <w:sz w:val="24"/>
              </w:rPr>
            </w:pPr>
            <w:r>
              <w:rPr>
                <w:rFonts w:hint="eastAsia" w:cs="宋体"/>
                <w:bCs/>
                <w:sz w:val="24"/>
              </w:rPr>
              <w:t>境影</w:t>
            </w:r>
          </w:p>
          <w:p>
            <w:pPr>
              <w:adjustRightInd w:val="0"/>
              <w:snapToGrid w:val="0"/>
              <w:jc w:val="center"/>
              <w:rPr>
                <w:rFonts w:cs="宋体"/>
                <w:bCs/>
                <w:sz w:val="24"/>
              </w:rPr>
            </w:pPr>
            <w:r>
              <w:rPr>
                <w:rFonts w:hint="eastAsia" w:cs="宋体"/>
                <w:bCs/>
                <w:sz w:val="24"/>
              </w:rPr>
              <w:t>响和</w:t>
            </w:r>
          </w:p>
          <w:p>
            <w:pPr>
              <w:adjustRightInd w:val="0"/>
              <w:snapToGrid w:val="0"/>
              <w:jc w:val="center"/>
              <w:rPr>
                <w:rFonts w:cs="宋体"/>
                <w:bCs/>
                <w:sz w:val="24"/>
              </w:rPr>
            </w:pPr>
            <w:r>
              <w:rPr>
                <w:rFonts w:hint="eastAsia" w:cs="宋体"/>
                <w:bCs/>
                <w:sz w:val="24"/>
              </w:rPr>
              <w:t>保护</w:t>
            </w:r>
          </w:p>
          <w:p>
            <w:pPr>
              <w:adjustRightInd w:val="0"/>
              <w:snapToGrid w:val="0"/>
              <w:jc w:val="center"/>
              <w:rPr>
                <w:rFonts w:cs="宋体"/>
                <w:bCs/>
                <w:szCs w:val="21"/>
              </w:rPr>
            </w:pPr>
            <w:r>
              <w:rPr>
                <w:rFonts w:hint="eastAsia" w:cs="宋体"/>
                <w:bCs/>
                <w:sz w:val="24"/>
              </w:rPr>
              <w:t>措施</w:t>
            </w:r>
          </w:p>
        </w:tc>
        <w:tc>
          <w:tcPr>
            <w:tcW w:w="8074" w:type="dxa"/>
            <w:vAlign w:val="center"/>
          </w:tcPr>
          <w:p>
            <w:pPr>
              <w:pStyle w:val="64"/>
              <w:numPr>
                <w:ilvl w:val="0"/>
                <w:numId w:val="3"/>
              </w:numPr>
              <w:spacing w:line="360" w:lineRule="auto"/>
              <w:ind w:firstLineChars="0"/>
              <w:rPr>
                <w:b/>
                <w:bCs/>
                <w:sz w:val="24"/>
              </w:rPr>
            </w:pPr>
            <w:r>
              <w:rPr>
                <w:b/>
                <w:bCs/>
                <w:sz w:val="24"/>
              </w:rPr>
              <w:t>废气</w:t>
            </w:r>
            <w:r>
              <w:rPr>
                <w:rFonts w:hint="eastAsia"/>
                <w:b/>
                <w:bCs/>
                <w:sz w:val="24"/>
              </w:rPr>
              <w:t>环境影响和保护措施</w:t>
            </w:r>
          </w:p>
          <w:p>
            <w:pPr>
              <w:spacing w:line="360" w:lineRule="auto"/>
              <w:ind w:firstLine="482" w:firstLineChars="200"/>
              <w:rPr>
                <w:b/>
                <w:bCs/>
                <w:sz w:val="24"/>
              </w:rPr>
            </w:pPr>
            <w:r>
              <w:rPr>
                <w:rFonts w:hint="eastAsia"/>
                <w:b/>
                <w:bCs/>
                <w:sz w:val="24"/>
              </w:rPr>
              <w:t>1、废气污染源分析</w:t>
            </w:r>
          </w:p>
          <w:p>
            <w:pPr>
              <w:spacing w:line="360" w:lineRule="auto"/>
              <w:ind w:firstLine="480" w:firstLineChars="200"/>
              <w:textAlignment w:val="baseline"/>
              <w:rPr>
                <w:rFonts w:hint="eastAsia"/>
                <w:color w:val="000000"/>
                <w:sz w:val="24"/>
              </w:rPr>
            </w:pPr>
            <w:r>
              <w:rPr>
                <w:rFonts w:hint="eastAsia"/>
                <w:color w:val="000000"/>
                <w:sz w:val="24"/>
                <w:lang w:val="en-US" w:eastAsia="zh-CN"/>
              </w:rPr>
              <w:t>本工程实施后废气污染源主要为</w:t>
            </w:r>
            <w:r>
              <w:rPr>
                <w:rFonts w:hint="eastAsia"/>
                <w:color w:val="auto"/>
                <w:sz w:val="24"/>
                <w:lang w:val="en-US" w:eastAsia="zh-CN"/>
              </w:rPr>
              <w:t>道路运输扬尘</w:t>
            </w:r>
            <w:r>
              <w:rPr>
                <w:rFonts w:hint="eastAsia"/>
                <w:color w:val="000000"/>
                <w:sz w:val="24"/>
                <w:lang w:val="en-US" w:eastAsia="zh-CN"/>
              </w:rPr>
              <w:t xml:space="preserve">、破碎筛分粉尘、以及原料产品在厂内装卸、堆存与转运过程中产生的扬尘。 </w:t>
            </w:r>
          </w:p>
          <w:p>
            <w:pPr>
              <w:spacing w:line="360" w:lineRule="auto"/>
              <w:ind w:firstLine="480" w:firstLineChars="200"/>
              <w:textAlignment w:val="baseline"/>
              <w:rPr>
                <w:rFonts w:hint="eastAsia"/>
                <w:color w:val="auto"/>
                <w:sz w:val="24"/>
              </w:rPr>
            </w:pPr>
            <w:r>
              <w:rPr>
                <w:rFonts w:hint="eastAsia"/>
                <w:color w:val="auto"/>
                <w:sz w:val="24"/>
                <w:lang w:val="en-US" w:eastAsia="zh-CN"/>
              </w:rPr>
              <w:t>（1）道路运输扬尘</w:t>
            </w:r>
          </w:p>
          <w:p>
            <w:pPr>
              <w:tabs>
                <w:tab w:val="left" w:pos="2520"/>
              </w:tabs>
              <w:adjustRightInd w:val="0"/>
              <w:spacing w:line="360" w:lineRule="auto"/>
              <w:ind w:firstLine="470" w:firstLineChars="196"/>
              <w:rPr>
                <w:sz w:val="24"/>
              </w:rPr>
            </w:pPr>
            <w:r>
              <w:rPr>
                <w:rFonts w:hint="eastAsia"/>
                <w:sz w:val="24"/>
              </w:rPr>
              <w:t>原料运输的主要工具是汽车，汽车在运输过程不可避免地会产生扬尘。根据汽车道路扬尘扩散规律，当风速小于4m/s 时，风速对汽车在道路上行驶时引起的扬尘量影响较小；当风速大于4m/s 时，由于风也能引起扬尘，所以风速对汽车扬尘产生量有明显影响。在大气干燥和地面风速低于4m/s 条件下，汽车行驶时引起的路面扬尘量与汽车速度、汽车质量及道路表面扬尘量均成正比，其汽车扬尘量预测经验公式为：</w:t>
            </w:r>
          </w:p>
          <w:p>
            <w:pPr>
              <w:tabs>
                <w:tab w:val="left" w:pos="2520"/>
              </w:tabs>
              <w:adjustRightInd w:val="0"/>
              <w:spacing w:line="360" w:lineRule="auto"/>
              <w:ind w:firstLine="411" w:firstLineChars="196"/>
              <w:rPr>
                <w:sz w:val="24"/>
              </w:rPr>
            </w:pPr>
            <w:r>
              <w:rPr>
                <w:rFonts w:hint="eastAsia" w:ascii="仿宋" w:hAnsi="仿宋" w:eastAsia="仿宋" w:cs="仿宋"/>
              </w:rPr>
              <w:drawing>
                <wp:inline distT="0" distB="0" distL="0" distR="0">
                  <wp:extent cx="4370070" cy="1749425"/>
                  <wp:effectExtent l="0" t="0" r="11430" b="31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4370070" cy="1749425"/>
                          </a:xfrm>
                          <a:prstGeom prst="rect">
                            <a:avLst/>
                          </a:prstGeom>
                          <a:noFill/>
                          <a:ln>
                            <a:noFill/>
                          </a:ln>
                        </pic:spPr>
                      </pic:pic>
                    </a:graphicData>
                  </a:graphic>
                </wp:inline>
              </w:drawing>
            </w:r>
          </w:p>
          <w:p>
            <w:pPr>
              <w:pStyle w:val="96"/>
              <w:snapToGrid w:val="0"/>
              <w:ind w:firstLine="480" w:firstLineChars="200"/>
              <w:rPr>
                <w:rFonts w:ascii="Times New Roman" w:hAnsi="Times New Roman"/>
                <w:spacing w:val="0"/>
                <w:kern w:val="2"/>
                <w:szCs w:val="24"/>
              </w:rPr>
            </w:pPr>
            <w:r>
              <w:rPr>
                <w:rFonts w:hint="eastAsia" w:ascii="Times New Roman" w:hAnsi="Times New Roman"/>
                <w:spacing w:val="0"/>
                <w:kern w:val="2"/>
                <w:szCs w:val="24"/>
              </w:rPr>
              <w:t>根据预测，单辆汽车行驶扬尘量为0.0107kg/km。本项目每天运输量约</w:t>
            </w:r>
            <w:r>
              <w:rPr>
                <w:rFonts w:hint="eastAsia" w:ascii="Times New Roman" w:hAnsi="Times New Roman"/>
                <w:spacing w:val="0"/>
                <w:kern w:val="2"/>
                <w:szCs w:val="24"/>
                <w:lang w:val="en-US" w:eastAsia="zh-CN"/>
              </w:rPr>
              <w:t>900</w:t>
            </w:r>
            <w:r>
              <w:rPr>
                <w:rFonts w:hint="eastAsia" w:ascii="Times New Roman" w:hAnsi="Times New Roman"/>
                <w:spacing w:val="0"/>
                <w:kern w:val="2"/>
                <w:szCs w:val="24"/>
              </w:rPr>
              <w:t>t，平均每天共装卸车次约</w:t>
            </w:r>
            <w:r>
              <w:rPr>
                <w:rFonts w:hint="eastAsia" w:ascii="Times New Roman" w:hAnsi="Times New Roman"/>
                <w:spacing w:val="0"/>
                <w:kern w:val="2"/>
                <w:szCs w:val="24"/>
                <w:lang w:val="en-US" w:eastAsia="zh-CN"/>
              </w:rPr>
              <w:t>45</w:t>
            </w:r>
            <w:r>
              <w:rPr>
                <w:rFonts w:hint="eastAsia" w:ascii="Times New Roman" w:hAnsi="Times New Roman"/>
                <w:spacing w:val="0"/>
                <w:kern w:val="2"/>
                <w:szCs w:val="24"/>
              </w:rPr>
              <w:t>次左右。汽车在厂区行驶距离平均为0.1km/辆次，经计算项目在运输过程总产尘量为0.0</w:t>
            </w:r>
            <w:r>
              <w:rPr>
                <w:rFonts w:hint="eastAsia" w:ascii="Times New Roman" w:hAnsi="Times New Roman"/>
                <w:spacing w:val="0"/>
                <w:kern w:val="2"/>
                <w:szCs w:val="24"/>
                <w:lang w:val="en-US" w:eastAsia="zh-CN"/>
              </w:rPr>
              <w:t>482</w:t>
            </w:r>
            <w:r>
              <w:rPr>
                <w:rFonts w:hint="eastAsia" w:ascii="Times New Roman" w:hAnsi="Times New Roman"/>
                <w:spacing w:val="0"/>
                <w:kern w:val="2"/>
                <w:szCs w:val="24"/>
              </w:rPr>
              <w:t>kg/d，即0.01</w:t>
            </w:r>
            <w:r>
              <w:rPr>
                <w:rFonts w:hint="eastAsia" w:ascii="Times New Roman" w:hAnsi="Times New Roman"/>
                <w:spacing w:val="0"/>
                <w:kern w:val="2"/>
                <w:szCs w:val="24"/>
                <w:lang w:val="en-US" w:eastAsia="zh-CN"/>
              </w:rPr>
              <w:t>4</w:t>
            </w:r>
            <w:r>
              <w:rPr>
                <w:rFonts w:hint="eastAsia" w:ascii="Times New Roman" w:hAnsi="Times New Roman"/>
                <w:spacing w:val="0"/>
                <w:kern w:val="2"/>
                <w:szCs w:val="24"/>
              </w:rPr>
              <w:t>4t/a。运输粉尘的产生量与运输汽车覆盖与否、道路表面含尘量大小有关。</w:t>
            </w:r>
          </w:p>
          <w:p>
            <w:pPr>
              <w:spacing w:line="360" w:lineRule="auto"/>
              <w:ind w:firstLine="470" w:firstLineChars="196"/>
              <w:rPr>
                <w:sz w:val="24"/>
              </w:rPr>
            </w:pPr>
            <w:r>
              <w:rPr>
                <w:rFonts w:hint="eastAsia"/>
                <w:sz w:val="24"/>
              </w:rPr>
              <w:t>本评价要求运输车辆必须对车体进行覆盖，道路定期人工清扫，场区配有一辆专用洒水车，在晴天对路面进行清扫和洒水，在除雨天均进行6 次以上洒水降尘。预计防尘效率可达80%，即采取防护措施后运输粉尘产生量为0.0</w:t>
            </w:r>
            <w:r>
              <w:rPr>
                <w:rFonts w:hint="eastAsia"/>
                <w:sz w:val="24"/>
                <w:lang w:val="en-US" w:eastAsia="zh-CN"/>
              </w:rPr>
              <w:t>096</w:t>
            </w:r>
            <w:r>
              <w:rPr>
                <w:rFonts w:hint="eastAsia"/>
                <w:sz w:val="24"/>
              </w:rPr>
              <w:t>kg/d，即0.00</w:t>
            </w:r>
            <w:r>
              <w:rPr>
                <w:rFonts w:hint="eastAsia"/>
                <w:sz w:val="24"/>
                <w:lang w:val="en-US" w:eastAsia="zh-CN"/>
              </w:rPr>
              <w:t>28</w:t>
            </w:r>
            <w:r>
              <w:rPr>
                <w:rFonts w:hint="eastAsia"/>
                <w:sz w:val="24"/>
              </w:rPr>
              <w:t>t/a。</w:t>
            </w:r>
          </w:p>
          <w:p>
            <w:pPr>
              <w:numPr>
                <w:ilvl w:val="0"/>
                <w:numId w:val="4"/>
              </w:numPr>
              <w:spacing w:line="360" w:lineRule="auto"/>
              <w:ind w:firstLine="480" w:firstLineChars="200"/>
              <w:textAlignment w:val="baseline"/>
              <w:rPr>
                <w:rFonts w:hint="eastAsia"/>
                <w:color w:val="000000"/>
                <w:sz w:val="24"/>
                <w:lang w:val="en-US" w:eastAsia="zh-CN"/>
              </w:rPr>
            </w:pPr>
            <w:r>
              <w:rPr>
                <w:rFonts w:hint="eastAsia"/>
                <w:color w:val="000000"/>
                <w:sz w:val="24"/>
                <w:lang w:val="en-US" w:eastAsia="zh-CN"/>
              </w:rPr>
              <w:t xml:space="preserve">破碎粉尘 </w:t>
            </w:r>
          </w:p>
          <w:p>
            <w:pPr>
              <w:numPr>
                <w:ilvl w:val="0"/>
                <w:numId w:val="0"/>
              </w:numPr>
              <w:spacing w:line="360" w:lineRule="auto"/>
              <w:ind w:firstLine="480" w:firstLineChars="200"/>
              <w:textAlignment w:val="baseline"/>
              <w:rPr>
                <w:rFonts w:hint="eastAsia"/>
                <w:color w:val="000000"/>
                <w:sz w:val="24"/>
                <w:lang w:val="en-US" w:eastAsia="zh-CN"/>
              </w:rPr>
            </w:pPr>
            <w:r>
              <w:rPr>
                <w:rFonts w:hint="eastAsia"/>
                <w:color w:val="000000"/>
                <w:sz w:val="24"/>
                <w:lang w:val="en-US" w:eastAsia="zh-CN"/>
              </w:rPr>
              <w:t>石料在破碎和筛分过程中会产生粉尘，产污系数参考《排放源统计调查产排污核算方法和系数手册》“1101 石灰石、石膏开采行业”：破碎工艺颗粒物产污系数按 0.307kg/t-产品，本项目机制砂破碎加工量约14万t/a，则破碎粉尘产生量为42.098t/a。本项目原料破碎采取湿式破碎措施，通过增加石料含水率可有效降低粉尘产生量，降尘效率按照90%计算，</w:t>
            </w:r>
            <w:r>
              <w:rPr>
                <w:rFonts w:hint="default" w:ascii="Times New Roman" w:hAnsi="Times New Roman" w:cs="Times New Roman"/>
                <w:color w:val="000000"/>
                <w:sz w:val="24"/>
                <w:lang w:val="en-US" w:eastAsia="zh-CN"/>
              </w:rPr>
              <w:t>本项目车间为全封闭车间</w:t>
            </w:r>
            <w:r>
              <w:rPr>
                <w:rFonts w:hint="eastAsia" w:ascii="Times New Roman" w:hAnsi="Times New Roman" w:cs="Times New Roman"/>
                <w:color w:val="000000"/>
                <w:sz w:val="24"/>
                <w:lang w:val="en-US" w:eastAsia="zh-CN"/>
              </w:rPr>
              <w:t>，全车间设置喷雾除尘，</w:t>
            </w:r>
            <w:r>
              <w:rPr>
                <w:rFonts w:hint="eastAsia"/>
                <w:color w:val="000000"/>
                <w:sz w:val="24"/>
                <w:lang w:val="en-US" w:eastAsia="zh-CN"/>
              </w:rPr>
              <w:t>降尘效率按照60%计算，则破碎工序粉尘排放量为1.6839t/a。</w:t>
            </w:r>
          </w:p>
          <w:p>
            <w:pPr>
              <w:numPr>
                <w:ilvl w:val="0"/>
                <w:numId w:val="4"/>
              </w:numPr>
              <w:spacing w:line="360" w:lineRule="auto"/>
              <w:ind w:left="0" w:leftChars="0" w:firstLine="480" w:firstLineChars="200"/>
              <w:textAlignment w:val="baseline"/>
              <w:rPr>
                <w:rFonts w:hint="eastAsia"/>
                <w:color w:val="000000"/>
                <w:sz w:val="24"/>
                <w:lang w:val="en-US" w:eastAsia="zh-CN"/>
              </w:rPr>
            </w:pPr>
            <w:r>
              <w:rPr>
                <w:rFonts w:hint="eastAsia"/>
                <w:color w:val="000000"/>
                <w:sz w:val="24"/>
                <w:lang w:val="en-US" w:eastAsia="zh-CN"/>
              </w:rPr>
              <w:t>筛分粉尘</w:t>
            </w:r>
          </w:p>
          <w:p>
            <w:pPr>
              <w:numPr>
                <w:ilvl w:val="0"/>
                <w:numId w:val="0"/>
              </w:numPr>
              <w:spacing w:line="360" w:lineRule="auto"/>
              <w:ind w:firstLine="480" w:firstLineChars="200"/>
              <w:textAlignment w:val="baseline"/>
              <w:rPr>
                <w:rFonts w:hint="default"/>
                <w:color w:val="000000"/>
                <w:sz w:val="24"/>
                <w:lang w:val="en-US" w:eastAsia="zh-CN"/>
              </w:rPr>
            </w:pPr>
            <w:r>
              <w:rPr>
                <w:rFonts w:hint="eastAsia"/>
                <w:color w:val="000000"/>
                <w:sz w:val="24"/>
                <w:lang w:val="en-US" w:eastAsia="zh-CN"/>
              </w:rPr>
              <w:t>参考《排放源统计调查产排污核算方法和系数手册》“1101 石灰石、石膏开采行业”：筛分工艺颗粒物产污系数按 0.400 kg/t-产品，本项目机制砂破碎加工量约14万t/a，则筛分产生量为56t/a，本项目筛分采取湿式筛分措施，通过增加石料含水率可有效降低粉尘产生量，降尘效率按照90%计算，</w:t>
            </w:r>
            <w:r>
              <w:rPr>
                <w:rFonts w:hint="default" w:ascii="Times New Roman" w:hAnsi="Times New Roman" w:cs="Times New Roman"/>
                <w:color w:val="000000"/>
                <w:sz w:val="24"/>
                <w:lang w:val="en-US" w:eastAsia="zh-CN"/>
              </w:rPr>
              <w:t>本项目车间为全封闭车间</w:t>
            </w:r>
            <w:r>
              <w:rPr>
                <w:rFonts w:hint="eastAsia" w:ascii="Times New Roman" w:hAnsi="Times New Roman" w:cs="Times New Roman"/>
                <w:color w:val="000000"/>
                <w:sz w:val="24"/>
                <w:lang w:val="en-US" w:eastAsia="zh-CN"/>
              </w:rPr>
              <w:t>，全车间设置喷雾除尘，</w:t>
            </w:r>
            <w:r>
              <w:rPr>
                <w:rFonts w:hint="eastAsia"/>
                <w:color w:val="000000"/>
                <w:sz w:val="24"/>
                <w:lang w:val="en-US" w:eastAsia="zh-CN"/>
              </w:rPr>
              <w:t>降尘效率按照60%计算，则筛分工序粉尘排放量为2.24t/a。</w:t>
            </w:r>
          </w:p>
          <w:p>
            <w:pPr>
              <w:spacing w:line="360" w:lineRule="auto"/>
              <w:ind w:firstLine="480" w:firstLineChars="200"/>
              <w:textAlignment w:val="baseline"/>
              <w:rPr>
                <w:rFonts w:hint="default"/>
                <w:color w:val="000000"/>
                <w:sz w:val="24"/>
                <w:lang w:val="en-US" w:eastAsia="zh-CN"/>
              </w:rPr>
            </w:pPr>
            <w:r>
              <w:rPr>
                <w:rFonts w:hint="eastAsia"/>
                <w:color w:val="000000"/>
                <w:sz w:val="24"/>
                <w:lang w:val="en-US" w:eastAsia="zh-CN"/>
              </w:rPr>
              <w:t>（4）原料装卸粉尘</w:t>
            </w:r>
          </w:p>
          <w:p>
            <w:pPr>
              <w:spacing w:line="360" w:lineRule="auto"/>
              <w:ind w:firstLine="480" w:firstLineChars="200"/>
              <w:textAlignment w:val="baseline"/>
              <w:rPr>
                <w:rFonts w:hint="eastAsia"/>
                <w:color w:val="000000"/>
                <w:sz w:val="24"/>
              </w:rPr>
            </w:pPr>
            <w:r>
              <w:rPr>
                <w:rFonts w:hint="eastAsia"/>
                <w:color w:val="000000"/>
                <w:sz w:val="24"/>
              </w:rPr>
              <w:t>项目原料装卸工序产生粉尘。参照《逸散性工业粉尘控制技术》(中国环境科学出版社)“第十八章粒径加工厂”中给出的装料逸散尘产污系数0</w:t>
            </w:r>
            <w:r>
              <w:rPr>
                <w:rFonts w:hint="eastAsia"/>
                <w:color w:val="000000"/>
                <w:sz w:val="24"/>
                <w:lang w:val="en-US" w:eastAsia="zh-CN"/>
              </w:rPr>
              <w:t>.</w:t>
            </w:r>
            <w:r>
              <w:rPr>
                <w:rFonts w:hint="eastAsia"/>
                <w:color w:val="000000"/>
                <w:sz w:val="24"/>
              </w:rPr>
              <w:t>01kg/t</w:t>
            </w:r>
            <w:r>
              <w:rPr>
                <w:rFonts w:hint="eastAsia"/>
                <w:color w:val="000000"/>
                <w:sz w:val="24"/>
                <w:lang w:val="en-US" w:eastAsia="zh-CN"/>
              </w:rPr>
              <w:t>/</w:t>
            </w:r>
            <w:r>
              <w:rPr>
                <w:rFonts w:hint="eastAsia"/>
                <w:color w:val="000000"/>
                <w:sz w:val="24"/>
              </w:rPr>
              <w:t>卸料，则装料粉尘产生量为</w:t>
            </w:r>
            <w:r>
              <w:rPr>
                <w:rFonts w:hint="eastAsia"/>
                <w:color w:val="000000"/>
                <w:sz w:val="24"/>
                <w:lang w:val="en-US" w:eastAsia="zh-CN"/>
              </w:rPr>
              <w:t>1.4</w:t>
            </w:r>
            <w:r>
              <w:rPr>
                <w:rFonts w:hint="eastAsia"/>
                <w:color w:val="000000"/>
                <w:sz w:val="24"/>
              </w:rPr>
              <w:t>t/a。根据《逸散性工业粉尘控制技术》(中国环境科学出版社)“第十八章粒径加工厂”中的控制方法，原料装卸采用水喷雾方式进行控制尘源逸散，控制效率为50%。项目通过在进料口设置喷雾洒水装置，进行洒水抑尘，除尘效率为50%，则排放粉尘量约为0.</w:t>
            </w:r>
            <w:r>
              <w:rPr>
                <w:rFonts w:hint="eastAsia"/>
                <w:color w:val="000000"/>
                <w:sz w:val="24"/>
                <w:lang w:val="en-US" w:eastAsia="zh-CN"/>
              </w:rPr>
              <w:t>7</w:t>
            </w:r>
            <w:r>
              <w:rPr>
                <w:rFonts w:hint="eastAsia"/>
                <w:color w:val="000000"/>
                <w:sz w:val="24"/>
              </w:rPr>
              <w:t>t/a。</w:t>
            </w:r>
          </w:p>
          <w:p>
            <w:pPr>
              <w:spacing w:line="360" w:lineRule="auto"/>
              <w:ind w:firstLine="480" w:firstLineChars="200"/>
              <w:textAlignment w:val="baseline"/>
              <w:rPr>
                <w:rFonts w:hint="eastAsia"/>
                <w:color w:val="000000"/>
                <w:sz w:val="24"/>
              </w:rPr>
            </w:pPr>
            <w:r>
              <w:rPr>
                <w:rFonts w:hint="eastAsia"/>
                <w:color w:val="000000"/>
                <w:sz w:val="24"/>
                <w:lang w:val="en-US" w:eastAsia="zh-CN"/>
              </w:rPr>
              <w:t xml:space="preserve">（5）厂内堆存、转运环节粉尘 </w:t>
            </w:r>
          </w:p>
          <w:p>
            <w:pPr>
              <w:spacing w:line="360" w:lineRule="auto"/>
              <w:ind w:firstLine="480" w:firstLineChars="200"/>
              <w:textAlignment w:val="baseline"/>
            </w:pPr>
            <w:r>
              <w:rPr>
                <w:rFonts w:hint="eastAsia"/>
                <w:color w:val="000000"/>
                <w:sz w:val="24"/>
                <w:lang w:val="en-US" w:eastAsia="zh-CN"/>
              </w:rPr>
              <w:t>本项目原料、产品在厂内贮存，设置的成品砂区以及原料区，位于全封闭式生产车间内，基本不起扬尘。原料及产品转运通过皮带输送，对输送带</w:t>
            </w:r>
            <w:r>
              <w:rPr>
                <w:rFonts w:hint="default" w:ascii="Times New Roman" w:hAnsi="Times New Roman" w:eastAsia="宋体" w:cs="Times New Roman"/>
                <w:sz w:val="24"/>
                <w:szCs w:val="24"/>
              </w:rPr>
              <w:t>采用半密闭式廊道</w:t>
            </w:r>
            <w:r>
              <w:rPr>
                <w:rFonts w:hint="eastAsia"/>
                <w:color w:val="000000"/>
                <w:sz w:val="24"/>
                <w:lang w:val="en-US" w:eastAsia="zh-CN"/>
              </w:rPr>
              <w:t>处理，同时在各转运环节的卸料口、给料口安装喷淋装置洒水降尘，可有效减少粉尘的产生，因此在堆存、转运环节产生粉尘量不再考虑。</w:t>
            </w:r>
          </w:p>
          <w:p>
            <w:pPr>
              <w:pStyle w:val="64"/>
              <w:numPr>
                <w:ilvl w:val="0"/>
                <w:numId w:val="3"/>
              </w:numPr>
              <w:spacing w:line="360" w:lineRule="auto"/>
              <w:ind w:firstLineChars="0"/>
              <w:rPr>
                <w:b/>
                <w:bCs/>
                <w:sz w:val="24"/>
              </w:rPr>
            </w:pPr>
            <w:r>
              <w:rPr>
                <w:b/>
                <w:bCs/>
                <w:sz w:val="24"/>
              </w:rPr>
              <w:t>废</w:t>
            </w:r>
            <w:r>
              <w:rPr>
                <w:rFonts w:hint="eastAsia"/>
                <w:b/>
                <w:bCs/>
                <w:sz w:val="24"/>
                <w:lang w:val="en-US" w:eastAsia="zh-CN"/>
              </w:rPr>
              <w:t>水</w:t>
            </w:r>
            <w:r>
              <w:rPr>
                <w:rFonts w:hint="eastAsia"/>
                <w:b/>
                <w:bCs/>
                <w:sz w:val="24"/>
              </w:rPr>
              <w:t>环境影响和保护措施</w:t>
            </w:r>
          </w:p>
          <w:p>
            <w:pPr>
              <w:numPr>
                <w:ilvl w:val="0"/>
                <w:numId w:val="5"/>
              </w:numPr>
              <w:spacing w:line="360" w:lineRule="auto"/>
              <w:ind w:firstLine="480" w:firstLineChars="200"/>
              <w:rPr>
                <w:rFonts w:hint="eastAsia"/>
                <w:sz w:val="24"/>
                <w:lang w:val="en-US" w:eastAsia="zh-CN"/>
              </w:rPr>
            </w:pPr>
            <w:r>
              <w:rPr>
                <w:rFonts w:hint="eastAsia"/>
                <w:sz w:val="24"/>
                <w:lang w:val="en-US" w:eastAsia="zh-CN"/>
              </w:rPr>
              <w:t>生活用水</w:t>
            </w:r>
          </w:p>
          <w:p>
            <w:pPr>
              <w:spacing w:line="360" w:lineRule="auto"/>
              <w:ind w:firstLine="480" w:firstLineChars="200"/>
              <w:rPr>
                <w:rFonts w:hint="eastAsia"/>
                <w:lang w:val="en-US" w:eastAsia="zh-CN"/>
              </w:rPr>
            </w:pPr>
            <w:r>
              <w:rPr>
                <w:rFonts w:hint="default" w:ascii="Times New Roman" w:hAnsi="Times New Roman" w:cs="Times New Roman"/>
                <w:color w:val="auto"/>
                <w:spacing w:val="0"/>
                <w:position w:val="0"/>
                <w:sz w:val="24"/>
                <w:szCs w:val="24"/>
                <w:highlight w:val="none"/>
                <w:lang w:val="en-US" w:eastAsia="zh-CN"/>
              </w:rPr>
              <w:t>本项目不新增工作人员，不新增生活用水，生活废水化粪池处理后排入市政污水管网。</w:t>
            </w:r>
          </w:p>
          <w:p>
            <w:pPr>
              <w:pStyle w:val="5"/>
              <w:numPr>
                <w:ilvl w:val="0"/>
                <w:numId w:val="0"/>
              </w:numPr>
              <w:ind w:firstLine="480" w:firstLineChars="200"/>
              <w:rPr>
                <w:rFonts w:hint="default"/>
                <w:lang w:val="en-US" w:eastAsia="zh-CN"/>
              </w:rPr>
            </w:pPr>
            <w:r>
              <w:rPr>
                <w:rFonts w:hint="eastAsia" w:ascii="Times New Roman" w:hAnsi="Times New Roman" w:eastAsia="宋体" w:cs="Times New Roman"/>
                <w:b w:val="0"/>
                <w:bCs w:val="0"/>
                <w:kern w:val="2"/>
                <w:sz w:val="24"/>
                <w:szCs w:val="24"/>
                <w:lang w:val="en-US" w:eastAsia="zh-CN" w:bidi="ar-SA"/>
              </w:rPr>
              <w:t>2、生产用水</w:t>
            </w:r>
          </w:p>
          <w:p>
            <w:pPr>
              <w:spacing w:line="360" w:lineRule="auto"/>
              <w:ind w:firstLine="480" w:firstLineChars="200"/>
              <w:rPr>
                <w:rFonts w:ascii="Times New Roman" w:hAnsi="Times New Roman"/>
                <w:sz w:val="24"/>
              </w:rPr>
            </w:pPr>
            <w:r>
              <w:rPr>
                <w:rFonts w:ascii="Times New Roman" w:hAnsi="Times New Roman"/>
                <w:sz w:val="24"/>
              </w:rPr>
              <w:t>给水：项目用水主要来自</w:t>
            </w:r>
            <w:r>
              <w:rPr>
                <w:rFonts w:hint="eastAsia"/>
                <w:sz w:val="24"/>
                <w:lang w:val="en-US" w:eastAsia="zh-CN"/>
              </w:rPr>
              <w:t>车间喷雾</w:t>
            </w:r>
            <w:r>
              <w:rPr>
                <w:rFonts w:ascii="Times New Roman" w:hAnsi="Times New Roman"/>
                <w:sz w:val="24"/>
              </w:rPr>
              <w:t>抑尘用水、</w:t>
            </w:r>
            <w:r>
              <w:rPr>
                <w:rFonts w:hint="eastAsia" w:ascii="Times New Roman" w:hAnsi="Times New Roman"/>
                <w:color w:val="auto"/>
                <w:sz w:val="24"/>
                <w:szCs w:val="22"/>
              </w:rPr>
              <w:t>原料打湿用水</w:t>
            </w:r>
            <w:r>
              <w:rPr>
                <w:rFonts w:ascii="Times New Roman" w:hAnsi="Times New Roman"/>
                <w:sz w:val="24"/>
              </w:rPr>
              <w:t>、洗砂用水等，本项目生产设备无需清洗。具体用水量分析见下表。</w:t>
            </w:r>
          </w:p>
          <w:p>
            <w:pPr>
              <w:numPr>
                <w:ilvl w:val="0"/>
                <w:numId w:val="6"/>
              </w:numPr>
              <w:spacing w:line="360" w:lineRule="auto"/>
              <w:ind w:firstLine="480" w:firstLineChars="200"/>
              <w:rPr>
                <w:rFonts w:ascii="Times New Roman" w:hAnsi="Times New Roman"/>
                <w:color w:val="000000"/>
                <w:sz w:val="24"/>
                <w:szCs w:val="22"/>
              </w:rPr>
            </w:pPr>
            <w:r>
              <w:rPr>
                <w:rFonts w:hint="eastAsia"/>
                <w:color w:val="000000"/>
                <w:sz w:val="24"/>
                <w:szCs w:val="22"/>
                <w:lang w:val="en-US" w:eastAsia="zh-CN"/>
              </w:rPr>
              <w:t>车间喷雾</w:t>
            </w:r>
            <w:r>
              <w:rPr>
                <w:rFonts w:ascii="Times New Roman" w:hAnsi="Times New Roman"/>
                <w:color w:val="000000"/>
                <w:sz w:val="24"/>
                <w:szCs w:val="22"/>
              </w:rPr>
              <w:t>抑尘用水</w:t>
            </w:r>
          </w:p>
          <w:p>
            <w:pPr>
              <w:spacing w:line="360" w:lineRule="auto"/>
              <w:ind w:firstLine="480" w:firstLineChars="200"/>
              <w:rPr>
                <w:rFonts w:ascii="Times New Roman" w:hAnsi="Times New Roman"/>
                <w:sz w:val="24"/>
                <w:szCs w:val="24"/>
              </w:rPr>
            </w:pPr>
            <w:r>
              <w:rPr>
                <w:rFonts w:hint="eastAsia" w:ascii="Times New Roman" w:hAnsi="Times New Roman"/>
                <w:sz w:val="24"/>
                <w:szCs w:val="24"/>
                <w:lang w:val="en-US" w:eastAsia="zh-CN"/>
              </w:rPr>
              <w:t>根据估算，</w:t>
            </w:r>
            <w:r>
              <w:rPr>
                <w:rFonts w:hint="eastAsia"/>
                <w:sz w:val="24"/>
                <w:szCs w:val="24"/>
                <w:lang w:val="en-US" w:eastAsia="zh-CN"/>
              </w:rPr>
              <w:t>本</w:t>
            </w:r>
            <w:r>
              <w:rPr>
                <w:rFonts w:ascii="Times New Roman" w:hAnsi="Times New Roman"/>
                <w:sz w:val="24"/>
                <w:szCs w:val="24"/>
              </w:rPr>
              <w:t>项目</w:t>
            </w:r>
            <w:r>
              <w:rPr>
                <w:rFonts w:hint="eastAsia"/>
                <w:sz w:val="24"/>
                <w:szCs w:val="24"/>
                <w:lang w:val="en-US" w:eastAsia="zh-CN"/>
              </w:rPr>
              <w:t>车间抑尘</w:t>
            </w:r>
            <w:r>
              <w:rPr>
                <w:rFonts w:ascii="Times New Roman" w:hAnsi="Times New Roman"/>
                <w:sz w:val="24"/>
                <w:szCs w:val="24"/>
              </w:rPr>
              <w:t>面积</w:t>
            </w:r>
            <w:r>
              <w:rPr>
                <w:rFonts w:hint="eastAsia"/>
                <w:sz w:val="24"/>
                <w:szCs w:val="24"/>
                <w:lang w:val="en-US" w:eastAsia="zh-CN"/>
              </w:rPr>
              <w:t>约</w:t>
            </w:r>
            <w:r>
              <w:rPr>
                <w:rFonts w:ascii="Times New Roman" w:hAnsi="Times New Roman"/>
                <w:sz w:val="24"/>
                <w:szCs w:val="24"/>
              </w:rPr>
              <w:t>为</w:t>
            </w:r>
            <w:r>
              <w:rPr>
                <w:rFonts w:hint="eastAsia"/>
                <w:sz w:val="24"/>
                <w:szCs w:val="24"/>
                <w:lang w:val="en-US" w:eastAsia="zh-CN"/>
              </w:rPr>
              <w:t>3000</w:t>
            </w:r>
            <w:r>
              <w:rPr>
                <w:rFonts w:ascii="Times New Roman" w:hAnsi="Times New Roman"/>
                <w:sz w:val="24"/>
                <w:szCs w:val="24"/>
              </w:rPr>
              <w:t>m</w:t>
            </w:r>
            <w:r>
              <w:rPr>
                <w:rFonts w:ascii="Times New Roman" w:hAnsi="Times New Roman"/>
                <w:sz w:val="24"/>
                <w:szCs w:val="24"/>
                <w:vertAlign w:val="superscript"/>
              </w:rPr>
              <w:t>2</w:t>
            </w:r>
            <w:r>
              <w:rPr>
                <w:rFonts w:ascii="Times New Roman" w:hAnsi="Times New Roman"/>
                <w:sz w:val="24"/>
                <w:szCs w:val="24"/>
              </w:rPr>
              <w:t>，</w:t>
            </w:r>
            <w:r>
              <w:rPr>
                <w:rFonts w:ascii="Times New Roman" w:hAnsi="Times New Roman"/>
                <w:bCs/>
                <w:sz w:val="24"/>
                <w:szCs w:val="24"/>
              </w:rPr>
              <w:t>降尘用水量按0.</w:t>
            </w:r>
            <w:r>
              <w:rPr>
                <w:rFonts w:hint="eastAsia" w:ascii="Times New Roman" w:hAnsi="Times New Roman"/>
                <w:bCs/>
                <w:sz w:val="24"/>
                <w:szCs w:val="24"/>
                <w:lang w:val="en-US" w:eastAsia="zh-CN"/>
              </w:rPr>
              <w:t>2</w:t>
            </w:r>
            <w:r>
              <w:rPr>
                <w:rFonts w:ascii="Times New Roman" w:hAnsi="Times New Roman"/>
                <w:bCs/>
                <w:sz w:val="24"/>
                <w:szCs w:val="24"/>
              </w:rPr>
              <w:t>m</w:t>
            </w:r>
            <w:r>
              <w:rPr>
                <w:rFonts w:ascii="Times New Roman" w:hAnsi="Times New Roman"/>
                <w:bCs/>
                <w:sz w:val="24"/>
                <w:szCs w:val="24"/>
                <w:vertAlign w:val="superscript"/>
              </w:rPr>
              <w:t>3</w:t>
            </w:r>
            <w:r>
              <w:rPr>
                <w:rFonts w:ascii="Times New Roman" w:hAnsi="Times New Roman"/>
                <w:bCs/>
                <w:sz w:val="24"/>
                <w:szCs w:val="24"/>
              </w:rPr>
              <w:t>/</w:t>
            </w:r>
            <w:r>
              <w:rPr>
                <w:rFonts w:hint="eastAsia" w:ascii="Times New Roman" w:hAnsi="Times New Roman"/>
                <w:bCs/>
                <w:sz w:val="24"/>
                <w:szCs w:val="24"/>
                <w:lang w:val="en-US" w:eastAsia="zh-CN"/>
              </w:rPr>
              <w:t>1</w:t>
            </w:r>
            <w:r>
              <w:rPr>
                <w:rFonts w:ascii="Times New Roman" w:hAnsi="Times New Roman"/>
                <w:bCs/>
                <w:sz w:val="24"/>
                <w:szCs w:val="24"/>
              </w:rPr>
              <w:t>00m</w:t>
            </w:r>
            <w:r>
              <w:rPr>
                <w:rFonts w:ascii="Times New Roman" w:hAnsi="Times New Roman"/>
                <w:bCs/>
                <w:sz w:val="24"/>
                <w:szCs w:val="24"/>
                <w:vertAlign w:val="superscript"/>
              </w:rPr>
              <w:t>2</w:t>
            </w:r>
            <w:r>
              <w:rPr>
                <w:rFonts w:ascii="Times New Roman" w:hAnsi="Times New Roman"/>
                <w:bCs/>
                <w:sz w:val="24"/>
                <w:szCs w:val="24"/>
              </w:rPr>
              <w:t>·d计，则</w:t>
            </w:r>
            <w:r>
              <w:rPr>
                <w:rFonts w:ascii="Times New Roman" w:hAnsi="Times New Roman"/>
                <w:sz w:val="24"/>
                <w:szCs w:val="24"/>
              </w:rPr>
              <w:t>降尘洒水用水量为</w:t>
            </w:r>
            <w:r>
              <w:rPr>
                <w:rFonts w:hint="eastAsia"/>
                <w:sz w:val="24"/>
                <w:szCs w:val="24"/>
                <w:lang w:val="en-US" w:eastAsia="zh-CN"/>
              </w:rPr>
              <w:t>6</w:t>
            </w:r>
            <w:r>
              <w:rPr>
                <w:rFonts w:ascii="Times New Roman" w:hAnsi="Times New Roman"/>
                <w:sz w:val="24"/>
                <w:szCs w:val="24"/>
              </w:rPr>
              <w:t>m</w:t>
            </w:r>
            <w:r>
              <w:rPr>
                <w:rFonts w:ascii="Times New Roman" w:hAnsi="Times New Roman"/>
                <w:sz w:val="24"/>
                <w:szCs w:val="24"/>
                <w:vertAlign w:val="superscript"/>
              </w:rPr>
              <w:t>3</w:t>
            </w:r>
            <w:r>
              <w:rPr>
                <w:rFonts w:ascii="Times New Roman" w:hAnsi="Times New Roman"/>
                <w:sz w:val="24"/>
                <w:szCs w:val="24"/>
              </w:rPr>
              <w:t>/d，</w:t>
            </w:r>
            <w:r>
              <w:rPr>
                <w:rFonts w:hint="eastAsia"/>
                <w:sz w:val="24"/>
                <w:szCs w:val="24"/>
                <w:lang w:val="en-US" w:eastAsia="zh-CN"/>
              </w:rPr>
              <w:t>180</w:t>
            </w:r>
            <w:r>
              <w:rPr>
                <w:rFonts w:hint="eastAsia" w:ascii="Times New Roman" w:hAnsi="Times New Roman"/>
                <w:sz w:val="24"/>
                <w:szCs w:val="24"/>
                <w:lang w:val="en-US" w:eastAsia="zh-CN"/>
              </w:rPr>
              <w:t>0</w:t>
            </w:r>
            <w:r>
              <w:rPr>
                <w:rFonts w:ascii="Times New Roman" w:hAnsi="Times New Roman"/>
                <w:sz w:val="24"/>
                <w:szCs w:val="24"/>
              </w:rPr>
              <w:t>m</w:t>
            </w:r>
            <w:r>
              <w:rPr>
                <w:rFonts w:ascii="Times New Roman" w:hAnsi="Times New Roman"/>
                <w:sz w:val="24"/>
                <w:szCs w:val="24"/>
                <w:vertAlign w:val="superscript"/>
              </w:rPr>
              <w:t>3</w:t>
            </w:r>
            <w:r>
              <w:rPr>
                <w:rFonts w:ascii="Times New Roman" w:hAnsi="Times New Roman"/>
                <w:sz w:val="24"/>
                <w:szCs w:val="24"/>
              </w:rPr>
              <w:t>/a。此部分水蒸发或渗入土壤。</w:t>
            </w:r>
          </w:p>
          <w:p>
            <w:pPr>
              <w:spacing w:line="360" w:lineRule="auto"/>
              <w:ind w:firstLine="480" w:firstLineChars="200"/>
              <w:rPr>
                <w:rFonts w:ascii="Times New Roman" w:hAnsi="Times New Roman"/>
                <w:color w:val="auto"/>
                <w:sz w:val="24"/>
                <w:szCs w:val="22"/>
              </w:rPr>
            </w:pPr>
            <w:r>
              <w:rPr>
                <w:rFonts w:hint="eastAsia" w:ascii="Times New Roman" w:hAnsi="Times New Roman"/>
                <w:color w:val="auto"/>
                <w:sz w:val="24"/>
                <w:szCs w:val="22"/>
              </w:rPr>
              <w:t>（</w:t>
            </w:r>
            <w:r>
              <w:rPr>
                <w:rFonts w:hint="eastAsia" w:ascii="Times New Roman" w:hAnsi="Times New Roman"/>
                <w:color w:val="auto"/>
                <w:sz w:val="24"/>
                <w:szCs w:val="22"/>
                <w:lang w:val="en-US" w:eastAsia="zh-CN"/>
              </w:rPr>
              <w:t>2</w:t>
            </w:r>
            <w:r>
              <w:rPr>
                <w:rFonts w:hint="eastAsia" w:ascii="Times New Roman" w:hAnsi="Times New Roman"/>
                <w:color w:val="auto"/>
                <w:sz w:val="24"/>
                <w:szCs w:val="22"/>
              </w:rPr>
              <w:t>）原料打湿用水</w:t>
            </w:r>
          </w:p>
          <w:p>
            <w:pPr>
              <w:spacing w:line="360" w:lineRule="auto"/>
              <w:ind w:firstLine="480" w:firstLineChars="200"/>
              <w:rPr>
                <w:rFonts w:ascii="Times New Roman" w:hAnsi="Times New Roman"/>
                <w:color w:val="000000"/>
                <w:sz w:val="24"/>
                <w:szCs w:val="22"/>
              </w:rPr>
            </w:pPr>
            <w:r>
              <w:rPr>
                <w:rFonts w:hint="eastAsia" w:ascii="Times New Roman" w:hAnsi="Times New Roman"/>
                <w:color w:val="000000"/>
                <w:sz w:val="24"/>
                <w:szCs w:val="22"/>
              </w:rPr>
              <w:t>本项目破碎以及筛分采用湿法工艺进行，</w:t>
            </w:r>
            <w:r>
              <w:rPr>
                <w:rFonts w:hint="eastAsia"/>
                <w:color w:val="000000"/>
                <w:sz w:val="24"/>
                <w:szCs w:val="22"/>
                <w:lang w:val="en-US" w:eastAsia="zh-CN"/>
              </w:rPr>
              <w:t>在投料口</w:t>
            </w:r>
            <w:r>
              <w:rPr>
                <w:rFonts w:hint="eastAsia" w:ascii="Times New Roman" w:hAnsi="Times New Roman"/>
                <w:color w:val="000000"/>
                <w:sz w:val="24"/>
                <w:szCs w:val="22"/>
              </w:rPr>
              <w:t>上方设置喷</w:t>
            </w:r>
            <w:r>
              <w:rPr>
                <w:rFonts w:hint="eastAsia"/>
                <w:color w:val="000000"/>
                <w:sz w:val="24"/>
                <w:szCs w:val="22"/>
                <w:lang w:val="en-US" w:eastAsia="zh-CN"/>
              </w:rPr>
              <w:t>淋</w:t>
            </w:r>
            <w:r>
              <w:rPr>
                <w:rFonts w:hint="eastAsia" w:ascii="Times New Roman" w:hAnsi="Times New Roman"/>
                <w:color w:val="000000"/>
                <w:sz w:val="24"/>
                <w:szCs w:val="22"/>
              </w:rPr>
              <w:t>装置</w:t>
            </w:r>
            <w:r>
              <w:rPr>
                <w:rFonts w:hint="eastAsia"/>
                <w:color w:val="000000"/>
                <w:sz w:val="24"/>
                <w:szCs w:val="22"/>
                <w:lang w:val="en-US" w:eastAsia="zh-CN"/>
              </w:rPr>
              <w:t>将原料打湿</w:t>
            </w:r>
            <w:r>
              <w:rPr>
                <w:rFonts w:hint="eastAsia" w:ascii="Times New Roman" w:hAnsi="Times New Roman"/>
                <w:color w:val="000000"/>
                <w:sz w:val="24"/>
                <w:szCs w:val="22"/>
              </w:rPr>
              <w:t>使得原材料含水率在</w:t>
            </w:r>
            <w:r>
              <w:rPr>
                <w:rFonts w:hint="eastAsia"/>
                <w:color w:val="000000"/>
                <w:sz w:val="24"/>
                <w:szCs w:val="22"/>
                <w:lang w:val="en-US" w:eastAsia="zh-CN"/>
              </w:rPr>
              <w:t>2</w:t>
            </w:r>
            <w:r>
              <w:rPr>
                <w:rFonts w:hint="eastAsia" w:ascii="Times New Roman" w:hAnsi="Times New Roman"/>
                <w:color w:val="000000"/>
                <w:sz w:val="24"/>
                <w:szCs w:val="22"/>
              </w:rPr>
              <w:t>0%左右，</w:t>
            </w:r>
            <w:r>
              <w:rPr>
                <w:rFonts w:hint="eastAsia"/>
                <w:color w:val="000000"/>
                <w:sz w:val="24"/>
                <w:szCs w:val="22"/>
                <w:lang w:val="en-US" w:eastAsia="zh-CN"/>
              </w:rPr>
              <w:t>来</w:t>
            </w:r>
            <w:r>
              <w:rPr>
                <w:rFonts w:hint="eastAsia" w:ascii="Times New Roman" w:hAnsi="Times New Roman"/>
                <w:color w:val="000000"/>
                <w:sz w:val="24"/>
                <w:szCs w:val="22"/>
              </w:rPr>
              <w:t>控制破碎工序粉尘</w:t>
            </w:r>
            <w:r>
              <w:rPr>
                <w:rFonts w:hint="eastAsia"/>
                <w:color w:val="000000"/>
                <w:sz w:val="24"/>
                <w:szCs w:val="22"/>
                <w:lang w:val="en-US" w:eastAsia="zh-CN"/>
              </w:rPr>
              <w:t>排放</w:t>
            </w:r>
            <w:r>
              <w:rPr>
                <w:rFonts w:hint="eastAsia" w:ascii="Times New Roman" w:hAnsi="Times New Roman"/>
                <w:color w:val="000000"/>
                <w:sz w:val="24"/>
                <w:szCs w:val="22"/>
              </w:rPr>
              <w:t>。本项目各种原材料总用量为</w:t>
            </w:r>
            <w:r>
              <w:rPr>
                <w:rFonts w:hint="eastAsia" w:ascii="Times New Roman" w:hAnsi="Times New Roman"/>
                <w:color w:val="000000"/>
                <w:sz w:val="24"/>
                <w:szCs w:val="22"/>
                <w:lang w:val="en-US" w:eastAsia="zh-CN"/>
              </w:rPr>
              <w:t>14</w:t>
            </w:r>
            <w:r>
              <w:rPr>
                <w:rFonts w:hint="eastAsia" w:ascii="Times New Roman" w:hAnsi="Times New Roman"/>
                <w:color w:val="000000"/>
                <w:sz w:val="24"/>
                <w:szCs w:val="22"/>
              </w:rPr>
              <w:t>万t/a，则原料打湿用水共需</w:t>
            </w:r>
            <w:r>
              <w:rPr>
                <w:rFonts w:hint="eastAsia"/>
                <w:color w:val="000000"/>
                <w:sz w:val="24"/>
                <w:szCs w:val="22"/>
                <w:lang w:val="en-US" w:eastAsia="zh-CN"/>
              </w:rPr>
              <w:t>35000</w:t>
            </w:r>
            <w:r>
              <w:rPr>
                <w:rFonts w:hint="eastAsia" w:ascii="Times New Roman" w:hAnsi="Times New Roman"/>
                <w:color w:val="000000"/>
                <w:sz w:val="24"/>
                <w:szCs w:val="22"/>
              </w:rPr>
              <w:t>t/a，此部分用水</w:t>
            </w:r>
            <w:r>
              <w:rPr>
                <w:rFonts w:hint="eastAsia" w:ascii="Times New Roman" w:hAnsi="Times New Roman"/>
                <w:color w:val="000000"/>
                <w:sz w:val="24"/>
                <w:szCs w:val="22"/>
                <w:lang w:val="en-US" w:eastAsia="zh-CN"/>
              </w:rPr>
              <w:t>损耗水量约占总用水量的2</w:t>
            </w:r>
            <w:r>
              <w:rPr>
                <w:rFonts w:hint="eastAsia"/>
                <w:color w:val="000000"/>
                <w:sz w:val="24"/>
                <w:szCs w:val="22"/>
                <w:lang w:val="en-US" w:eastAsia="zh-CN"/>
              </w:rPr>
              <w:t>0</w:t>
            </w:r>
            <w:r>
              <w:rPr>
                <w:rFonts w:hint="eastAsia" w:ascii="Times New Roman" w:hAnsi="Times New Roman"/>
                <w:color w:val="000000"/>
                <w:sz w:val="24"/>
                <w:szCs w:val="22"/>
                <w:lang w:val="en-US" w:eastAsia="zh-CN"/>
              </w:rPr>
              <w:t>%，损耗水量</w:t>
            </w:r>
            <w:r>
              <w:rPr>
                <w:rFonts w:hint="eastAsia"/>
                <w:color w:val="000000"/>
                <w:sz w:val="24"/>
                <w:szCs w:val="22"/>
                <w:lang w:val="en-US" w:eastAsia="zh-CN"/>
              </w:rPr>
              <w:t>为7000</w:t>
            </w:r>
            <w:r>
              <w:rPr>
                <w:rFonts w:hint="eastAsia" w:ascii="Times New Roman" w:hAnsi="Times New Roman"/>
                <w:color w:val="000000"/>
                <w:sz w:val="24"/>
                <w:szCs w:val="22"/>
                <w:lang w:val="en-US" w:eastAsia="zh-CN"/>
              </w:rPr>
              <w:t>t/a，剩余的</w:t>
            </w:r>
            <w:r>
              <w:rPr>
                <w:rFonts w:hint="eastAsia" w:ascii="Times New Roman" w:hAnsi="Times New Roman"/>
                <w:color w:val="000000"/>
                <w:sz w:val="24"/>
                <w:szCs w:val="22"/>
              </w:rPr>
              <w:t>全部随物料进入水洗工序，物料经水洗之后，废水进入污水处理工序处置，净化后的上清液一部分用水</w:t>
            </w:r>
            <w:r>
              <w:rPr>
                <w:rFonts w:hint="eastAsia"/>
                <w:color w:val="000000"/>
                <w:sz w:val="24"/>
                <w:szCs w:val="22"/>
                <w:lang w:val="en-US" w:eastAsia="zh-CN"/>
              </w:rPr>
              <w:t>用于</w:t>
            </w:r>
            <w:r>
              <w:rPr>
                <w:rFonts w:hint="eastAsia" w:ascii="Times New Roman" w:hAnsi="Times New Roman"/>
                <w:color w:val="000000"/>
                <w:sz w:val="24"/>
                <w:szCs w:val="22"/>
              </w:rPr>
              <w:t>原料打湿，另一部分用于物料水洗，循环利用。</w:t>
            </w:r>
          </w:p>
          <w:p>
            <w:pPr>
              <w:spacing w:line="360" w:lineRule="auto"/>
              <w:ind w:left="420" w:leftChars="200"/>
              <w:rPr>
                <w:rFonts w:ascii="Times New Roman" w:hAnsi="Times New Roman"/>
                <w:color w:val="000000"/>
                <w:sz w:val="24"/>
                <w:szCs w:val="22"/>
              </w:rPr>
            </w:pPr>
            <w:r>
              <w:rPr>
                <w:rFonts w:hint="eastAsia" w:ascii="Times New Roman" w:hAnsi="Times New Roman"/>
                <w:color w:val="000000"/>
                <w:sz w:val="24"/>
                <w:szCs w:val="22"/>
              </w:rPr>
              <w:t>（</w:t>
            </w:r>
            <w:r>
              <w:rPr>
                <w:rFonts w:hint="eastAsia" w:ascii="Times New Roman" w:hAnsi="Times New Roman"/>
                <w:color w:val="000000"/>
                <w:sz w:val="24"/>
                <w:szCs w:val="22"/>
                <w:lang w:val="en-US" w:eastAsia="zh-CN"/>
              </w:rPr>
              <w:t>3</w:t>
            </w:r>
            <w:r>
              <w:rPr>
                <w:rFonts w:hint="eastAsia" w:ascii="Times New Roman" w:hAnsi="Times New Roman"/>
                <w:color w:val="000000"/>
                <w:sz w:val="24"/>
                <w:szCs w:val="22"/>
              </w:rPr>
              <w:t>）</w:t>
            </w:r>
            <w:r>
              <w:rPr>
                <w:rFonts w:ascii="Times New Roman" w:hAnsi="Times New Roman"/>
                <w:color w:val="000000"/>
                <w:sz w:val="24"/>
                <w:szCs w:val="22"/>
              </w:rPr>
              <w:t>洗砂</w:t>
            </w:r>
            <w:r>
              <w:rPr>
                <w:rFonts w:hint="eastAsia"/>
                <w:color w:val="000000"/>
                <w:sz w:val="24"/>
                <w:szCs w:val="22"/>
                <w:lang w:val="en-US" w:eastAsia="zh-CN"/>
              </w:rPr>
              <w:t>用</w:t>
            </w:r>
            <w:r>
              <w:rPr>
                <w:rFonts w:ascii="Times New Roman" w:hAnsi="Times New Roman"/>
                <w:color w:val="000000"/>
                <w:sz w:val="24"/>
                <w:szCs w:val="22"/>
              </w:rPr>
              <w:t>水</w:t>
            </w:r>
          </w:p>
          <w:p>
            <w:pPr>
              <w:spacing w:line="360" w:lineRule="auto"/>
              <w:ind w:firstLine="480" w:firstLineChars="200"/>
              <w:rPr>
                <w:rFonts w:hint="eastAsia"/>
                <w:color w:val="auto"/>
                <w:sz w:val="24"/>
                <w:szCs w:val="22"/>
                <w:lang w:val="en-US" w:eastAsia="zh-CN"/>
              </w:rPr>
            </w:pPr>
            <w:r>
              <w:rPr>
                <w:rFonts w:hint="eastAsia"/>
                <w:color w:val="000000"/>
                <w:sz w:val="24"/>
                <w:szCs w:val="22"/>
                <w:lang w:val="en-US" w:eastAsia="zh-CN"/>
              </w:rPr>
              <w:t>根据企业提供资料，洗砂用水量按水砂比1：1，</w:t>
            </w:r>
            <w:r>
              <w:rPr>
                <w:rFonts w:hint="eastAsia" w:ascii="Times New Roman" w:hAnsi="Times New Roman"/>
                <w:color w:val="000000"/>
                <w:sz w:val="24"/>
                <w:szCs w:val="22"/>
              </w:rPr>
              <w:t>本项目所使用的原材料</w:t>
            </w:r>
            <w:r>
              <w:rPr>
                <w:rFonts w:hint="eastAsia" w:ascii="Times New Roman" w:hAnsi="Times New Roman"/>
                <w:color w:val="000000"/>
                <w:sz w:val="24"/>
                <w:szCs w:val="22"/>
                <w:lang w:val="en-US" w:eastAsia="zh-CN"/>
              </w:rPr>
              <w:t>青石、鹅卵石</w:t>
            </w:r>
            <w:r>
              <w:rPr>
                <w:rFonts w:hint="eastAsia"/>
                <w:color w:val="000000"/>
                <w:sz w:val="24"/>
                <w:szCs w:val="22"/>
                <w:lang w:val="en-US" w:eastAsia="zh-CN"/>
              </w:rPr>
              <w:t>量为</w:t>
            </w:r>
            <w:r>
              <w:rPr>
                <w:rFonts w:hint="eastAsia" w:ascii="Times New Roman" w:hAnsi="Times New Roman"/>
                <w:color w:val="000000"/>
                <w:sz w:val="24"/>
                <w:szCs w:val="22"/>
                <w:lang w:val="en-US" w:eastAsia="zh-CN"/>
              </w:rPr>
              <w:t>约</w:t>
            </w:r>
            <w:r>
              <w:rPr>
                <w:rFonts w:hint="eastAsia"/>
                <w:color w:val="000000"/>
                <w:sz w:val="24"/>
                <w:szCs w:val="22"/>
                <w:lang w:val="en-US" w:eastAsia="zh-CN"/>
              </w:rPr>
              <w:t>140000</w:t>
            </w:r>
            <w:r>
              <w:rPr>
                <w:rFonts w:hint="default" w:ascii="Times New Roman" w:hAnsi="Times New Roman"/>
                <w:color w:val="000000"/>
                <w:sz w:val="24"/>
                <w:szCs w:val="22"/>
                <w:lang w:val="en-US" w:eastAsia="zh-CN"/>
              </w:rPr>
              <w:t>t/a</w:t>
            </w:r>
            <w:r>
              <w:rPr>
                <w:rFonts w:hint="eastAsia" w:ascii="Times New Roman" w:hAnsi="Times New Roman"/>
                <w:color w:val="000000"/>
                <w:sz w:val="24"/>
                <w:szCs w:val="22"/>
                <w:lang w:val="en-US" w:eastAsia="zh-CN"/>
              </w:rPr>
              <w:t>，则洗砂</w:t>
            </w:r>
            <w:r>
              <w:rPr>
                <w:rFonts w:hint="eastAsia"/>
                <w:color w:val="000000"/>
                <w:sz w:val="24"/>
                <w:szCs w:val="22"/>
                <w:lang w:val="en-US" w:eastAsia="zh-CN"/>
              </w:rPr>
              <w:t>用</w:t>
            </w:r>
            <w:r>
              <w:rPr>
                <w:rFonts w:hint="eastAsia" w:ascii="Times New Roman" w:hAnsi="Times New Roman"/>
                <w:color w:val="000000"/>
                <w:sz w:val="24"/>
                <w:szCs w:val="22"/>
                <w:lang w:val="en-US" w:eastAsia="zh-CN"/>
              </w:rPr>
              <w:t>水量为</w:t>
            </w:r>
            <w:r>
              <w:rPr>
                <w:rFonts w:hint="eastAsia"/>
                <w:color w:val="000000"/>
                <w:sz w:val="24"/>
                <w:szCs w:val="22"/>
                <w:lang w:val="en-US" w:eastAsia="zh-CN"/>
              </w:rPr>
              <w:t>140000</w:t>
            </w:r>
            <w:r>
              <w:rPr>
                <w:rFonts w:hint="eastAsia" w:ascii="Times New Roman" w:hAnsi="Times New Roman"/>
                <w:color w:val="000000"/>
                <w:sz w:val="24"/>
                <w:szCs w:val="22"/>
                <w:lang w:val="en-US" w:eastAsia="zh-CN"/>
              </w:rPr>
              <w:t>t/a</w:t>
            </w:r>
            <w:r>
              <w:rPr>
                <w:rFonts w:hint="eastAsia"/>
                <w:color w:val="auto"/>
                <w:sz w:val="24"/>
                <w:szCs w:val="22"/>
                <w:lang w:val="en-US" w:eastAsia="zh-CN"/>
              </w:rPr>
              <w:t>；</w:t>
            </w:r>
            <w:r>
              <w:rPr>
                <w:rFonts w:hint="eastAsia" w:ascii="Times New Roman" w:hAnsi="Times New Roman"/>
                <w:color w:val="000000"/>
                <w:sz w:val="24"/>
                <w:szCs w:val="22"/>
                <w:lang w:val="en-US" w:eastAsia="zh-CN"/>
              </w:rPr>
              <w:t>在洗砂过程中损耗水量约占总用水量的2</w:t>
            </w:r>
            <w:r>
              <w:rPr>
                <w:rFonts w:hint="eastAsia"/>
                <w:color w:val="000000"/>
                <w:sz w:val="24"/>
                <w:szCs w:val="22"/>
                <w:lang w:val="en-US" w:eastAsia="zh-CN"/>
              </w:rPr>
              <w:t>0</w:t>
            </w:r>
            <w:r>
              <w:rPr>
                <w:rFonts w:hint="eastAsia" w:ascii="Times New Roman" w:hAnsi="Times New Roman"/>
                <w:color w:val="000000"/>
                <w:sz w:val="24"/>
                <w:szCs w:val="22"/>
                <w:lang w:val="en-US" w:eastAsia="zh-CN"/>
              </w:rPr>
              <w:t>%</w:t>
            </w:r>
            <w:r>
              <w:rPr>
                <w:rFonts w:hint="eastAsia"/>
                <w:color w:val="000000"/>
                <w:sz w:val="24"/>
                <w:szCs w:val="22"/>
                <w:lang w:val="en-US" w:eastAsia="zh-CN"/>
              </w:rPr>
              <w:t>，</w:t>
            </w:r>
            <w:r>
              <w:rPr>
                <w:rFonts w:hint="eastAsia" w:ascii="Times New Roman" w:hAnsi="Times New Roman"/>
                <w:color w:val="000000"/>
                <w:sz w:val="24"/>
                <w:szCs w:val="22"/>
                <w:lang w:val="en-US" w:eastAsia="zh-CN"/>
              </w:rPr>
              <w:t>洗砂过程中损耗水量</w:t>
            </w:r>
            <w:r>
              <w:rPr>
                <w:rFonts w:hint="eastAsia"/>
                <w:color w:val="000000"/>
                <w:sz w:val="24"/>
                <w:szCs w:val="22"/>
                <w:lang w:val="en-US" w:eastAsia="zh-CN"/>
              </w:rPr>
              <w:t>为28000</w:t>
            </w:r>
            <w:r>
              <w:rPr>
                <w:rFonts w:hint="eastAsia" w:ascii="Times New Roman" w:hAnsi="Times New Roman"/>
                <w:color w:val="000000"/>
                <w:sz w:val="24"/>
                <w:szCs w:val="22"/>
                <w:lang w:val="en-US" w:eastAsia="zh-CN"/>
              </w:rPr>
              <w:t>t/a</w:t>
            </w:r>
            <w:r>
              <w:rPr>
                <w:rFonts w:hint="eastAsia"/>
                <w:color w:val="000000"/>
                <w:sz w:val="24"/>
                <w:szCs w:val="22"/>
                <w:lang w:val="en-US" w:eastAsia="zh-CN"/>
              </w:rPr>
              <w:t>。</w:t>
            </w:r>
          </w:p>
          <w:p>
            <w:pPr>
              <w:spacing w:line="360" w:lineRule="auto"/>
              <w:ind w:firstLine="480" w:firstLineChars="200"/>
              <w:rPr>
                <w:rFonts w:hint="default" w:ascii="Times New Roman" w:hAnsi="Times New Roman"/>
                <w:color w:val="000000"/>
                <w:sz w:val="24"/>
                <w:szCs w:val="22"/>
                <w:lang w:val="en-US"/>
              </w:rPr>
            </w:pPr>
            <w:r>
              <w:rPr>
                <w:rFonts w:hint="eastAsia" w:ascii="Times New Roman" w:hAnsi="Times New Roman"/>
                <w:color w:val="000000"/>
                <w:sz w:val="24"/>
                <w:szCs w:val="22"/>
                <w:lang w:val="en-US" w:eastAsia="zh-CN"/>
              </w:rPr>
              <w:t>洗砂后成品砂含水率约为7%，则成品砂带走的水分约为9</w:t>
            </w:r>
            <w:r>
              <w:rPr>
                <w:rFonts w:hint="eastAsia"/>
                <w:color w:val="000000"/>
                <w:sz w:val="24"/>
                <w:szCs w:val="22"/>
                <w:lang w:val="en-US" w:eastAsia="zh-CN"/>
              </w:rPr>
              <w:t>784.95</w:t>
            </w:r>
            <w:r>
              <w:rPr>
                <w:rFonts w:hint="eastAsia" w:ascii="Times New Roman" w:hAnsi="Times New Roman"/>
                <w:color w:val="000000"/>
                <w:sz w:val="24"/>
                <w:szCs w:val="22"/>
                <w:lang w:val="en-US" w:eastAsia="zh-CN"/>
              </w:rPr>
              <w:t>t/a</w:t>
            </w:r>
            <w:r>
              <w:rPr>
                <w:rFonts w:hint="eastAsia"/>
                <w:color w:val="000000"/>
                <w:sz w:val="24"/>
                <w:szCs w:val="22"/>
                <w:lang w:val="en-US" w:eastAsia="zh-CN"/>
              </w:rPr>
              <w:t>；</w:t>
            </w:r>
            <w:r>
              <w:rPr>
                <w:rFonts w:hint="eastAsia" w:ascii="Times New Roman" w:hAnsi="Times New Roman"/>
                <w:color w:val="000000"/>
                <w:sz w:val="24"/>
                <w:szCs w:val="22"/>
              </w:rPr>
              <w:t>洗砂废水排入至</w:t>
            </w:r>
            <w:r>
              <w:rPr>
                <w:rFonts w:hint="eastAsia" w:ascii="Times New Roman" w:hAnsi="Times New Roman"/>
                <w:color w:val="000000"/>
                <w:sz w:val="24"/>
                <w:szCs w:val="22"/>
                <w:lang w:val="en-US" w:eastAsia="zh-CN"/>
              </w:rPr>
              <w:t>循环沉淀池</w:t>
            </w:r>
            <w:r>
              <w:rPr>
                <w:rFonts w:hint="eastAsia" w:ascii="Times New Roman" w:hAnsi="Times New Roman"/>
                <w:color w:val="000000"/>
                <w:sz w:val="24"/>
                <w:szCs w:val="22"/>
              </w:rPr>
              <w:t>，加入絮凝剂，本项目使用的絮凝剂为聚丙烯酰胺，处理过后的上清液返回至</w:t>
            </w:r>
            <w:r>
              <w:rPr>
                <w:rFonts w:hint="eastAsia" w:ascii="Times New Roman" w:hAnsi="Times New Roman"/>
                <w:color w:val="000000"/>
                <w:sz w:val="24"/>
                <w:szCs w:val="22"/>
                <w:lang w:val="en-US" w:eastAsia="zh-CN"/>
              </w:rPr>
              <w:t>洗砂和</w:t>
            </w:r>
            <w:r>
              <w:rPr>
                <w:rFonts w:hint="eastAsia"/>
                <w:color w:val="000000"/>
                <w:sz w:val="24"/>
                <w:szCs w:val="22"/>
                <w:lang w:val="en-US" w:eastAsia="zh-CN"/>
              </w:rPr>
              <w:t>物料打湿</w:t>
            </w:r>
            <w:r>
              <w:rPr>
                <w:rFonts w:hint="eastAsia" w:ascii="Times New Roman" w:hAnsi="Times New Roman"/>
                <w:color w:val="000000"/>
                <w:sz w:val="24"/>
                <w:szCs w:val="22"/>
                <w:lang w:val="en-US" w:eastAsia="zh-CN"/>
              </w:rPr>
              <w:t>循环使用</w:t>
            </w:r>
            <w:r>
              <w:rPr>
                <w:rFonts w:hint="eastAsia" w:ascii="Times New Roman" w:hAnsi="Times New Roman"/>
                <w:color w:val="000000"/>
                <w:sz w:val="24"/>
                <w:szCs w:val="22"/>
              </w:rPr>
              <w:t>，</w:t>
            </w:r>
            <w:r>
              <w:rPr>
                <w:rFonts w:hint="eastAsia" w:ascii="Times New Roman" w:hAnsi="Times New Roman"/>
                <w:color w:val="000000"/>
                <w:sz w:val="24"/>
                <w:szCs w:val="22"/>
                <w:lang w:val="en-US" w:eastAsia="zh-CN"/>
              </w:rPr>
              <w:t>沉淀渣</w:t>
            </w:r>
            <w:r>
              <w:rPr>
                <w:rFonts w:hint="eastAsia" w:ascii="Times New Roman" w:hAnsi="Times New Roman"/>
                <w:color w:val="000000"/>
                <w:sz w:val="24"/>
                <w:szCs w:val="22"/>
              </w:rPr>
              <w:t>由泵送入至压滤机，据建设单位提供的资料，</w:t>
            </w:r>
            <w:r>
              <w:rPr>
                <w:rFonts w:hint="eastAsia" w:ascii="Times New Roman" w:hAnsi="Times New Roman"/>
                <w:color w:val="000000"/>
                <w:sz w:val="24"/>
                <w:szCs w:val="22"/>
                <w:lang w:val="en-US" w:eastAsia="zh-CN"/>
              </w:rPr>
              <w:t>沉淀渣</w:t>
            </w:r>
            <w:r>
              <w:rPr>
                <w:rFonts w:hint="eastAsia" w:ascii="Times New Roman" w:hAnsi="Times New Roman"/>
                <w:color w:val="000000"/>
                <w:sz w:val="24"/>
                <w:szCs w:val="22"/>
              </w:rPr>
              <w:t>中的含水率为</w:t>
            </w:r>
            <w:r>
              <w:rPr>
                <w:rFonts w:hint="eastAsia"/>
                <w:color w:val="000000"/>
                <w:sz w:val="24"/>
                <w:szCs w:val="22"/>
                <w:lang w:val="en-US" w:eastAsia="zh-CN"/>
              </w:rPr>
              <w:t>30</w:t>
            </w:r>
            <w:r>
              <w:rPr>
                <w:rFonts w:hint="eastAsia" w:ascii="Times New Roman" w:hAnsi="Times New Roman"/>
                <w:color w:val="000000"/>
                <w:sz w:val="24"/>
                <w:szCs w:val="22"/>
              </w:rPr>
              <w:t>%</w:t>
            </w:r>
            <w:r>
              <w:rPr>
                <w:rFonts w:hint="eastAsia" w:ascii="Times New Roman" w:hAnsi="Times New Roman"/>
                <w:color w:val="auto"/>
                <w:sz w:val="24"/>
                <w:szCs w:val="22"/>
                <w:lang w:eastAsia="zh-CN"/>
              </w:rPr>
              <w:t>，</w:t>
            </w:r>
            <w:r>
              <w:rPr>
                <w:rFonts w:hint="eastAsia" w:ascii="Times New Roman" w:hAnsi="Times New Roman"/>
                <w:color w:val="auto"/>
                <w:sz w:val="24"/>
                <w:szCs w:val="22"/>
                <w:lang w:val="en-US" w:eastAsia="zh-CN"/>
              </w:rPr>
              <w:t>沉淀渣</w:t>
            </w:r>
            <w:r>
              <w:rPr>
                <w:rFonts w:hint="eastAsia"/>
                <w:color w:val="auto"/>
                <w:sz w:val="24"/>
                <w:szCs w:val="22"/>
                <w:lang w:val="en-US" w:eastAsia="zh-CN"/>
              </w:rPr>
              <w:t>干重</w:t>
            </w:r>
            <w:r>
              <w:rPr>
                <w:rFonts w:hint="eastAsia" w:ascii="Times New Roman" w:hAnsi="Times New Roman"/>
                <w:color w:val="auto"/>
                <w:sz w:val="24"/>
                <w:szCs w:val="22"/>
              </w:rPr>
              <w:t>产生量为</w:t>
            </w:r>
            <w:r>
              <w:rPr>
                <w:rFonts w:hint="eastAsia"/>
                <w:color w:val="auto"/>
                <w:sz w:val="24"/>
                <w:szCs w:val="22"/>
                <w:lang w:val="en-US" w:eastAsia="zh-CN"/>
              </w:rPr>
              <w:t>9900.502t</w:t>
            </w:r>
            <w:r>
              <w:rPr>
                <w:rFonts w:hint="eastAsia" w:ascii="Times New Roman" w:hAnsi="Times New Roman"/>
                <w:color w:val="auto"/>
                <w:sz w:val="24"/>
                <w:szCs w:val="22"/>
              </w:rPr>
              <w:t>/</w:t>
            </w:r>
            <w:r>
              <w:rPr>
                <w:rFonts w:hint="eastAsia" w:ascii="Times New Roman" w:hAnsi="Times New Roman"/>
                <w:color w:val="000000"/>
                <w:sz w:val="24"/>
                <w:szCs w:val="22"/>
              </w:rPr>
              <w:t>a。</w:t>
            </w:r>
            <w:r>
              <w:rPr>
                <w:rFonts w:hint="eastAsia" w:ascii="Times New Roman" w:hAnsi="Times New Roman"/>
                <w:color w:val="000000"/>
                <w:sz w:val="24"/>
                <w:szCs w:val="22"/>
                <w:lang w:val="en-US" w:eastAsia="zh-CN"/>
              </w:rPr>
              <w:t>沉淀渣带走水量为</w:t>
            </w:r>
            <w:r>
              <w:rPr>
                <w:rFonts w:hint="eastAsia"/>
                <w:color w:val="000000"/>
                <w:sz w:val="24"/>
                <w:szCs w:val="22"/>
                <w:lang w:val="en-US" w:eastAsia="zh-CN"/>
              </w:rPr>
              <w:t>4243.07</w:t>
            </w:r>
            <w:r>
              <w:rPr>
                <w:rFonts w:hint="eastAsia" w:ascii="Times New Roman" w:hAnsi="Times New Roman"/>
                <w:color w:val="000000"/>
                <w:sz w:val="24"/>
                <w:szCs w:val="22"/>
                <w:lang w:val="en-US" w:eastAsia="zh-CN"/>
              </w:rPr>
              <w:t>t/a</w:t>
            </w:r>
            <w:r>
              <w:rPr>
                <w:rFonts w:hint="eastAsia"/>
                <w:color w:val="000000"/>
                <w:sz w:val="24"/>
                <w:szCs w:val="22"/>
                <w:lang w:val="en-US" w:eastAsia="zh-CN"/>
              </w:rPr>
              <w:t>。</w:t>
            </w:r>
          </w:p>
          <w:p>
            <w:pPr>
              <w:spacing w:line="360" w:lineRule="auto"/>
              <w:ind w:firstLine="480" w:firstLineChars="200"/>
              <w:rPr>
                <w:rFonts w:hint="default" w:ascii="Times New Roman" w:hAnsi="Times New Roman"/>
                <w:color w:val="000000"/>
                <w:sz w:val="24"/>
                <w:szCs w:val="22"/>
                <w:lang w:val="en-US" w:eastAsia="zh-CN"/>
              </w:rPr>
            </w:pPr>
            <w:r>
              <w:rPr>
                <w:rFonts w:hint="eastAsia" w:ascii="Times New Roman" w:hAnsi="Times New Roman"/>
                <w:color w:val="000000"/>
                <w:sz w:val="24"/>
                <w:szCs w:val="22"/>
                <w:lang w:val="en-US" w:eastAsia="zh-CN"/>
              </w:rPr>
              <w:t>因此，洗砂工段所需循环水量为</w:t>
            </w:r>
            <w:r>
              <w:rPr>
                <w:rFonts w:hint="eastAsia"/>
                <w:color w:val="auto"/>
                <w:sz w:val="24"/>
                <w:szCs w:val="22"/>
                <w:lang w:val="en-US" w:eastAsia="zh-CN"/>
              </w:rPr>
              <w:t>97971.98</w:t>
            </w:r>
            <w:r>
              <w:rPr>
                <w:rFonts w:hint="eastAsia" w:ascii="Times New Roman" w:hAnsi="Times New Roman"/>
                <w:color w:val="auto"/>
                <w:sz w:val="24"/>
                <w:szCs w:val="22"/>
                <w:lang w:val="en-US" w:eastAsia="zh-CN"/>
              </w:rPr>
              <w:t>t/a(</w:t>
            </w:r>
            <w:r>
              <w:rPr>
                <w:rFonts w:hint="eastAsia"/>
                <w:color w:val="auto"/>
                <w:sz w:val="24"/>
                <w:szCs w:val="22"/>
                <w:lang w:val="en-US" w:eastAsia="zh-CN"/>
              </w:rPr>
              <w:t>326.5733</w:t>
            </w:r>
            <w:r>
              <w:rPr>
                <w:rFonts w:hint="eastAsia" w:ascii="Times New Roman" w:hAnsi="Times New Roman"/>
                <w:color w:val="auto"/>
                <w:sz w:val="24"/>
                <w:szCs w:val="22"/>
                <w:lang w:val="en-US" w:eastAsia="zh-CN"/>
              </w:rPr>
              <w:t>m³/d)。洗砂工段需补充新鲜水量为</w:t>
            </w:r>
            <w:r>
              <w:rPr>
                <w:rFonts w:hint="eastAsia"/>
                <w:color w:val="auto"/>
                <w:sz w:val="24"/>
                <w:szCs w:val="22"/>
                <w:lang w:val="en-US" w:eastAsia="zh-CN"/>
              </w:rPr>
              <w:t>49028.02</w:t>
            </w:r>
            <w:r>
              <w:rPr>
                <w:rFonts w:hint="eastAsia" w:ascii="Times New Roman" w:hAnsi="Times New Roman"/>
                <w:color w:val="auto"/>
                <w:sz w:val="24"/>
                <w:szCs w:val="22"/>
                <w:lang w:val="en-US" w:eastAsia="zh-CN"/>
              </w:rPr>
              <w:t>t/a(</w:t>
            </w:r>
            <w:r>
              <w:rPr>
                <w:rFonts w:hint="eastAsia"/>
                <w:color w:val="auto"/>
                <w:sz w:val="24"/>
                <w:szCs w:val="22"/>
                <w:lang w:val="en-US" w:eastAsia="zh-CN"/>
              </w:rPr>
              <w:t>163.4267</w:t>
            </w:r>
            <w:r>
              <w:rPr>
                <w:rFonts w:hint="eastAsia" w:ascii="Times New Roman" w:hAnsi="Times New Roman"/>
                <w:color w:val="auto"/>
                <w:sz w:val="24"/>
                <w:szCs w:val="22"/>
                <w:lang w:val="en-US" w:eastAsia="zh-CN"/>
              </w:rPr>
              <w:t>m³/d)</w:t>
            </w:r>
            <w:r>
              <w:rPr>
                <w:rFonts w:hint="eastAsia"/>
                <w:color w:val="auto"/>
                <w:sz w:val="24"/>
                <w:szCs w:val="22"/>
                <w:lang w:val="en-US" w:eastAsia="zh-CN"/>
              </w:rPr>
              <w:t>，</w:t>
            </w:r>
            <w:r>
              <w:rPr>
                <w:rFonts w:hint="eastAsia" w:ascii="Times New Roman" w:hAnsi="Times New Roman"/>
                <w:color w:val="000000"/>
                <w:sz w:val="24"/>
                <w:szCs w:val="22"/>
                <w:lang w:val="en-US" w:eastAsia="zh-CN"/>
              </w:rPr>
              <w:t>洗砂废水引入废水处理系统进行絮凝沉淀处理后回用于生产。</w:t>
            </w:r>
          </w:p>
          <w:p>
            <w:pPr>
              <w:spacing w:line="360" w:lineRule="auto"/>
              <w:ind w:firstLine="480" w:firstLineChars="200"/>
              <w:rPr>
                <w:rFonts w:ascii="Times New Roman" w:hAnsi="Times New Roman"/>
                <w:sz w:val="24"/>
              </w:rPr>
            </w:pPr>
            <w:r>
              <w:rPr>
                <w:rFonts w:ascii="Times New Roman" w:hAnsi="Times New Roman"/>
                <w:color w:val="000000"/>
                <w:sz w:val="24"/>
                <w:szCs w:val="22"/>
              </w:rPr>
              <w:t>建设项目</w:t>
            </w:r>
            <w:r>
              <w:rPr>
                <w:rFonts w:hint="eastAsia"/>
                <w:color w:val="000000"/>
                <w:sz w:val="24"/>
                <w:szCs w:val="22"/>
                <w:lang w:val="en-US" w:eastAsia="zh-CN"/>
              </w:rPr>
              <w:t>车间喷雾抑尘</w:t>
            </w:r>
            <w:r>
              <w:rPr>
                <w:rFonts w:ascii="Times New Roman" w:hAnsi="Times New Roman"/>
                <w:color w:val="000000"/>
                <w:sz w:val="24"/>
                <w:szCs w:val="22"/>
              </w:rPr>
              <w:t>用水全部蒸发损耗，不外排；洗砂废水排放至</w:t>
            </w:r>
            <w:r>
              <w:rPr>
                <w:rFonts w:hint="eastAsia"/>
                <w:color w:val="000000"/>
                <w:sz w:val="24"/>
                <w:szCs w:val="22"/>
                <w:lang w:val="en-US" w:eastAsia="zh-CN"/>
              </w:rPr>
              <w:t>混合水池</w:t>
            </w:r>
            <w:r>
              <w:rPr>
                <w:rFonts w:ascii="Times New Roman" w:hAnsi="Times New Roman"/>
                <w:color w:val="000000"/>
                <w:sz w:val="24"/>
                <w:szCs w:val="22"/>
              </w:rPr>
              <w:t>内，经絮凝剂压滤后的上清液返回清水池内，压滤的</w:t>
            </w:r>
            <w:r>
              <w:rPr>
                <w:rFonts w:hint="eastAsia"/>
                <w:color w:val="000000"/>
                <w:sz w:val="24"/>
                <w:szCs w:val="22"/>
                <w:lang w:val="en-US" w:eastAsia="zh-CN"/>
              </w:rPr>
              <w:t>沉渣</w:t>
            </w:r>
            <w:r>
              <w:rPr>
                <w:rFonts w:ascii="Times New Roman" w:hAnsi="Times New Roman"/>
                <w:color w:val="000000"/>
                <w:sz w:val="24"/>
                <w:szCs w:val="22"/>
              </w:rPr>
              <w:t>外售，定期补充损耗用水，洗砂废水不外排</w:t>
            </w:r>
            <w:r>
              <w:rPr>
                <w:rFonts w:ascii="Times New Roman" w:hAnsi="Times New Roman"/>
                <w:sz w:val="24"/>
              </w:rPr>
              <w:t>。具体见水平衡图。</w:t>
            </w:r>
          </w:p>
          <w:p>
            <w:pPr>
              <w:spacing w:line="360" w:lineRule="auto"/>
              <w:ind w:firstLine="420" w:firstLineChars="200"/>
              <w:rPr>
                <w:rFonts w:ascii="Times New Roman" w:hAnsi="Times New Roman"/>
                <w:sz w:val="24"/>
              </w:rPr>
            </w:pPr>
            <w:r>
              <w:drawing>
                <wp:inline distT="0" distB="0" distL="114300" distR="114300">
                  <wp:extent cx="4424045" cy="2863850"/>
                  <wp:effectExtent l="0" t="0" r="14605" b="12700"/>
                  <wp:docPr id="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7"/>
                          <pic:cNvPicPr>
                            <a:picLocks noChangeAspect="1"/>
                          </pic:cNvPicPr>
                        </pic:nvPicPr>
                        <pic:blipFill>
                          <a:blip r:embed="rId11"/>
                          <a:stretch>
                            <a:fillRect/>
                          </a:stretch>
                        </pic:blipFill>
                        <pic:spPr>
                          <a:xfrm>
                            <a:off x="0" y="0"/>
                            <a:ext cx="4424045" cy="2863850"/>
                          </a:xfrm>
                          <a:prstGeom prst="rect">
                            <a:avLst/>
                          </a:prstGeom>
                          <a:noFill/>
                          <a:ln>
                            <a:noFill/>
                          </a:ln>
                        </pic:spPr>
                      </pic:pic>
                    </a:graphicData>
                  </a:graphic>
                </wp:inline>
              </w:drawing>
            </w:r>
          </w:p>
          <w:p>
            <w:pPr>
              <w:pStyle w:val="10"/>
              <w:spacing w:after="0" w:line="360" w:lineRule="auto"/>
              <w:ind w:firstLine="480" w:firstLineChars="200"/>
              <w:jc w:val="center"/>
              <w:rPr>
                <w:rFonts w:hint="default"/>
                <w:bCs/>
                <w:color w:val="000000"/>
                <w:sz w:val="24"/>
                <w:szCs w:val="22"/>
                <w:lang w:val="en-US" w:eastAsia="zh-CN"/>
              </w:rPr>
            </w:pPr>
            <w:r>
              <w:rPr>
                <w:rFonts w:hint="eastAsia"/>
                <w:bCs/>
                <w:color w:val="000000"/>
                <w:sz w:val="24"/>
                <w:szCs w:val="22"/>
                <w:lang w:val="en-US" w:eastAsia="zh-CN"/>
              </w:rPr>
              <w:t xml:space="preserve">图4-1 </w:t>
            </w:r>
            <w:r>
              <w:rPr>
                <w:rFonts w:hint="eastAsia" w:ascii="Times New Roman" w:hAnsi="Times New Roman"/>
                <w:bCs/>
                <w:color w:val="000000"/>
                <w:sz w:val="24"/>
                <w:szCs w:val="22"/>
                <w:lang w:val="en-US" w:eastAsia="zh-CN"/>
              </w:rPr>
              <w:t>项目水平衡图</w:t>
            </w:r>
            <w:r>
              <w:rPr>
                <w:rFonts w:hint="eastAsia"/>
                <w:b/>
                <w:bCs/>
                <w:color w:val="auto"/>
                <w:spacing w:val="5"/>
                <w:sz w:val="24"/>
              </w:rPr>
              <w:t>（单位t/</w:t>
            </w:r>
            <w:r>
              <w:rPr>
                <w:rFonts w:hint="eastAsia"/>
                <w:b/>
                <w:bCs/>
                <w:color w:val="auto"/>
                <w:spacing w:val="5"/>
                <w:sz w:val="24"/>
                <w:lang w:val="en-US" w:eastAsia="zh-CN"/>
              </w:rPr>
              <w:t>a</w:t>
            </w:r>
            <w:r>
              <w:rPr>
                <w:rFonts w:hint="eastAsia"/>
                <w:b/>
                <w:bCs/>
                <w:color w:val="auto"/>
                <w:spacing w:val="5"/>
                <w:sz w:val="24"/>
              </w:rPr>
              <w:t>）</w:t>
            </w:r>
          </w:p>
          <w:p>
            <w:pPr>
              <w:pStyle w:val="10"/>
              <w:spacing w:after="0" w:line="360" w:lineRule="auto"/>
              <w:ind w:firstLine="480" w:firstLineChars="200"/>
              <w:rPr>
                <w:rFonts w:ascii="Times New Roman" w:hAnsi="Times New Roman"/>
                <w:bCs/>
                <w:color w:val="000000"/>
                <w:sz w:val="24"/>
                <w:szCs w:val="22"/>
              </w:rPr>
            </w:pPr>
            <w:r>
              <w:rPr>
                <w:rFonts w:hint="eastAsia"/>
                <w:bCs/>
                <w:color w:val="000000"/>
                <w:sz w:val="24"/>
                <w:szCs w:val="22"/>
                <w:lang w:val="en-US" w:eastAsia="zh-CN"/>
              </w:rPr>
              <w:t>3、</w:t>
            </w:r>
            <w:r>
              <w:rPr>
                <w:rFonts w:ascii="Times New Roman" w:hAnsi="Times New Roman"/>
                <w:bCs/>
                <w:color w:val="000000"/>
                <w:sz w:val="24"/>
                <w:szCs w:val="22"/>
              </w:rPr>
              <w:t>洗砂废水处理措施可行性分析</w:t>
            </w:r>
          </w:p>
          <w:p>
            <w:pPr>
              <w:spacing w:line="360" w:lineRule="auto"/>
              <w:ind w:firstLine="420" w:firstLineChars="200"/>
              <w:rPr>
                <w:rFonts w:hint="eastAsia" w:ascii="Times New Roman" w:hAnsi="Times New Roman" w:eastAsia="宋体"/>
                <w:color w:val="FF0000"/>
                <w:sz w:val="24"/>
                <w:szCs w:val="22"/>
                <w:lang w:eastAsia="zh-CN"/>
              </w:rPr>
            </w:pPr>
            <w:r>
              <w:drawing>
                <wp:inline distT="0" distB="0" distL="114300" distR="114300">
                  <wp:extent cx="4836160" cy="2098040"/>
                  <wp:effectExtent l="0" t="0" r="2540" b="16510"/>
                  <wp:docPr id="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
                          <pic:cNvPicPr>
                            <a:picLocks noChangeAspect="1"/>
                          </pic:cNvPicPr>
                        </pic:nvPicPr>
                        <pic:blipFill>
                          <a:blip r:embed="rId12"/>
                          <a:stretch>
                            <a:fillRect/>
                          </a:stretch>
                        </pic:blipFill>
                        <pic:spPr>
                          <a:xfrm>
                            <a:off x="0" y="0"/>
                            <a:ext cx="4836160" cy="2098040"/>
                          </a:xfrm>
                          <a:prstGeom prst="rect">
                            <a:avLst/>
                          </a:prstGeom>
                          <a:noFill/>
                          <a:ln>
                            <a:noFill/>
                          </a:ln>
                        </pic:spPr>
                      </pic:pic>
                    </a:graphicData>
                  </a:graphic>
                </wp:inline>
              </w:drawing>
            </w:r>
          </w:p>
          <w:p>
            <w:pPr>
              <w:pStyle w:val="6"/>
              <w:jc w:val="center"/>
              <w:rPr>
                <w:rFonts w:hint="eastAsia" w:ascii="Times New Roman" w:hAnsi="Times New Roman" w:eastAsia="宋体"/>
                <w:color w:val="FF0000"/>
                <w:sz w:val="24"/>
                <w:szCs w:val="22"/>
                <w:lang w:eastAsia="zh-CN"/>
              </w:rPr>
            </w:pPr>
            <w:r>
              <w:rPr>
                <w:rFonts w:hint="eastAsia"/>
                <w:bCs/>
                <w:color w:val="000000"/>
                <w:sz w:val="24"/>
                <w:szCs w:val="22"/>
                <w:lang w:val="en-US" w:eastAsia="zh-CN"/>
              </w:rPr>
              <w:t xml:space="preserve">图4-2 </w:t>
            </w:r>
            <w:r>
              <w:rPr>
                <w:rFonts w:hint="eastAsia" w:ascii="Times New Roman" w:hAnsi="Times New Roman" w:eastAsia="宋体" w:cs="Times New Roman"/>
                <w:bCs/>
                <w:color w:val="000000"/>
                <w:spacing w:val="0"/>
                <w:kern w:val="0"/>
                <w:sz w:val="24"/>
                <w:szCs w:val="22"/>
                <w:lang w:val="en-US" w:eastAsia="zh-CN" w:bidi="ar-SA"/>
              </w:rPr>
              <w:t>废水处理工艺图</w:t>
            </w:r>
          </w:p>
          <w:p>
            <w:pPr>
              <w:pStyle w:val="10"/>
              <w:numPr>
                <w:ilvl w:val="0"/>
                <w:numId w:val="0"/>
              </w:numPr>
              <w:spacing w:after="0" w:line="360" w:lineRule="auto"/>
              <w:ind w:left="420" w:leftChars="0" w:right="113" w:rightChars="0"/>
              <w:rPr>
                <w:rFonts w:ascii="Times New Roman" w:hAnsi="Times New Roman"/>
                <w:bCs/>
                <w:color w:val="000000"/>
                <w:sz w:val="24"/>
                <w:szCs w:val="22"/>
              </w:rPr>
            </w:pPr>
            <w:r>
              <w:rPr>
                <w:rFonts w:hint="eastAsia"/>
                <w:bCs/>
                <w:color w:val="000000"/>
                <w:sz w:val="24"/>
                <w:szCs w:val="22"/>
                <w:lang w:eastAsia="zh-CN"/>
              </w:rPr>
              <w:t>（</w:t>
            </w:r>
            <w:r>
              <w:rPr>
                <w:rFonts w:hint="eastAsia"/>
                <w:bCs/>
                <w:color w:val="000000"/>
                <w:sz w:val="24"/>
                <w:szCs w:val="22"/>
                <w:lang w:val="en-US" w:eastAsia="zh-CN"/>
              </w:rPr>
              <w:t>1</w:t>
            </w:r>
            <w:r>
              <w:rPr>
                <w:rFonts w:hint="eastAsia"/>
                <w:bCs/>
                <w:color w:val="000000"/>
                <w:sz w:val="24"/>
                <w:szCs w:val="22"/>
                <w:lang w:eastAsia="zh-CN"/>
              </w:rPr>
              <w:t>）</w:t>
            </w:r>
            <w:r>
              <w:rPr>
                <w:rFonts w:ascii="Times New Roman" w:hAnsi="Times New Roman"/>
                <w:bCs/>
                <w:color w:val="000000"/>
                <w:sz w:val="24"/>
                <w:szCs w:val="22"/>
              </w:rPr>
              <w:t>处理工艺</w:t>
            </w:r>
          </w:p>
          <w:p>
            <w:pPr>
              <w:pStyle w:val="10"/>
              <w:spacing w:after="0" w:line="360" w:lineRule="auto"/>
              <w:ind w:firstLine="480" w:firstLineChars="200"/>
              <w:rPr>
                <w:rFonts w:ascii="Times New Roman" w:hAnsi="Times New Roman"/>
                <w:bCs/>
                <w:color w:val="000000"/>
                <w:sz w:val="24"/>
                <w:szCs w:val="22"/>
              </w:rPr>
            </w:pPr>
            <w:r>
              <w:rPr>
                <w:rFonts w:ascii="Times New Roman" w:hAnsi="Times New Roman"/>
                <w:bCs/>
                <w:color w:val="000000"/>
                <w:sz w:val="24"/>
                <w:szCs w:val="22"/>
              </w:rPr>
              <w:t>本项目洗砂废水首先排放至厂区设置的</w:t>
            </w:r>
            <w:r>
              <w:rPr>
                <w:rFonts w:hint="eastAsia"/>
                <w:bCs/>
                <w:color w:val="000000"/>
                <w:sz w:val="24"/>
                <w:szCs w:val="22"/>
                <w:lang w:val="en-US" w:eastAsia="zh-CN"/>
              </w:rPr>
              <w:t>混合水池</w:t>
            </w:r>
            <w:r>
              <w:rPr>
                <w:rFonts w:ascii="Times New Roman" w:hAnsi="Times New Roman"/>
                <w:bCs/>
                <w:color w:val="000000"/>
                <w:sz w:val="24"/>
                <w:szCs w:val="22"/>
              </w:rPr>
              <w:t>内。</w:t>
            </w:r>
            <w:r>
              <w:rPr>
                <w:rFonts w:hint="eastAsia"/>
                <w:bCs/>
                <w:color w:val="000000"/>
                <w:sz w:val="24"/>
                <w:szCs w:val="22"/>
                <w:lang w:val="en-US" w:eastAsia="zh-CN"/>
              </w:rPr>
              <w:t>混合水</w:t>
            </w:r>
            <w:r>
              <w:rPr>
                <w:rFonts w:ascii="Times New Roman" w:hAnsi="Times New Roman"/>
                <w:bCs/>
                <w:color w:val="000000"/>
                <w:sz w:val="24"/>
                <w:szCs w:val="22"/>
              </w:rPr>
              <w:t>池</w:t>
            </w:r>
            <w:r>
              <w:rPr>
                <w:rFonts w:hint="eastAsia"/>
                <w:bCs/>
                <w:color w:val="000000"/>
                <w:sz w:val="24"/>
                <w:szCs w:val="22"/>
                <w:lang w:eastAsia="zh-CN"/>
              </w:rPr>
              <w:t>：</w:t>
            </w:r>
            <w:r>
              <w:rPr>
                <w:rFonts w:hint="eastAsia"/>
                <w:bCs/>
                <w:color w:val="000000"/>
                <w:sz w:val="24"/>
                <w:szCs w:val="22"/>
                <w:lang w:val="en-US" w:eastAsia="zh-CN"/>
              </w:rPr>
              <w:t>长10m，宽8m，深2.5m，混合水池</w:t>
            </w:r>
            <w:r>
              <w:rPr>
                <w:rFonts w:ascii="Times New Roman" w:hAnsi="Times New Roman"/>
                <w:bCs/>
                <w:color w:val="000000"/>
                <w:sz w:val="24"/>
                <w:szCs w:val="22"/>
              </w:rPr>
              <w:t>起中转作用，污水流入池内的同时，另一端由泵送至</w:t>
            </w:r>
            <w:r>
              <w:rPr>
                <w:rFonts w:hint="eastAsia"/>
                <w:bCs/>
                <w:color w:val="000000"/>
                <w:sz w:val="24"/>
                <w:szCs w:val="22"/>
                <w:lang w:val="en-US" w:eastAsia="zh-CN"/>
              </w:rPr>
              <w:t>浓缩</w:t>
            </w:r>
            <w:r>
              <w:rPr>
                <w:rFonts w:ascii="Times New Roman" w:hAnsi="Times New Roman"/>
                <w:bCs/>
                <w:color w:val="000000"/>
                <w:sz w:val="24"/>
                <w:szCs w:val="22"/>
              </w:rPr>
              <w:t>罐，并保证污水流入</w:t>
            </w:r>
            <w:r>
              <w:rPr>
                <w:rFonts w:hint="eastAsia"/>
                <w:bCs/>
                <w:color w:val="000000"/>
                <w:sz w:val="24"/>
                <w:szCs w:val="22"/>
                <w:lang w:val="en-US" w:eastAsia="zh-CN"/>
              </w:rPr>
              <w:t>混合水</w:t>
            </w:r>
            <w:r>
              <w:rPr>
                <w:rFonts w:ascii="Times New Roman" w:hAnsi="Times New Roman"/>
                <w:bCs/>
                <w:color w:val="000000"/>
                <w:sz w:val="24"/>
                <w:szCs w:val="22"/>
              </w:rPr>
              <w:t>池的速度小于泵送入</w:t>
            </w:r>
            <w:r>
              <w:rPr>
                <w:rFonts w:hint="eastAsia"/>
                <w:bCs/>
                <w:color w:val="000000"/>
                <w:sz w:val="24"/>
                <w:szCs w:val="22"/>
                <w:lang w:val="en-US" w:eastAsia="zh-CN"/>
              </w:rPr>
              <w:t>浓缩</w:t>
            </w:r>
            <w:r>
              <w:rPr>
                <w:rFonts w:ascii="Times New Roman" w:hAnsi="Times New Roman"/>
                <w:bCs/>
                <w:color w:val="000000"/>
                <w:sz w:val="24"/>
                <w:szCs w:val="22"/>
              </w:rPr>
              <w:t>罐的流速，以确保污水收集池内的污水不会溢出。且污水收集池四壁需采取抗震混凝土加固，池底做防渗处置。</w:t>
            </w:r>
          </w:p>
          <w:p>
            <w:pPr>
              <w:pStyle w:val="10"/>
              <w:spacing w:after="0" w:line="360" w:lineRule="auto"/>
              <w:ind w:firstLine="480" w:firstLineChars="200"/>
              <w:rPr>
                <w:rFonts w:ascii="Times New Roman" w:hAnsi="Times New Roman"/>
                <w:bCs/>
                <w:color w:val="000000"/>
                <w:sz w:val="24"/>
                <w:szCs w:val="22"/>
              </w:rPr>
            </w:pPr>
            <w:r>
              <w:rPr>
                <w:rFonts w:ascii="Times New Roman" w:hAnsi="Times New Roman"/>
                <w:bCs/>
                <w:color w:val="000000"/>
                <w:sz w:val="24"/>
                <w:szCs w:val="22"/>
              </w:rPr>
              <w:t>污水泵入至</w:t>
            </w:r>
            <w:r>
              <w:rPr>
                <w:rFonts w:hint="eastAsia"/>
                <w:bCs/>
                <w:color w:val="000000"/>
                <w:sz w:val="24"/>
                <w:szCs w:val="22"/>
                <w:lang w:val="en-US" w:eastAsia="zh-CN"/>
              </w:rPr>
              <w:t>浓缩</w:t>
            </w:r>
            <w:r>
              <w:rPr>
                <w:rFonts w:ascii="Times New Roman" w:hAnsi="Times New Roman"/>
                <w:bCs/>
                <w:color w:val="000000"/>
                <w:sz w:val="24"/>
                <w:szCs w:val="22"/>
              </w:rPr>
              <w:t>罐后，需加入絮凝剂以起到泥水分离的作用，分离后的上清液排放至清水池，泥浆由泥浆泵送至压滤机内处置。本项目使用的絮凝剂为聚丙烯酰胺，聚丙烯酰胺( PAM) 是水溶性高分子中应用最广泛的品种之一。由于聚丙烯酰胺结构单元中含有酰胺基、易形成氢键、使其具有良好的水溶性和很高的化学活性，易通过接枝或交联得到支链或网状结构的多种改性物，在石油开采、水处理、纺织、造纸、选矿、医药、农业等行业中具有广泛的应用。</w:t>
            </w:r>
          </w:p>
          <w:p>
            <w:pPr>
              <w:pStyle w:val="10"/>
              <w:spacing w:after="0" w:line="360" w:lineRule="auto"/>
              <w:rPr>
                <w:rFonts w:ascii="Times New Roman" w:hAnsi="Times New Roman"/>
                <w:bCs/>
                <w:color w:val="000000"/>
                <w:sz w:val="24"/>
                <w:szCs w:val="22"/>
              </w:rPr>
            </w:pPr>
            <w:r>
              <w:rPr>
                <w:rFonts w:ascii="Times New Roman" w:hAnsi="Times New Roman"/>
                <w:bCs/>
                <w:color w:val="000000"/>
                <w:sz w:val="24"/>
                <w:szCs w:val="22"/>
              </w:rPr>
              <w:t xml:space="preserve">   泥浆流入压滤机后，污泥均匀分布到重力脱水区上，并在泥耙的双向疏导和重力作用下，污泥随着脱水滤带的移动，迅速脱去污泥的游离水。</w:t>
            </w:r>
            <w:r>
              <w:rPr>
                <w:rFonts w:hint="eastAsia"/>
                <w:bCs/>
                <w:color w:val="000000"/>
                <w:sz w:val="24"/>
                <w:szCs w:val="22"/>
                <w:lang w:val="en-US" w:eastAsia="zh-CN"/>
              </w:rPr>
              <w:t>脱水后进入沙土库</w:t>
            </w:r>
            <w:r>
              <w:rPr>
                <w:rFonts w:ascii="Times New Roman" w:hAnsi="Times New Roman"/>
                <w:bCs/>
                <w:color w:val="000000"/>
                <w:sz w:val="24"/>
                <w:szCs w:val="22"/>
              </w:rPr>
              <w:t>。</w:t>
            </w:r>
          </w:p>
          <w:p>
            <w:pPr>
              <w:pStyle w:val="10"/>
              <w:numPr>
                <w:ilvl w:val="0"/>
                <w:numId w:val="0"/>
              </w:numPr>
              <w:spacing w:after="0" w:line="360" w:lineRule="auto"/>
              <w:ind w:left="420" w:leftChars="0" w:right="113" w:rightChars="0"/>
              <w:rPr>
                <w:rFonts w:ascii="Times New Roman" w:hAnsi="Times New Roman"/>
                <w:bCs/>
                <w:color w:val="000000"/>
                <w:sz w:val="24"/>
                <w:szCs w:val="22"/>
              </w:rPr>
            </w:pPr>
            <w:r>
              <w:rPr>
                <w:rFonts w:hint="eastAsia"/>
                <w:bCs/>
                <w:color w:val="000000"/>
                <w:sz w:val="24"/>
                <w:szCs w:val="22"/>
                <w:lang w:eastAsia="zh-CN"/>
              </w:rPr>
              <w:t>（</w:t>
            </w:r>
            <w:r>
              <w:rPr>
                <w:rFonts w:hint="eastAsia"/>
                <w:bCs/>
                <w:color w:val="000000"/>
                <w:sz w:val="24"/>
                <w:szCs w:val="22"/>
                <w:lang w:val="en-US" w:eastAsia="zh-CN"/>
              </w:rPr>
              <w:t>2</w:t>
            </w:r>
            <w:r>
              <w:rPr>
                <w:rFonts w:hint="eastAsia"/>
                <w:bCs/>
                <w:color w:val="000000"/>
                <w:sz w:val="24"/>
                <w:szCs w:val="22"/>
                <w:lang w:eastAsia="zh-CN"/>
              </w:rPr>
              <w:t>）</w:t>
            </w:r>
            <w:r>
              <w:rPr>
                <w:rFonts w:ascii="Times New Roman" w:hAnsi="Times New Roman"/>
                <w:bCs/>
                <w:color w:val="000000"/>
                <w:sz w:val="24"/>
                <w:szCs w:val="22"/>
              </w:rPr>
              <w:t>各处理单元处理能力合理性分析</w:t>
            </w:r>
          </w:p>
          <w:p>
            <w:pPr>
              <w:pStyle w:val="10"/>
              <w:spacing w:after="0" w:line="360" w:lineRule="auto"/>
              <w:ind w:firstLine="480" w:firstLineChars="200"/>
              <w:rPr>
                <w:rFonts w:hint="default" w:ascii="Times New Roman" w:hAnsi="Times New Roman" w:eastAsia="宋体"/>
                <w:bCs/>
                <w:color w:val="000000"/>
                <w:sz w:val="24"/>
                <w:szCs w:val="22"/>
                <w:lang w:val="en-US" w:eastAsia="zh-CN"/>
              </w:rPr>
            </w:pPr>
            <w:r>
              <w:rPr>
                <w:rFonts w:ascii="Times New Roman" w:hAnsi="Times New Roman"/>
                <w:bCs/>
                <w:color w:val="000000"/>
                <w:sz w:val="24"/>
                <w:szCs w:val="22"/>
              </w:rPr>
              <w:t>从年需要处理污水能力角度分析，根据上文计算结果，本项目年</w:t>
            </w:r>
            <w:r>
              <w:rPr>
                <w:rFonts w:hint="eastAsia"/>
                <w:bCs/>
                <w:color w:val="000000"/>
                <w:sz w:val="24"/>
                <w:szCs w:val="22"/>
                <w:lang w:val="en-US" w:eastAsia="zh-CN"/>
              </w:rPr>
              <w:t>循环水量为97971.98t，原有项目年循环水量为57600</w:t>
            </w:r>
            <w:r>
              <w:rPr>
                <w:rFonts w:ascii="Times New Roman" w:hAnsi="Times New Roman"/>
                <w:bCs/>
                <w:color w:val="000000"/>
                <w:sz w:val="24"/>
                <w:szCs w:val="22"/>
              </w:rPr>
              <w:t>t</w:t>
            </w:r>
            <w:r>
              <w:rPr>
                <w:rFonts w:hint="eastAsia"/>
                <w:bCs/>
                <w:color w:val="000000"/>
                <w:sz w:val="24"/>
                <w:szCs w:val="22"/>
                <w:lang w:eastAsia="zh-CN"/>
              </w:rPr>
              <w:t>，</w:t>
            </w:r>
            <w:r>
              <w:rPr>
                <w:rFonts w:hint="default" w:ascii="Times New Roman" w:hAnsi="Times New Roman" w:eastAsia="宋体" w:cs="Times New Roman"/>
                <w:bCs/>
                <w:color w:val="auto"/>
                <w:spacing w:val="0"/>
                <w:w w:val="100"/>
                <w:position w:val="0"/>
                <w:sz w:val="24"/>
                <w:szCs w:val="24"/>
                <w:lang w:val="en-US" w:eastAsia="zh-CN"/>
              </w:rPr>
              <w:t>循环水池：总长27m，宽8m，深2.5m</w:t>
            </w:r>
            <w:r>
              <w:rPr>
                <w:rFonts w:hint="eastAsia" w:cs="Times New Roman"/>
                <w:bCs/>
                <w:color w:val="auto"/>
                <w:spacing w:val="0"/>
                <w:w w:val="100"/>
                <w:position w:val="0"/>
                <w:sz w:val="24"/>
                <w:szCs w:val="24"/>
                <w:lang w:val="en-US" w:eastAsia="zh-CN"/>
              </w:rPr>
              <w:t>，</w:t>
            </w:r>
            <w:r>
              <w:rPr>
                <w:rFonts w:ascii="Times New Roman" w:hAnsi="Times New Roman"/>
                <w:bCs/>
                <w:color w:val="000000"/>
                <w:sz w:val="24"/>
                <w:szCs w:val="22"/>
              </w:rPr>
              <w:t>每天工作时间为</w:t>
            </w:r>
            <w:r>
              <w:rPr>
                <w:rFonts w:hint="eastAsia" w:ascii="Times New Roman" w:hAnsi="Times New Roman"/>
                <w:bCs/>
                <w:color w:val="000000"/>
                <w:sz w:val="24"/>
                <w:szCs w:val="22"/>
                <w:lang w:val="en-US" w:eastAsia="zh-CN"/>
              </w:rPr>
              <w:t>1</w:t>
            </w:r>
            <w:r>
              <w:rPr>
                <w:rFonts w:hint="eastAsia"/>
                <w:bCs/>
                <w:color w:val="000000"/>
                <w:sz w:val="24"/>
                <w:szCs w:val="22"/>
                <w:lang w:val="en-US" w:eastAsia="zh-CN"/>
              </w:rPr>
              <w:t>2</w:t>
            </w:r>
            <w:r>
              <w:rPr>
                <w:rFonts w:ascii="Times New Roman" w:hAnsi="Times New Roman"/>
                <w:bCs/>
                <w:color w:val="000000"/>
                <w:sz w:val="24"/>
                <w:szCs w:val="22"/>
              </w:rPr>
              <w:t>h</w:t>
            </w:r>
            <w:r>
              <w:rPr>
                <w:rFonts w:hint="eastAsia"/>
                <w:bCs/>
                <w:color w:val="000000"/>
                <w:sz w:val="24"/>
                <w:szCs w:val="22"/>
                <w:lang w:eastAsia="zh-CN"/>
              </w:rPr>
              <w:t>，</w:t>
            </w:r>
            <w:r>
              <w:rPr>
                <w:rFonts w:hint="eastAsia"/>
                <w:bCs/>
                <w:color w:val="000000"/>
                <w:sz w:val="24"/>
                <w:szCs w:val="22"/>
                <w:lang w:val="en-US" w:eastAsia="zh-CN"/>
              </w:rPr>
              <w:t>每天需要循环518t水,</w:t>
            </w:r>
            <w:r>
              <w:rPr>
                <w:rFonts w:hint="default" w:ascii="Times New Roman" w:hAnsi="Times New Roman" w:eastAsia="宋体" w:cs="Times New Roman"/>
                <w:bCs/>
                <w:color w:val="auto"/>
                <w:spacing w:val="0"/>
                <w:w w:val="100"/>
                <w:position w:val="0"/>
                <w:sz w:val="24"/>
                <w:szCs w:val="24"/>
                <w:lang w:val="en-US" w:eastAsia="zh-CN"/>
              </w:rPr>
              <w:t>项目循环水池可以满足要求。</w:t>
            </w:r>
          </w:p>
          <w:p>
            <w:pPr>
              <w:pStyle w:val="10"/>
              <w:spacing w:after="0" w:line="360" w:lineRule="auto"/>
              <w:ind w:firstLine="480" w:firstLineChars="200"/>
              <w:rPr>
                <w:rFonts w:hint="eastAsia" w:ascii="Times New Roman" w:hAnsi="Times New Roman"/>
                <w:color w:val="FF0000"/>
                <w:sz w:val="24"/>
                <w:szCs w:val="22"/>
              </w:rPr>
            </w:pPr>
            <w:r>
              <w:rPr>
                <w:rFonts w:ascii="Times New Roman" w:hAnsi="Times New Roman"/>
                <w:bCs/>
                <w:color w:val="000000"/>
                <w:sz w:val="24"/>
                <w:szCs w:val="22"/>
              </w:rPr>
              <w:t>本项目年需处理泥水量</w:t>
            </w:r>
            <w:r>
              <w:rPr>
                <w:rFonts w:hint="eastAsia"/>
                <w:bCs/>
                <w:color w:val="000000"/>
                <w:sz w:val="24"/>
                <w:szCs w:val="22"/>
                <w:lang w:val="en-US" w:eastAsia="zh-CN"/>
              </w:rPr>
              <w:t>112115.58</w:t>
            </w:r>
            <w:r>
              <w:rPr>
                <w:rFonts w:ascii="Times New Roman" w:hAnsi="Times New Roman"/>
                <w:bCs/>
                <w:color w:val="000000"/>
                <w:sz w:val="24"/>
                <w:szCs w:val="22"/>
              </w:rPr>
              <w:t>t，</w:t>
            </w:r>
            <w:r>
              <w:rPr>
                <w:rFonts w:hint="eastAsia" w:ascii="Times New Roman" w:hAnsi="Times New Roman"/>
                <w:bCs/>
                <w:color w:val="000000"/>
                <w:sz w:val="24"/>
                <w:szCs w:val="22"/>
                <w:lang w:val="en-US" w:eastAsia="zh-CN"/>
              </w:rPr>
              <w:t>原有项目年需处理泥水量约为67478</w:t>
            </w:r>
            <w:r>
              <w:rPr>
                <w:rFonts w:ascii="Times New Roman" w:hAnsi="Times New Roman"/>
                <w:bCs/>
                <w:color w:val="000000"/>
                <w:sz w:val="24"/>
                <w:szCs w:val="22"/>
              </w:rPr>
              <w:t>t</w:t>
            </w:r>
            <w:r>
              <w:rPr>
                <w:rFonts w:hint="eastAsia"/>
                <w:bCs/>
                <w:color w:val="000000"/>
                <w:sz w:val="24"/>
                <w:szCs w:val="22"/>
                <w:lang w:eastAsia="zh-CN"/>
              </w:rPr>
              <w:t>，</w:t>
            </w:r>
            <w:r>
              <w:rPr>
                <w:rFonts w:ascii="Times New Roman" w:hAnsi="Times New Roman"/>
                <w:bCs/>
                <w:color w:val="000000"/>
                <w:sz w:val="24"/>
                <w:szCs w:val="22"/>
              </w:rPr>
              <w:t>每天需要处理</w:t>
            </w:r>
            <w:r>
              <w:rPr>
                <w:rFonts w:hint="eastAsia"/>
                <w:bCs/>
                <w:color w:val="000000"/>
                <w:sz w:val="24"/>
                <w:szCs w:val="22"/>
                <w:lang w:val="en-US" w:eastAsia="zh-CN"/>
              </w:rPr>
              <w:t>598</w:t>
            </w:r>
            <w:r>
              <w:rPr>
                <w:rFonts w:hint="eastAsia" w:ascii="Times New Roman" w:hAnsi="Times New Roman"/>
                <w:bCs/>
                <w:color w:val="000000"/>
                <w:sz w:val="24"/>
                <w:szCs w:val="22"/>
                <w:lang w:val="en-US" w:eastAsia="zh-CN"/>
              </w:rPr>
              <w:t>.</w:t>
            </w:r>
            <w:r>
              <w:rPr>
                <w:rFonts w:hint="eastAsia"/>
                <w:bCs/>
                <w:color w:val="000000"/>
                <w:sz w:val="24"/>
                <w:szCs w:val="22"/>
                <w:lang w:val="en-US" w:eastAsia="zh-CN"/>
              </w:rPr>
              <w:t>64</w:t>
            </w:r>
            <w:r>
              <w:rPr>
                <w:rFonts w:ascii="Times New Roman" w:hAnsi="Times New Roman"/>
                <w:bCs/>
                <w:color w:val="000000"/>
                <w:sz w:val="24"/>
                <w:szCs w:val="22"/>
              </w:rPr>
              <w:t>t泥水，每天工作时间为</w:t>
            </w:r>
            <w:r>
              <w:rPr>
                <w:rFonts w:hint="eastAsia" w:ascii="Times New Roman" w:hAnsi="Times New Roman"/>
                <w:bCs/>
                <w:color w:val="000000"/>
                <w:sz w:val="24"/>
                <w:szCs w:val="22"/>
                <w:lang w:val="en-US" w:eastAsia="zh-CN"/>
              </w:rPr>
              <w:t>1</w:t>
            </w:r>
            <w:r>
              <w:rPr>
                <w:rFonts w:hint="eastAsia"/>
                <w:bCs/>
                <w:color w:val="000000"/>
                <w:sz w:val="24"/>
                <w:szCs w:val="22"/>
                <w:lang w:val="en-US" w:eastAsia="zh-CN"/>
              </w:rPr>
              <w:t>2</w:t>
            </w:r>
            <w:r>
              <w:rPr>
                <w:rFonts w:ascii="Times New Roman" w:hAnsi="Times New Roman"/>
                <w:bCs/>
                <w:color w:val="000000"/>
                <w:sz w:val="24"/>
                <w:szCs w:val="22"/>
              </w:rPr>
              <w:t>h，</w:t>
            </w:r>
            <w:r>
              <w:rPr>
                <w:rFonts w:hint="eastAsia" w:ascii="Times New Roman" w:hAnsi="Times New Roman"/>
                <w:bCs/>
                <w:color w:val="000000"/>
                <w:sz w:val="24"/>
                <w:szCs w:val="22"/>
                <w:lang w:val="en-US" w:eastAsia="zh-CN"/>
              </w:rPr>
              <w:t>浓缩</w:t>
            </w:r>
            <w:r>
              <w:rPr>
                <w:rFonts w:ascii="Times New Roman" w:hAnsi="Times New Roman"/>
                <w:bCs/>
                <w:color w:val="000000"/>
                <w:sz w:val="24"/>
                <w:szCs w:val="22"/>
              </w:rPr>
              <w:t>罐处理能力为1</w:t>
            </w:r>
            <w:r>
              <w:rPr>
                <w:rFonts w:hint="eastAsia" w:ascii="Times New Roman" w:hAnsi="Times New Roman"/>
                <w:bCs/>
                <w:color w:val="000000"/>
                <w:sz w:val="24"/>
                <w:szCs w:val="22"/>
                <w:lang w:val="en-US" w:eastAsia="zh-CN"/>
              </w:rPr>
              <w:t>5</w:t>
            </w:r>
            <w:r>
              <w:rPr>
                <w:rFonts w:ascii="Times New Roman" w:hAnsi="Times New Roman"/>
                <w:bCs/>
                <w:color w:val="000000"/>
                <w:sz w:val="24"/>
                <w:szCs w:val="22"/>
              </w:rPr>
              <w:t>0t</w:t>
            </w:r>
            <w:r>
              <w:rPr>
                <w:rFonts w:hint="eastAsia" w:ascii="Times New Roman" w:hAnsi="Times New Roman"/>
                <w:bCs/>
                <w:color w:val="000000"/>
                <w:sz w:val="24"/>
                <w:szCs w:val="22"/>
                <w:lang w:val="en-US" w:eastAsia="zh-CN"/>
              </w:rPr>
              <w:t>/h</w:t>
            </w:r>
            <w:r>
              <w:rPr>
                <w:rFonts w:ascii="Times New Roman" w:hAnsi="Times New Roman"/>
                <w:bCs/>
                <w:color w:val="000000"/>
                <w:sz w:val="24"/>
                <w:szCs w:val="22"/>
              </w:rPr>
              <w:t>，压滤机处理</w:t>
            </w:r>
            <w:r>
              <w:rPr>
                <w:rFonts w:hint="eastAsia" w:ascii="Times New Roman" w:hAnsi="Times New Roman"/>
                <w:bCs/>
                <w:color w:val="000000"/>
                <w:sz w:val="24"/>
                <w:szCs w:val="22"/>
                <w:lang w:val="en-US" w:eastAsia="zh-CN"/>
              </w:rPr>
              <w:t>能力</w:t>
            </w:r>
            <w:r>
              <w:rPr>
                <w:rFonts w:ascii="Times New Roman" w:hAnsi="Times New Roman"/>
                <w:bCs/>
                <w:color w:val="000000"/>
                <w:sz w:val="24"/>
                <w:szCs w:val="22"/>
              </w:rPr>
              <w:t>为</w:t>
            </w:r>
            <w:r>
              <w:rPr>
                <w:rFonts w:hint="eastAsia"/>
                <w:bCs/>
                <w:color w:val="000000"/>
                <w:sz w:val="24"/>
                <w:szCs w:val="22"/>
                <w:lang w:val="en-US" w:eastAsia="zh-CN"/>
              </w:rPr>
              <w:t>2</w:t>
            </w:r>
            <w:r>
              <w:rPr>
                <w:rFonts w:ascii="Times New Roman" w:hAnsi="Times New Roman"/>
                <w:bCs/>
                <w:color w:val="000000"/>
                <w:sz w:val="24"/>
                <w:szCs w:val="22"/>
              </w:rPr>
              <w:t>0t</w:t>
            </w:r>
            <w:r>
              <w:rPr>
                <w:rFonts w:hint="eastAsia" w:ascii="Times New Roman" w:hAnsi="Times New Roman"/>
                <w:bCs/>
                <w:color w:val="000000"/>
                <w:sz w:val="24"/>
                <w:szCs w:val="22"/>
                <w:lang w:val="en-US" w:eastAsia="zh-CN"/>
              </w:rPr>
              <w:t>/h</w:t>
            </w:r>
            <w:r>
              <w:rPr>
                <w:rFonts w:ascii="Times New Roman" w:hAnsi="Times New Roman"/>
                <w:bCs/>
                <w:color w:val="000000"/>
                <w:sz w:val="24"/>
                <w:szCs w:val="22"/>
              </w:rPr>
              <w:t>，则每天最大可处理</w:t>
            </w:r>
            <w:r>
              <w:rPr>
                <w:rFonts w:hint="eastAsia"/>
                <w:bCs/>
                <w:color w:val="000000"/>
                <w:sz w:val="24"/>
                <w:szCs w:val="22"/>
                <w:lang w:val="en-US" w:eastAsia="zh-CN"/>
              </w:rPr>
              <w:t>泥</w:t>
            </w:r>
            <w:r>
              <w:rPr>
                <w:rFonts w:ascii="Times New Roman" w:hAnsi="Times New Roman"/>
                <w:bCs/>
                <w:color w:val="000000"/>
                <w:sz w:val="24"/>
                <w:szCs w:val="22"/>
              </w:rPr>
              <w:t>水量为</w:t>
            </w:r>
            <w:r>
              <w:rPr>
                <w:rFonts w:hint="eastAsia" w:ascii="Times New Roman" w:hAnsi="Times New Roman"/>
                <w:bCs/>
                <w:color w:val="000000"/>
                <w:sz w:val="24"/>
                <w:szCs w:val="22"/>
                <w:lang w:val="en-US" w:eastAsia="zh-CN"/>
              </w:rPr>
              <w:t>1500</w:t>
            </w:r>
            <w:r>
              <w:rPr>
                <w:rFonts w:ascii="Times New Roman" w:hAnsi="Times New Roman"/>
                <w:bCs/>
                <w:color w:val="000000"/>
                <w:sz w:val="24"/>
                <w:szCs w:val="22"/>
              </w:rPr>
              <w:t>t，远大于需要处理的泥水量，因此，从年工需处理的泥水量</w:t>
            </w:r>
            <w:r>
              <w:rPr>
                <w:rFonts w:hint="eastAsia" w:ascii="Times New Roman" w:hAnsi="Times New Roman"/>
                <w:bCs/>
                <w:color w:val="000000"/>
                <w:sz w:val="24"/>
                <w:szCs w:val="22"/>
                <w:lang w:val="en-US" w:eastAsia="zh-CN"/>
              </w:rPr>
              <w:t>和年需处理的循环水</w:t>
            </w:r>
            <w:r>
              <w:rPr>
                <w:rFonts w:ascii="Times New Roman" w:hAnsi="Times New Roman"/>
                <w:bCs/>
                <w:color w:val="000000"/>
                <w:sz w:val="24"/>
                <w:szCs w:val="22"/>
              </w:rPr>
              <w:t>角度分析，各处理单元的处理能力是满足生产需要的。</w:t>
            </w:r>
          </w:p>
          <w:p>
            <w:pPr>
              <w:adjustRightInd w:val="0"/>
              <w:snapToGrid w:val="0"/>
              <w:spacing w:line="360" w:lineRule="auto"/>
              <w:ind w:firstLine="442" w:firstLineChars="200"/>
              <w:rPr>
                <w:rFonts w:cs="宋体"/>
                <w:b/>
                <w:spacing w:val="-10"/>
                <w:szCs w:val="21"/>
              </w:rPr>
            </w:pPr>
            <w:r>
              <w:rPr>
                <w:rFonts w:hint="eastAsia" w:cs="宋体"/>
                <w:b/>
                <w:spacing w:val="-10"/>
                <w:sz w:val="24"/>
              </w:rPr>
              <w:t>三、噪声环境影响和保护措施</w:t>
            </w:r>
          </w:p>
          <w:p>
            <w:pPr>
              <w:adjustRightInd w:val="0"/>
              <w:snapToGrid w:val="0"/>
              <w:spacing w:line="360" w:lineRule="auto"/>
              <w:ind w:firstLine="442" w:firstLineChars="200"/>
              <w:rPr>
                <w:rFonts w:cs="宋体"/>
                <w:b/>
                <w:spacing w:val="-10"/>
                <w:sz w:val="24"/>
              </w:rPr>
            </w:pPr>
            <w:r>
              <w:rPr>
                <w:rFonts w:hint="eastAsia" w:cs="宋体"/>
                <w:b/>
                <w:spacing w:val="-10"/>
                <w:sz w:val="24"/>
              </w:rPr>
              <w:t>1、噪声源强</w:t>
            </w:r>
          </w:p>
          <w:p>
            <w:pPr>
              <w:spacing w:line="460" w:lineRule="exact"/>
              <w:ind w:firstLine="480" w:firstLineChars="200"/>
              <w:rPr>
                <w:bCs/>
                <w:color w:val="000000"/>
                <w:sz w:val="24"/>
              </w:rPr>
            </w:pPr>
            <w:r>
              <w:rPr>
                <w:color w:val="000000"/>
                <w:sz w:val="24"/>
              </w:rPr>
              <w:t>本项目噪声源</w:t>
            </w:r>
            <w:r>
              <w:rPr>
                <w:rFonts w:hint="eastAsia"/>
                <w:color w:val="000000"/>
                <w:sz w:val="24"/>
                <w:lang w:val="en-US" w:eastAsia="zh-CN"/>
              </w:rPr>
              <w:t>为头破机、圆锥机、制砂机、振动筛</w:t>
            </w:r>
            <w:r>
              <w:rPr>
                <w:color w:val="000000"/>
                <w:sz w:val="24"/>
              </w:rPr>
              <w:t>主要是车间内的各种生产设备及风机等，各设备噪声值在7</w:t>
            </w:r>
            <w:r>
              <w:rPr>
                <w:rFonts w:hint="eastAsia"/>
                <w:color w:val="000000"/>
                <w:sz w:val="24"/>
                <w:lang w:val="en-US" w:eastAsia="zh-CN"/>
              </w:rPr>
              <w:t>0</w:t>
            </w:r>
            <w:r>
              <w:rPr>
                <w:color w:val="000000"/>
                <w:sz w:val="24"/>
              </w:rPr>
              <w:t>~</w:t>
            </w:r>
            <w:r>
              <w:rPr>
                <w:rFonts w:hint="eastAsia"/>
                <w:color w:val="000000"/>
                <w:sz w:val="24"/>
                <w:lang w:val="en-US" w:eastAsia="zh-CN"/>
              </w:rPr>
              <w:t>85</w:t>
            </w:r>
            <w:r>
              <w:rPr>
                <w:color w:val="000000"/>
                <w:sz w:val="24"/>
              </w:rPr>
              <w:t>dB（A）间，噪声源强见</w:t>
            </w:r>
            <w:r>
              <w:rPr>
                <w:rFonts w:hint="eastAsia"/>
                <w:color w:val="000000"/>
                <w:sz w:val="24"/>
              </w:rPr>
              <w:t>下表</w:t>
            </w:r>
            <w:r>
              <w:rPr>
                <w:bCs/>
                <w:color w:val="000000"/>
                <w:sz w:val="24"/>
              </w:rPr>
              <w:t>。</w:t>
            </w:r>
          </w:p>
          <w:p>
            <w:pPr>
              <w:spacing w:line="460" w:lineRule="exact"/>
              <w:jc w:val="center"/>
              <w:rPr>
                <w:b/>
                <w:color w:val="auto"/>
                <w:sz w:val="24"/>
              </w:rPr>
            </w:pPr>
            <w:r>
              <w:rPr>
                <w:b/>
                <w:bCs/>
                <w:color w:val="auto"/>
                <w:sz w:val="24"/>
              </w:rPr>
              <w:t>表4-</w:t>
            </w:r>
            <w:r>
              <w:rPr>
                <w:rFonts w:hint="eastAsia"/>
                <w:b/>
                <w:bCs/>
                <w:color w:val="auto"/>
                <w:sz w:val="24"/>
              </w:rPr>
              <w:t>1</w:t>
            </w:r>
            <w:r>
              <w:rPr>
                <w:b/>
                <w:bCs/>
                <w:color w:val="auto"/>
                <w:sz w:val="24"/>
              </w:rPr>
              <w:t xml:space="preserve"> 主要</w:t>
            </w:r>
            <w:r>
              <w:rPr>
                <w:b/>
                <w:color w:val="auto"/>
                <w:sz w:val="24"/>
              </w:rPr>
              <w:t xml:space="preserve">噪声源强一览表 </w:t>
            </w:r>
          </w:p>
          <w:tbl>
            <w:tblPr>
              <w:tblStyle w:val="26"/>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59"/>
              <w:gridCol w:w="901"/>
              <w:gridCol w:w="1194"/>
              <w:gridCol w:w="1063"/>
              <w:gridCol w:w="1061"/>
              <w:gridCol w:w="1066"/>
              <w:gridCol w:w="111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6" w:hRule="exact"/>
              </w:trPr>
              <w:tc>
                <w:tcPr>
                  <w:tcW w:w="928" w:type="pct"/>
                  <w:vMerge w:val="restart"/>
                  <w:vAlign w:val="center"/>
                </w:tcPr>
                <w:p>
                  <w:pPr>
                    <w:spacing w:line="300" w:lineRule="exact"/>
                    <w:jc w:val="center"/>
                    <w:rPr>
                      <w:b/>
                      <w:color w:val="0D0D0D" w:themeColor="text1" w:themeTint="F2"/>
                      <w:szCs w:val="21"/>
                      <w14:textFill>
                        <w14:solidFill>
                          <w14:schemeClr w14:val="tx1">
                            <w14:lumMod w14:val="95000"/>
                            <w14:lumOff w14:val="5000"/>
                          </w14:schemeClr>
                        </w14:solidFill>
                      </w14:textFill>
                    </w:rPr>
                  </w:pPr>
                  <w:r>
                    <w:rPr>
                      <w:b/>
                      <w:color w:val="0D0D0D" w:themeColor="text1" w:themeTint="F2"/>
                      <w:szCs w:val="21"/>
                      <w14:textFill>
                        <w14:solidFill>
                          <w14:schemeClr w14:val="tx1">
                            <w14:lumMod w14:val="95000"/>
                            <w14:lumOff w14:val="5000"/>
                          </w14:schemeClr>
                        </w14:solidFill>
                      </w14:textFill>
                    </w:rPr>
                    <w:t>设备名称</w:t>
                  </w:r>
                </w:p>
              </w:tc>
              <w:tc>
                <w:tcPr>
                  <w:tcW w:w="573" w:type="pct"/>
                  <w:vMerge w:val="restart"/>
                  <w:vAlign w:val="center"/>
                </w:tcPr>
                <w:p>
                  <w:pPr>
                    <w:spacing w:line="300" w:lineRule="exact"/>
                    <w:jc w:val="center"/>
                    <w:rPr>
                      <w:b/>
                      <w:color w:val="0D0D0D" w:themeColor="text1" w:themeTint="F2"/>
                      <w:szCs w:val="21"/>
                      <w14:textFill>
                        <w14:solidFill>
                          <w14:schemeClr w14:val="tx1">
                            <w14:lumMod w14:val="95000"/>
                            <w14:lumOff w14:val="5000"/>
                          </w14:schemeClr>
                        </w14:solidFill>
                      </w14:textFill>
                    </w:rPr>
                  </w:pPr>
                  <w:r>
                    <w:rPr>
                      <w:b/>
                      <w:color w:val="0D0D0D" w:themeColor="text1" w:themeTint="F2"/>
                      <w:szCs w:val="21"/>
                      <w14:textFill>
                        <w14:solidFill>
                          <w14:schemeClr w14:val="tx1">
                            <w14:lumMod w14:val="95000"/>
                            <w14:lumOff w14:val="5000"/>
                          </w14:schemeClr>
                        </w14:solidFill>
                      </w14:textFill>
                    </w:rPr>
                    <w:t>设备</w:t>
                  </w:r>
                </w:p>
                <w:p>
                  <w:pPr>
                    <w:spacing w:line="300" w:lineRule="exact"/>
                    <w:jc w:val="center"/>
                    <w:rPr>
                      <w:b/>
                      <w:color w:val="0D0D0D" w:themeColor="text1" w:themeTint="F2"/>
                      <w:szCs w:val="21"/>
                      <w14:textFill>
                        <w14:solidFill>
                          <w14:schemeClr w14:val="tx1">
                            <w14:lumMod w14:val="95000"/>
                            <w14:lumOff w14:val="5000"/>
                          </w14:schemeClr>
                        </w14:solidFill>
                      </w14:textFill>
                    </w:rPr>
                  </w:pPr>
                  <w:r>
                    <w:rPr>
                      <w:b/>
                      <w:color w:val="0D0D0D" w:themeColor="text1" w:themeTint="F2"/>
                      <w:szCs w:val="21"/>
                      <w14:textFill>
                        <w14:solidFill>
                          <w14:schemeClr w14:val="tx1">
                            <w14:lumMod w14:val="95000"/>
                            <w14:lumOff w14:val="5000"/>
                          </w14:schemeClr>
                        </w14:solidFill>
                      </w14:textFill>
                    </w:rPr>
                    <w:t>数量</w:t>
                  </w:r>
                </w:p>
              </w:tc>
              <w:tc>
                <w:tcPr>
                  <w:tcW w:w="2788" w:type="pct"/>
                  <w:gridSpan w:val="4"/>
                  <w:vAlign w:val="center"/>
                </w:tcPr>
                <w:p>
                  <w:pPr>
                    <w:spacing w:line="300" w:lineRule="exact"/>
                    <w:jc w:val="center"/>
                    <w:rPr>
                      <w:b/>
                      <w:color w:val="0D0D0D" w:themeColor="text1" w:themeTint="F2"/>
                      <w:szCs w:val="21"/>
                      <w14:textFill>
                        <w14:solidFill>
                          <w14:schemeClr w14:val="tx1">
                            <w14:lumMod w14:val="95000"/>
                            <w14:lumOff w14:val="5000"/>
                          </w14:schemeClr>
                        </w14:solidFill>
                      </w14:textFill>
                    </w:rPr>
                  </w:pPr>
                  <w:r>
                    <w:rPr>
                      <w:b/>
                      <w:color w:val="0D0D0D" w:themeColor="text1" w:themeTint="F2"/>
                      <w:szCs w:val="21"/>
                      <w14:textFill>
                        <w14:solidFill>
                          <w14:schemeClr w14:val="tx1">
                            <w14:lumMod w14:val="95000"/>
                            <w14:lumOff w14:val="5000"/>
                          </w14:schemeClr>
                        </w14:solidFill>
                      </w14:textFill>
                    </w:rPr>
                    <w:t>距各向厂界距离m</w:t>
                  </w:r>
                </w:p>
              </w:tc>
              <w:tc>
                <w:tcPr>
                  <w:tcW w:w="709" w:type="pct"/>
                  <w:vMerge w:val="restart"/>
                  <w:vAlign w:val="center"/>
                </w:tcPr>
                <w:p>
                  <w:pPr>
                    <w:spacing w:line="300" w:lineRule="exact"/>
                    <w:jc w:val="center"/>
                    <w:rPr>
                      <w:b/>
                      <w:color w:val="0D0D0D" w:themeColor="text1" w:themeTint="F2"/>
                      <w:szCs w:val="21"/>
                      <w14:textFill>
                        <w14:solidFill>
                          <w14:schemeClr w14:val="tx1">
                            <w14:lumMod w14:val="95000"/>
                            <w14:lumOff w14:val="5000"/>
                          </w14:schemeClr>
                        </w14:solidFill>
                      </w14:textFill>
                    </w:rPr>
                  </w:pPr>
                  <w:r>
                    <w:rPr>
                      <w:rFonts w:hint="eastAsia"/>
                      <w:b/>
                      <w:color w:val="0D0D0D" w:themeColor="text1" w:themeTint="F2"/>
                      <w:szCs w:val="21"/>
                      <w14:textFill>
                        <w14:solidFill>
                          <w14:schemeClr w14:val="tx1">
                            <w14:lumMod w14:val="95000"/>
                            <w14:lumOff w14:val="5000"/>
                          </w14:schemeClr>
                        </w14:solidFill>
                      </w14:textFill>
                    </w:rPr>
                    <w:t>A声功率</w:t>
                  </w:r>
                  <w:r>
                    <w:rPr>
                      <w:b/>
                      <w:color w:val="0D0D0D" w:themeColor="text1" w:themeTint="F2"/>
                      <w:szCs w:val="21"/>
                      <w14:textFill>
                        <w14:solidFill>
                          <w14:schemeClr w14:val="tx1">
                            <w14:lumMod w14:val="95000"/>
                            <w14:lumOff w14:val="5000"/>
                          </w14:schemeClr>
                        </w14:solidFill>
                      </w14:textFill>
                    </w:rPr>
                    <w:t>级</w:t>
                  </w:r>
                </w:p>
                <w:p>
                  <w:pPr>
                    <w:spacing w:line="300" w:lineRule="exact"/>
                    <w:jc w:val="center"/>
                    <w:rPr>
                      <w:rFonts w:eastAsia="黑体"/>
                      <w:color w:val="0D0D0D" w:themeColor="text1" w:themeTint="F2"/>
                      <w:szCs w:val="21"/>
                      <w14:textFill>
                        <w14:solidFill>
                          <w14:schemeClr w14:val="tx1">
                            <w14:lumMod w14:val="95000"/>
                            <w14:lumOff w14:val="5000"/>
                          </w14:schemeClr>
                        </w14:solidFill>
                      </w14:textFill>
                    </w:rPr>
                  </w:pPr>
                  <w:r>
                    <w:rPr>
                      <w:b/>
                      <w:color w:val="0D0D0D" w:themeColor="text1" w:themeTint="F2"/>
                      <w:szCs w:val="21"/>
                      <w14:textFill>
                        <w14:solidFill>
                          <w14:schemeClr w14:val="tx1">
                            <w14:lumMod w14:val="95000"/>
                            <w14:lumOff w14:val="5000"/>
                          </w14:schemeClr>
                        </w14:solidFill>
                      </w14:textFill>
                    </w:rPr>
                    <w:t>dB(A)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exact"/>
              </w:trPr>
              <w:tc>
                <w:tcPr>
                  <w:tcW w:w="928" w:type="pct"/>
                  <w:vMerge w:val="continue"/>
                  <w:vAlign w:val="center"/>
                </w:tcPr>
                <w:p>
                  <w:pPr>
                    <w:spacing w:line="300" w:lineRule="exact"/>
                    <w:jc w:val="center"/>
                    <w:rPr>
                      <w:b/>
                      <w:color w:val="0D0D0D" w:themeColor="text1" w:themeTint="F2"/>
                      <w:szCs w:val="21"/>
                      <w14:textFill>
                        <w14:solidFill>
                          <w14:schemeClr w14:val="tx1">
                            <w14:lumMod w14:val="95000"/>
                            <w14:lumOff w14:val="5000"/>
                          </w14:schemeClr>
                        </w14:solidFill>
                      </w14:textFill>
                    </w:rPr>
                  </w:pPr>
                </w:p>
              </w:tc>
              <w:tc>
                <w:tcPr>
                  <w:tcW w:w="573" w:type="pct"/>
                  <w:vMerge w:val="continue"/>
                  <w:vAlign w:val="center"/>
                </w:tcPr>
                <w:p>
                  <w:pPr>
                    <w:spacing w:line="300" w:lineRule="exact"/>
                    <w:jc w:val="center"/>
                    <w:rPr>
                      <w:b/>
                      <w:color w:val="0D0D0D" w:themeColor="text1" w:themeTint="F2"/>
                      <w:szCs w:val="21"/>
                      <w14:textFill>
                        <w14:solidFill>
                          <w14:schemeClr w14:val="tx1">
                            <w14:lumMod w14:val="95000"/>
                            <w14:lumOff w14:val="5000"/>
                          </w14:schemeClr>
                        </w14:solidFill>
                      </w14:textFill>
                    </w:rPr>
                  </w:pPr>
                </w:p>
              </w:tc>
              <w:tc>
                <w:tcPr>
                  <w:tcW w:w="759" w:type="pct"/>
                  <w:vAlign w:val="center"/>
                </w:tcPr>
                <w:p>
                  <w:pPr>
                    <w:spacing w:line="300" w:lineRule="exact"/>
                    <w:jc w:val="center"/>
                    <w:rPr>
                      <w:b/>
                      <w:color w:val="0D0D0D" w:themeColor="text1" w:themeTint="F2"/>
                      <w:szCs w:val="21"/>
                      <w14:textFill>
                        <w14:solidFill>
                          <w14:schemeClr w14:val="tx1">
                            <w14:lumMod w14:val="95000"/>
                            <w14:lumOff w14:val="5000"/>
                          </w14:schemeClr>
                        </w14:solidFill>
                      </w14:textFill>
                    </w:rPr>
                  </w:pPr>
                  <w:r>
                    <w:rPr>
                      <w:b/>
                      <w:color w:val="0D0D0D" w:themeColor="text1" w:themeTint="F2"/>
                      <w:szCs w:val="21"/>
                      <w14:textFill>
                        <w14:solidFill>
                          <w14:schemeClr w14:val="tx1">
                            <w14:lumMod w14:val="95000"/>
                            <w14:lumOff w14:val="5000"/>
                          </w14:schemeClr>
                        </w14:solidFill>
                      </w14:textFill>
                    </w:rPr>
                    <w:t>东</w:t>
                  </w:r>
                </w:p>
              </w:tc>
              <w:tc>
                <w:tcPr>
                  <w:tcW w:w="676" w:type="pct"/>
                  <w:vAlign w:val="center"/>
                </w:tcPr>
                <w:p>
                  <w:pPr>
                    <w:spacing w:line="300" w:lineRule="exact"/>
                    <w:jc w:val="center"/>
                    <w:rPr>
                      <w:b/>
                      <w:color w:val="0D0D0D" w:themeColor="text1" w:themeTint="F2"/>
                      <w:szCs w:val="21"/>
                      <w14:textFill>
                        <w14:solidFill>
                          <w14:schemeClr w14:val="tx1">
                            <w14:lumMod w14:val="95000"/>
                            <w14:lumOff w14:val="5000"/>
                          </w14:schemeClr>
                        </w14:solidFill>
                      </w14:textFill>
                    </w:rPr>
                  </w:pPr>
                  <w:r>
                    <w:rPr>
                      <w:b/>
                      <w:color w:val="0D0D0D" w:themeColor="text1" w:themeTint="F2"/>
                      <w:szCs w:val="21"/>
                      <w14:textFill>
                        <w14:solidFill>
                          <w14:schemeClr w14:val="tx1">
                            <w14:lumMod w14:val="95000"/>
                            <w14:lumOff w14:val="5000"/>
                          </w14:schemeClr>
                        </w14:solidFill>
                      </w14:textFill>
                    </w:rPr>
                    <w:t>南</w:t>
                  </w:r>
                </w:p>
              </w:tc>
              <w:tc>
                <w:tcPr>
                  <w:tcW w:w="675" w:type="pct"/>
                  <w:vAlign w:val="center"/>
                </w:tcPr>
                <w:p>
                  <w:pPr>
                    <w:spacing w:line="300" w:lineRule="exact"/>
                    <w:jc w:val="center"/>
                    <w:rPr>
                      <w:b/>
                      <w:color w:val="0D0D0D" w:themeColor="text1" w:themeTint="F2"/>
                      <w:szCs w:val="21"/>
                      <w14:textFill>
                        <w14:solidFill>
                          <w14:schemeClr w14:val="tx1">
                            <w14:lumMod w14:val="95000"/>
                            <w14:lumOff w14:val="5000"/>
                          </w14:schemeClr>
                        </w14:solidFill>
                      </w14:textFill>
                    </w:rPr>
                  </w:pPr>
                  <w:r>
                    <w:rPr>
                      <w:b/>
                      <w:color w:val="0D0D0D" w:themeColor="text1" w:themeTint="F2"/>
                      <w:szCs w:val="21"/>
                      <w14:textFill>
                        <w14:solidFill>
                          <w14:schemeClr w14:val="tx1">
                            <w14:lumMod w14:val="95000"/>
                            <w14:lumOff w14:val="5000"/>
                          </w14:schemeClr>
                        </w14:solidFill>
                      </w14:textFill>
                    </w:rPr>
                    <w:t>西</w:t>
                  </w:r>
                </w:p>
              </w:tc>
              <w:tc>
                <w:tcPr>
                  <w:tcW w:w="678" w:type="pct"/>
                  <w:vAlign w:val="center"/>
                </w:tcPr>
                <w:p>
                  <w:pPr>
                    <w:spacing w:line="300" w:lineRule="exact"/>
                    <w:jc w:val="center"/>
                    <w:rPr>
                      <w:b/>
                      <w:color w:val="0D0D0D" w:themeColor="text1" w:themeTint="F2"/>
                      <w:szCs w:val="21"/>
                      <w14:textFill>
                        <w14:solidFill>
                          <w14:schemeClr w14:val="tx1">
                            <w14:lumMod w14:val="95000"/>
                            <w14:lumOff w14:val="5000"/>
                          </w14:schemeClr>
                        </w14:solidFill>
                      </w14:textFill>
                    </w:rPr>
                  </w:pPr>
                  <w:r>
                    <w:rPr>
                      <w:b/>
                      <w:color w:val="0D0D0D" w:themeColor="text1" w:themeTint="F2"/>
                      <w:szCs w:val="21"/>
                      <w14:textFill>
                        <w14:solidFill>
                          <w14:schemeClr w14:val="tx1">
                            <w14:lumMod w14:val="95000"/>
                            <w14:lumOff w14:val="5000"/>
                          </w14:schemeClr>
                        </w14:solidFill>
                      </w14:textFill>
                    </w:rPr>
                    <w:t>北</w:t>
                  </w:r>
                </w:p>
              </w:tc>
              <w:tc>
                <w:tcPr>
                  <w:tcW w:w="709" w:type="pct"/>
                  <w:vMerge w:val="continue"/>
                  <w:vAlign w:val="center"/>
                </w:tcPr>
                <w:p>
                  <w:pPr>
                    <w:spacing w:line="300" w:lineRule="exact"/>
                    <w:jc w:val="center"/>
                    <w:rPr>
                      <w:color w:val="0D0D0D" w:themeColor="text1" w:themeTint="F2"/>
                      <w:szCs w:val="21"/>
                      <w14:textFill>
                        <w14:solidFill>
                          <w14:schemeClr w14:val="tx1">
                            <w14:lumMod w14:val="95000"/>
                            <w14:lumOff w14:val="5000"/>
                          </w14:schemeClr>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exact"/>
              </w:trPr>
              <w:tc>
                <w:tcPr>
                  <w:tcW w:w="928" w:type="pct"/>
                  <w:vAlign w:val="center"/>
                </w:tcPr>
                <w:p>
                  <w:pPr>
                    <w:spacing w:line="240" w:lineRule="atLeast"/>
                    <w:jc w:val="center"/>
                    <w:rPr>
                      <w:rFonts w:ascii="Times New Roman" w:hAnsi="Times New Roman" w:eastAsia="宋体" w:cs="Times New Roman"/>
                      <w:bCs/>
                      <w:color w:val="auto"/>
                      <w:kern w:val="2"/>
                      <w:sz w:val="21"/>
                      <w:szCs w:val="22"/>
                      <w:lang w:val="en-US" w:eastAsia="zh-CN" w:bidi="ar-SA"/>
                    </w:rPr>
                  </w:pPr>
                  <w:r>
                    <w:rPr>
                      <w:rFonts w:hint="eastAsia" w:ascii="Times New Roman" w:hAnsi="Times New Roman"/>
                      <w:color w:val="auto"/>
                      <w:szCs w:val="21"/>
                      <w:lang w:val="en-US" w:eastAsia="zh-CN"/>
                    </w:rPr>
                    <w:t>头破</w:t>
                  </w:r>
                  <w:r>
                    <w:rPr>
                      <w:rFonts w:hint="eastAsia" w:ascii="Times New Roman" w:hAnsi="Times New Roman"/>
                      <w:color w:val="auto"/>
                      <w:szCs w:val="21"/>
                    </w:rPr>
                    <w:t>机</w:t>
                  </w:r>
                </w:p>
              </w:tc>
              <w:tc>
                <w:tcPr>
                  <w:tcW w:w="573" w:type="pct"/>
                  <w:vAlign w:val="center"/>
                </w:tcPr>
                <w:p>
                  <w:pPr>
                    <w:adjustRightInd w:val="0"/>
                    <w:snapToGrid w:val="0"/>
                    <w:jc w:val="center"/>
                    <w:rPr>
                      <w:szCs w:val="21"/>
                    </w:rPr>
                  </w:pPr>
                  <w:r>
                    <w:rPr>
                      <w:rFonts w:hint="eastAsia"/>
                      <w:szCs w:val="21"/>
                    </w:rPr>
                    <w:t>1</w:t>
                  </w:r>
                </w:p>
              </w:tc>
              <w:tc>
                <w:tcPr>
                  <w:tcW w:w="759" w:type="pct"/>
                  <w:vAlign w:val="center"/>
                </w:tcPr>
                <w:p>
                  <w:pPr>
                    <w:spacing w:line="300" w:lineRule="exact"/>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10</w:t>
                  </w:r>
                </w:p>
              </w:tc>
              <w:tc>
                <w:tcPr>
                  <w:tcW w:w="676" w:type="pct"/>
                  <w:vAlign w:val="center"/>
                </w:tcPr>
                <w:p>
                  <w:pPr>
                    <w:spacing w:line="300" w:lineRule="exact"/>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5</w:t>
                  </w:r>
                </w:p>
              </w:tc>
              <w:tc>
                <w:tcPr>
                  <w:tcW w:w="675" w:type="pct"/>
                  <w:vAlign w:val="center"/>
                </w:tcPr>
                <w:p>
                  <w:pPr>
                    <w:spacing w:line="300" w:lineRule="exact"/>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37</w:t>
                  </w:r>
                </w:p>
              </w:tc>
              <w:tc>
                <w:tcPr>
                  <w:tcW w:w="678" w:type="pct"/>
                  <w:vAlign w:val="center"/>
                </w:tcPr>
                <w:p>
                  <w:pPr>
                    <w:spacing w:line="300" w:lineRule="exact"/>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89</w:t>
                  </w:r>
                </w:p>
              </w:tc>
              <w:tc>
                <w:tcPr>
                  <w:tcW w:w="709" w:type="pct"/>
                  <w:vAlign w:val="center"/>
                </w:tcPr>
                <w:p>
                  <w:pPr>
                    <w:spacing w:line="300" w:lineRule="exact"/>
                    <w:jc w:val="center"/>
                    <w:rPr>
                      <w:rFonts w:hint="eastAsia" w:eastAsia="宋体"/>
                      <w:bCs/>
                      <w:color w:val="0D0D0D" w:themeColor="text1" w:themeTint="F2"/>
                      <w:szCs w:val="21"/>
                      <w:lang w:eastAsia="zh-CN"/>
                      <w14:textFill>
                        <w14:solidFill>
                          <w14:schemeClr w14:val="tx1">
                            <w14:lumMod w14:val="95000"/>
                            <w14:lumOff w14:val="5000"/>
                          </w14:schemeClr>
                        </w14:solidFill>
                      </w14:textFill>
                    </w:rPr>
                  </w:pPr>
                  <w:r>
                    <w:rPr>
                      <w:rFonts w:hint="eastAsia"/>
                      <w:bCs/>
                      <w:color w:val="0D0D0D" w:themeColor="text1" w:themeTint="F2"/>
                      <w:szCs w:val="21"/>
                      <w14:textFill>
                        <w14:solidFill>
                          <w14:schemeClr w14:val="tx1">
                            <w14:lumMod w14:val="95000"/>
                            <w14:lumOff w14:val="5000"/>
                          </w14:schemeClr>
                        </w14:solidFill>
                      </w14:textFill>
                    </w:rPr>
                    <w:t>8</w:t>
                  </w:r>
                  <w:r>
                    <w:rPr>
                      <w:rFonts w:hint="eastAsia"/>
                      <w:bCs/>
                      <w:color w:val="0D0D0D" w:themeColor="text1" w:themeTint="F2"/>
                      <w:szCs w:val="21"/>
                      <w:lang w:val="en-US" w:eastAsia="zh-CN"/>
                      <w14:textFill>
                        <w14:solidFill>
                          <w14:schemeClr w14:val="tx1">
                            <w14:lumMod w14:val="95000"/>
                            <w14:lumOff w14:val="5000"/>
                          </w14:schemeClr>
                        </w14:solidFill>
                      </w14:textFill>
                    </w:rPr>
                    <w:t>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exact"/>
              </w:trPr>
              <w:tc>
                <w:tcPr>
                  <w:tcW w:w="928" w:type="pct"/>
                  <w:vAlign w:val="center"/>
                </w:tcPr>
                <w:p>
                  <w:pPr>
                    <w:spacing w:line="240" w:lineRule="atLeast"/>
                    <w:jc w:val="center"/>
                    <w:rPr>
                      <w:rFonts w:ascii="Times New Roman" w:hAnsi="Times New Roman" w:eastAsia="宋体" w:cs="Times New Roman"/>
                      <w:bCs/>
                      <w:color w:val="auto"/>
                      <w:kern w:val="2"/>
                      <w:sz w:val="21"/>
                      <w:szCs w:val="22"/>
                      <w:lang w:val="en-US" w:eastAsia="zh-CN" w:bidi="ar-SA"/>
                    </w:rPr>
                  </w:pPr>
                  <w:r>
                    <w:rPr>
                      <w:rFonts w:hint="eastAsia" w:ascii="Times New Roman" w:hAnsi="Times New Roman"/>
                      <w:color w:val="auto"/>
                      <w:szCs w:val="21"/>
                    </w:rPr>
                    <w:t>圆锥破</w:t>
                  </w:r>
                </w:p>
              </w:tc>
              <w:tc>
                <w:tcPr>
                  <w:tcW w:w="573" w:type="pct"/>
                  <w:vAlign w:val="center"/>
                </w:tcPr>
                <w:p>
                  <w:pPr>
                    <w:adjustRightInd w:val="0"/>
                    <w:snapToGrid w:val="0"/>
                    <w:jc w:val="center"/>
                    <w:rPr>
                      <w:szCs w:val="21"/>
                    </w:rPr>
                  </w:pPr>
                  <w:r>
                    <w:rPr>
                      <w:rFonts w:hint="eastAsia"/>
                      <w:szCs w:val="21"/>
                    </w:rPr>
                    <w:t>1</w:t>
                  </w:r>
                </w:p>
              </w:tc>
              <w:tc>
                <w:tcPr>
                  <w:tcW w:w="759" w:type="pct"/>
                  <w:vAlign w:val="center"/>
                </w:tcPr>
                <w:p>
                  <w:pPr>
                    <w:spacing w:line="300" w:lineRule="exact"/>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10</w:t>
                  </w:r>
                </w:p>
              </w:tc>
              <w:tc>
                <w:tcPr>
                  <w:tcW w:w="676" w:type="pct"/>
                  <w:vAlign w:val="center"/>
                </w:tcPr>
                <w:p>
                  <w:pPr>
                    <w:spacing w:line="300" w:lineRule="exact"/>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8</w:t>
                  </w:r>
                </w:p>
              </w:tc>
              <w:tc>
                <w:tcPr>
                  <w:tcW w:w="675" w:type="pct"/>
                  <w:vAlign w:val="center"/>
                </w:tcPr>
                <w:p>
                  <w:pPr>
                    <w:spacing w:line="300" w:lineRule="exact"/>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39</w:t>
                  </w:r>
                </w:p>
              </w:tc>
              <w:tc>
                <w:tcPr>
                  <w:tcW w:w="678" w:type="pct"/>
                  <w:vAlign w:val="center"/>
                </w:tcPr>
                <w:p>
                  <w:pPr>
                    <w:spacing w:line="300" w:lineRule="exact"/>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86</w:t>
                  </w:r>
                </w:p>
              </w:tc>
              <w:tc>
                <w:tcPr>
                  <w:tcW w:w="709" w:type="pct"/>
                  <w:vAlign w:val="center"/>
                </w:tcPr>
                <w:p>
                  <w:pPr>
                    <w:spacing w:line="300" w:lineRule="exact"/>
                    <w:jc w:val="center"/>
                    <w:rPr>
                      <w:rFonts w:hint="eastAsia" w:eastAsia="宋体"/>
                      <w:bCs/>
                      <w:color w:val="0D0D0D" w:themeColor="text1" w:themeTint="F2"/>
                      <w:szCs w:val="21"/>
                      <w:lang w:eastAsia="zh-CN"/>
                      <w14:textFill>
                        <w14:solidFill>
                          <w14:schemeClr w14:val="tx1">
                            <w14:lumMod w14:val="95000"/>
                            <w14:lumOff w14:val="5000"/>
                          </w14:schemeClr>
                        </w14:solidFill>
                      </w14:textFill>
                    </w:rPr>
                  </w:pPr>
                  <w:r>
                    <w:rPr>
                      <w:rFonts w:hint="eastAsia"/>
                      <w:bCs/>
                      <w:color w:val="0D0D0D" w:themeColor="text1" w:themeTint="F2"/>
                      <w:szCs w:val="21"/>
                      <w14:textFill>
                        <w14:solidFill>
                          <w14:schemeClr w14:val="tx1">
                            <w14:lumMod w14:val="95000"/>
                            <w14:lumOff w14:val="5000"/>
                          </w14:schemeClr>
                        </w14:solidFill>
                      </w14:textFill>
                    </w:rPr>
                    <w:t>8</w:t>
                  </w:r>
                  <w:r>
                    <w:rPr>
                      <w:rFonts w:hint="eastAsia"/>
                      <w:bCs/>
                      <w:color w:val="0D0D0D" w:themeColor="text1" w:themeTint="F2"/>
                      <w:szCs w:val="21"/>
                      <w:lang w:val="en-US" w:eastAsia="zh-CN"/>
                      <w14:textFill>
                        <w14:solidFill>
                          <w14:schemeClr w14:val="tx1">
                            <w14:lumMod w14:val="95000"/>
                            <w14:lumOff w14:val="5000"/>
                          </w14:schemeClr>
                        </w14:solidFill>
                      </w14:textFill>
                    </w:rPr>
                    <w:t>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exact"/>
              </w:trPr>
              <w:tc>
                <w:tcPr>
                  <w:tcW w:w="928" w:type="pct"/>
                  <w:vAlign w:val="center"/>
                </w:tcPr>
                <w:p>
                  <w:pPr>
                    <w:spacing w:line="240" w:lineRule="atLeast"/>
                    <w:jc w:val="center"/>
                    <w:rPr>
                      <w:rFonts w:hint="default" w:ascii="Times New Roman" w:hAnsi="Times New Roman" w:eastAsia="宋体" w:cs="Times New Roman"/>
                      <w:bCs/>
                      <w:color w:val="auto"/>
                      <w:kern w:val="2"/>
                      <w:sz w:val="21"/>
                      <w:szCs w:val="22"/>
                      <w:lang w:val="en-US" w:eastAsia="zh-CN" w:bidi="ar-SA"/>
                    </w:rPr>
                  </w:pPr>
                  <w:r>
                    <w:rPr>
                      <w:rFonts w:hint="eastAsia" w:ascii="Times New Roman" w:hAnsi="Times New Roman"/>
                      <w:color w:val="auto"/>
                      <w:szCs w:val="21"/>
                      <w:lang w:val="en-US" w:eastAsia="zh-CN"/>
                    </w:rPr>
                    <w:t>制砂机</w:t>
                  </w:r>
                </w:p>
              </w:tc>
              <w:tc>
                <w:tcPr>
                  <w:tcW w:w="573" w:type="pct"/>
                  <w:vAlign w:val="center"/>
                </w:tcPr>
                <w:p>
                  <w:pPr>
                    <w:adjustRightInd w:val="0"/>
                    <w:snapToGrid w:val="0"/>
                    <w:jc w:val="center"/>
                    <w:rPr>
                      <w:rFonts w:hint="eastAsia" w:eastAsia="宋体"/>
                      <w:szCs w:val="21"/>
                      <w:lang w:val="en-US" w:eastAsia="zh-CN"/>
                    </w:rPr>
                  </w:pPr>
                  <w:r>
                    <w:rPr>
                      <w:rFonts w:hint="eastAsia"/>
                      <w:szCs w:val="21"/>
                      <w:lang w:val="en-US" w:eastAsia="zh-CN"/>
                    </w:rPr>
                    <w:t>1</w:t>
                  </w:r>
                </w:p>
              </w:tc>
              <w:tc>
                <w:tcPr>
                  <w:tcW w:w="759" w:type="pct"/>
                  <w:vAlign w:val="center"/>
                </w:tcPr>
                <w:p>
                  <w:pPr>
                    <w:spacing w:line="300" w:lineRule="exact"/>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10</w:t>
                  </w:r>
                </w:p>
              </w:tc>
              <w:tc>
                <w:tcPr>
                  <w:tcW w:w="676" w:type="pct"/>
                  <w:vAlign w:val="center"/>
                </w:tcPr>
                <w:p>
                  <w:pPr>
                    <w:spacing w:line="300" w:lineRule="exact"/>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11</w:t>
                  </w:r>
                </w:p>
              </w:tc>
              <w:tc>
                <w:tcPr>
                  <w:tcW w:w="675" w:type="pct"/>
                  <w:vAlign w:val="center"/>
                </w:tcPr>
                <w:p>
                  <w:pPr>
                    <w:spacing w:line="300" w:lineRule="exact"/>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39</w:t>
                  </w:r>
                </w:p>
              </w:tc>
              <w:tc>
                <w:tcPr>
                  <w:tcW w:w="678" w:type="pct"/>
                  <w:vAlign w:val="center"/>
                </w:tcPr>
                <w:p>
                  <w:pPr>
                    <w:spacing w:line="300" w:lineRule="exact"/>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84</w:t>
                  </w:r>
                </w:p>
              </w:tc>
              <w:tc>
                <w:tcPr>
                  <w:tcW w:w="709" w:type="pct"/>
                  <w:vAlign w:val="center"/>
                </w:tcPr>
                <w:p>
                  <w:pPr>
                    <w:spacing w:line="300" w:lineRule="exact"/>
                    <w:jc w:val="center"/>
                    <w:rPr>
                      <w:bCs/>
                      <w:color w:val="0D0D0D" w:themeColor="text1" w:themeTint="F2"/>
                      <w:szCs w:val="21"/>
                      <w14:textFill>
                        <w14:solidFill>
                          <w14:schemeClr w14:val="tx1">
                            <w14:lumMod w14:val="95000"/>
                            <w14:lumOff w14:val="5000"/>
                          </w14:schemeClr>
                        </w14:solidFill>
                      </w14:textFill>
                    </w:rPr>
                  </w:pPr>
                  <w:r>
                    <w:rPr>
                      <w:rFonts w:hint="eastAsia"/>
                      <w:bCs/>
                      <w:color w:val="0D0D0D" w:themeColor="text1" w:themeTint="F2"/>
                      <w:szCs w:val="21"/>
                      <w:lang w:val="en-US" w:eastAsia="zh-CN"/>
                      <w14:textFill>
                        <w14:solidFill>
                          <w14:schemeClr w14:val="tx1">
                            <w14:lumMod w14:val="95000"/>
                            <w14:lumOff w14:val="5000"/>
                          </w14:schemeClr>
                        </w14:solidFill>
                      </w14:textFill>
                    </w:rPr>
                    <w:t>8</w:t>
                  </w:r>
                  <w:r>
                    <w:rPr>
                      <w:rFonts w:hint="eastAsia"/>
                      <w:bCs/>
                      <w:color w:val="0D0D0D" w:themeColor="text1" w:themeTint="F2"/>
                      <w:szCs w:val="21"/>
                      <w14:textFill>
                        <w14:solidFill>
                          <w14:schemeClr w14:val="tx1">
                            <w14:lumMod w14:val="95000"/>
                            <w14:lumOff w14:val="5000"/>
                          </w14:schemeClr>
                        </w14:solidFill>
                      </w14:textFill>
                    </w:rPr>
                    <w:t>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exact"/>
              </w:trPr>
              <w:tc>
                <w:tcPr>
                  <w:tcW w:w="928" w:type="pct"/>
                  <w:vAlign w:val="center"/>
                </w:tcPr>
                <w:p>
                  <w:pPr>
                    <w:spacing w:line="240" w:lineRule="atLeast"/>
                    <w:jc w:val="center"/>
                    <w:rPr>
                      <w:rFonts w:ascii="Times New Roman" w:hAnsi="Times New Roman" w:eastAsia="宋体" w:cs="Times New Roman"/>
                      <w:bCs/>
                      <w:color w:val="auto"/>
                      <w:kern w:val="2"/>
                      <w:sz w:val="21"/>
                      <w:szCs w:val="22"/>
                      <w:lang w:val="en-US" w:eastAsia="zh-CN" w:bidi="ar-SA"/>
                    </w:rPr>
                  </w:pPr>
                  <w:r>
                    <w:rPr>
                      <w:rFonts w:hint="eastAsia" w:ascii="Times New Roman" w:hAnsi="Times New Roman"/>
                      <w:color w:val="auto"/>
                      <w:szCs w:val="21"/>
                    </w:rPr>
                    <w:t>振动筛</w:t>
                  </w:r>
                </w:p>
              </w:tc>
              <w:tc>
                <w:tcPr>
                  <w:tcW w:w="573" w:type="pct"/>
                  <w:vAlign w:val="center"/>
                </w:tcPr>
                <w:p>
                  <w:pPr>
                    <w:adjustRightInd w:val="0"/>
                    <w:snapToGrid w:val="0"/>
                    <w:jc w:val="center"/>
                    <w:rPr>
                      <w:rFonts w:hint="eastAsia" w:eastAsia="宋体"/>
                      <w:szCs w:val="21"/>
                      <w:lang w:val="en-US" w:eastAsia="zh-CN"/>
                    </w:rPr>
                  </w:pPr>
                  <w:r>
                    <w:rPr>
                      <w:rFonts w:hint="eastAsia"/>
                      <w:szCs w:val="21"/>
                      <w:lang w:val="en-US" w:eastAsia="zh-CN"/>
                    </w:rPr>
                    <w:t>2</w:t>
                  </w:r>
                </w:p>
              </w:tc>
              <w:tc>
                <w:tcPr>
                  <w:tcW w:w="759" w:type="pct"/>
                  <w:vAlign w:val="center"/>
                </w:tcPr>
                <w:p>
                  <w:pPr>
                    <w:spacing w:line="300" w:lineRule="exact"/>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10</w:t>
                  </w:r>
                </w:p>
              </w:tc>
              <w:tc>
                <w:tcPr>
                  <w:tcW w:w="676" w:type="pct"/>
                  <w:vAlign w:val="center"/>
                </w:tcPr>
                <w:p>
                  <w:pPr>
                    <w:spacing w:line="300" w:lineRule="exact"/>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13</w:t>
                  </w:r>
                </w:p>
              </w:tc>
              <w:tc>
                <w:tcPr>
                  <w:tcW w:w="675" w:type="pct"/>
                  <w:vAlign w:val="center"/>
                </w:tcPr>
                <w:p>
                  <w:pPr>
                    <w:spacing w:line="300" w:lineRule="exact"/>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43</w:t>
                  </w:r>
                </w:p>
              </w:tc>
              <w:tc>
                <w:tcPr>
                  <w:tcW w:w="678" w:type="pct"/>
                  <w:vAlign w:val="center"/>
                </w:tcPr>
                <w:p>
                  <w:pPr>
                    <w:spacing w:line="300" w:lineRule="exact"/>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81.3</w:t>
                  </w:r>
                </w:p>
              </w:tc>
              <w:tc>
                <w:tcPr>
                  <w:tcW w:w="709" w:type="pct"/>
                  <w:vAlign w:val="center"/>
                </w:tcPr>
                <w:p>
                  <w:pPr>
                    <w:spacing w:line="300" w:lineRule="exact"/>
                    <w:jc w:val="center"/>
                    <w:rPr>
                      <w:rFonts w:hint="eastAsia" w:eastAsia="宋体"/>
                      <w:bCs/>
                      <w:color w:val="0D0D0D" w:themeColor="text1" w:themeTint="F2"/>
                      <w:szCs w:val="21"/>
                      <w:lang w:eastAsia="zh-CN"/>
                      <w14:textFill>
                        <w14:solidFill>
                          <w14:schemeClr w14:val="tx1">
                            <w14:lumMod w14:val="95000"/>
                            <w14:lumOff w14:val="5000"/>
                          </w14:schemeClr>
                        </w14:solidFill>
                      </w14:textFill>
                    </w:rPr>
                  </w:pPr>
                  <w:r>
                    <w:rPr>
                      <w:rFonts w:hint="eastAsia"/>
                      <w:bCs/>
                      <w:color w:val="0D0D0D" w:themeColor="text1" w:themeTint="F2"/>
                      <w:szCs w:val="21"/>
                      <w14:textFill>
                        <w14:solidFill>
                          <w14:schemeClr w14:val="tx1">
                            <w14:lumMod w14:val="95000"/>
                            <w14:lumOff w14:val="5000"/>
                          </w14:schemeClr>
                        </w14:solidFill>
                      </w14:textFill>
                    </w:rPr>
                    <w:t>8</w:t>
                  </w:r>
                  <w:r>
                    <w:rPr>
                      <w:rFonts w:hint="eastAsia"/>
                      <w:bCs/>
                      <w:color w:val="0D0D0D" w:themeColor="text1" w:themeTint="F2"/>
                      <w:szCs w:val="21"/>
                      <w:lang w:val="en-US" w:eastAsia="zh-CN"/>
                      <w14:textFill>
                        <w14:solidFill>
                          <w14:schemeClr w14:val="tx1">
                            <w14:lumMod w14:val="95000"/>
                            <w14:lumOff w14:val="5000"/>
                          </w14:schemeClr>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exact"/>
              </w:trPr>
              <w:tc>
                <w:tcPr>
                  <w:tcW w:w="928" w:type="pct"/>
                  <w:vAlign w:val="center"/>
                </w:tcPr>
                <w:p>
                  <w:pPr>
                    <w:spacing w:line="240" w:lineRule="atLeast"/>
                    <w:jc w:val="center"/>
                    <w:rPr>
                      <w:rFonts w:ascii="Times New Roman" w:hAnsi="Times New Roman" w:eastAsia="宋体" w:cs="Times New Roman"/>
                      <w:bCs/>
                      <w:color w:val="auto"/>
                      <w:kern w:val="2"/>
                      <w:sz w:val="21"/>
                      <w:szCs w:val="22"/>
                      <w:lang w:val="en-US" w:eastAsia="zh-CN" w:bidi="ar-SA"/>
                    </w:rPr>
                  </w:pPr>
                  <w:r>
                    <w:rPr>
                      <w:rFonts w:hint="eastAsia" w:ascii="Times New Roman" w:hAnsi="Times New Roman"/>
                      <w:color w:val="auto"/>
                      <w:szCs w:val="21"/>
                      <w:lang w:val="en-US" w:eastAsia="zh-CN"/>
                    </w:rPr>
                    <w:t>脱水机</w:t>
                  </w:r>
                </w:p>
              </w:tc>
              <w:tc>
                <w:tcPr>
                  <w:tcW w:w="573" w:type="pct"/>
                  <w:vAlign w:val="center"/>
                </w:tcPr>
                <w:p>
                  <w:pPr>
                    <w:adjustRightInd w:val="0"/>
                    <w:snapToGrid w:val="0"/>
                    <w:jc w:val="center"/>
                    <w:rPr>
                      <w:rFonts w:hint="eastAsia" w:eastAsia="宋体"/>
                      <w:szCs w:val="21"/>
                      <w:lang w:val="en-US" w:eastAsia="zh-CN"/>
                    </w:rPr>
                  </w:pPr>
                  <w:r>
                    <w:rPr>
                      <w:rFonts w:hint="eastAsia"/>
                      <w:szCs w:val="21"/>
                      <w:lang w:val="en-US" w:eastAsia="zh-CN"/>
                    </w:rPr>
                    <w:t>2</w:t>
                  </w:r>
                </w:p>
              </w:tc>
              <w:tc>
                <w:tcPr>
                  <w:tcW w:w="759" w:type="pct"/>
                  <w:vAlign w:val="center"/>
                </w:tcPr>
                <w:p>
                  <w:pPr>
                    <w:spacing w:line="300" w:lineRule="exact"/>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10.5</w:t>
                  </w:r>
                </w:p>
              </w:tc>
              <w:tc>
                <w:tcPr>
                  <w:tcW w:w="676" w:type="pct"/>
                  <w:vAlign w:val="center"/>
                </w:tcPr>
                <w:p>
                  <w:pPr>
                    <w:spacing w:line="300" w:lineRule="exact"/>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14</w:t>
                  </w:r>
                </w:p>
              </w:tc>
              <w:tc>
                <w:tcPr>
                  <w:tcW w:w="675" w:type="pct"/>
                  <w:vAlign w:val="center"/>
                </w:tcPr>
                <w:p>
                  <w:pPr>
                    <w:spacing w:line="300" w:lineRule="exact"/>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43</w:t>
                  </w:r>
                </w:p>
              </w:tc>
              <w:tc>
                <w:tcPr>
                  <w:tcW w:w="678" w:type="pct"/>
                  <w:vAlign w:val="center"/>
                </w:tcPr>
                <w:p>
                  <w:pPr>
                    <w:spacing w:line="300" w:lineRule="exact"/>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80</w:t>
                  </w:r>
                </w:p>
              </w:tc>
              <w:tc>
                <w:tcPr>
                  <w:tcW w:w="709" w:type="pct"/>
                  <w:vAlign w:val="center"/>
                </w:tcPr>
                <w:p>
                  <w:pPr>
                    <w:spacing w:line="300" w:lineRule="exact"/>
                    <w:jc w:val="center"/>
                    <w:rPr>
                      <w:rFonts w:hint="eastAsia" w:eastAsia="宋体"/>
                      <w:bCs/>
                      <w:color w:val="0D0D0D" w:themeColor="text1" w:themeTint="F2"/>
                      <w:szCs w:val="21"/>
                      <w:lang w:eastAsia="zh-CN"/>
                      <w14:textFill>
                        <w14:solidFill>
                          <w14:schemeClr w14:val="tx1">
                            <w14:lumMod w14:val="95000"/>
                            <w14:lumOff w14:val="5000"/>
                          </w14:schemeClr>
                        </w14:solidFill>
                      </w14:textFill>
                    </w:rPr>
                  </w:pPr>
                  <w:r>
                    <w:rPr>
                      <w:rFonts w:hint="eastAsia"/>
                      <w:bCs/>
                      <w:color w:val="0D0D0D" w:themeColor="text1" w:themeTint="F2"/>
                      <w:szCs w:val="21"/>
                      <w14:textFill>
                        <w14:solidFill>
                          <w14:schemeClr w14:val="tx1">
                            <w14:lumMod w14:val="95000"/>
                            <w14:lumOff w14:val="5000"/>
                          </w14:schemeClr>
                        </w14:solidFill>
                      </w14:textFill>
                    </w:rPr>
                    <w:t>7</w:t>
                  </w:r>
                  <w:r>
                    <w:rPr>
                      <w:rFonts w:hint="eastAsia"/>
                      <w:bCs/>
                      <w:color w:val="0D0D0D" w:themeColor="text1" w:themeTint="F2"/>
                      <w:szCs w:val="21"/>
                      <w:lang w:val="en-US" w:eastAsia="zh-CN"/>
                      <w14:textFill>
                        <w14:solidFill>
                          <w14:schemeClr w14:val="tx1">
                            <w14:lumMod w14:val="95000"/>
                            <w14:lumOff w14:val="5000"/>
                          </w14:schemeClr>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exact"/>
              </w:trPr>
              <w:tc>
                <w:tcPr>
                  <w:tcW w:w="928" w:type="pct"/>
                  <w:vAlign w:val="center"/>
                </w:tcPr>
                <w:p>
                  <w:pPr>
                    <w:spacing w:line="240" w:lineRule="atLeast"/>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olor w:val="auto"/>
                      <w:szCs w:val="21"/>
                      <w:lang w:val="en-US" w:eastAsia="zh-CN"/>
                    </w:rPr>
                    <w:t>洗砂机</w:t>
                  </w:r>
                </w:p>
              </w:tc>
              <w:tc>
                <w:tcPr>
                  <w:tcW w:w="573" w:type="pct"/>
                  <w:vAlign w:val="center"/>
                </w:tcPr>
                <w:p>
                  <w:pPr>
                    <w:adjustRightInd w:val="0"/>
                    <w:snapToGrid w:val="0"/>
                    <w:jc w:val="center"/>
                    <w:rPr>
                      <w:rFonts w:hint="eastAsia" w:eastAsia="宋体"/>
                      <w:szCs w:val="21"/>
                      <w:lang w:val="en-US" w:eastAsia="zh-CN"/>
                    </w:rPr>
                  </w:pPr>
                  <w:r>
                    <w:rPr>
                      <w:rFonts w:hint="eastAsia"/>
                      <w:szCs w:val="21"/>
                      <w:lang w:val="en-US" w:eastAsia="zh-CN"/>
                    </w:rPr>
                    <w:t>4</w:t>
                  </w:r>
                </w:p>
              </w:tc>
              <w:tc>
                <w:tcPr>
                  <w:tcW w:w="759" w:type="pct"/>
                  <w:vAlign w:val="center"/>
                </w:tcPr>
                <w:p>
                  <w:pPr>
                    <w:spacing w:line="300" w:lineRule="exact"/>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9.3</w:t>
                  </w:r>
                </w:p>
              </w:tc>
              <w:tc>
                <w:tcPr>
                  <w:tcW w:w="676" w:type="pct"/>
                  <w:vAlign w:val="center"/>
                </w:tcPr>
                <w:p>
                  <w:pPr>
                    <w:spacing w:line="300" w:lineRule="exact"/>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14</w:t>
                  </w:r>
                </w:p>
              </w:tc>
              <w:tc>
                <w:tcPr>
                  <w:tcW w:w="675" w:type="pct"/>
                  <w:vAlign w:val="center"/>
                </w:tcPr>
                <w:p>
                  <w:pPr>
                    <w:spacing w:line="300" w:lineRule="exact"/>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41</w:t>
                  </w:r>
                </w:p>
              </w:tc>
              <w:tc>
                <w:tcPr>
                  <w:tcW w:w="678" w:type="pct"/>
                  <w:vAlign w:val="center"/>
                </w:tcPr>
                <w:p>
                  <w:pPr>
                    <w:spacing w:line="300" w:lineRule="exact"/>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80</w:t>
                  </w:r>
                </w:p>
              </w:tc>
              <w:tc>
                <w:tcPr>
                  <w:tcW w:w="709" w:type="pct"/>
                  <w:vAlign w:val="center"/>
                </w:tcPr>
                <w:p>
                  <w:pPr>
                    <w:spacing w:line="300" w:lineRule="exact"/>
                    <w:jc w:val="center"/>
                    <w:rPr>
                      <w:rFonts w:hint="default" w:eastAsia="宋体"/>
                      <w:bCs/>
                      <w:color w:val="0D0D0D" w:themeColor="text1" w:themeTint="F2"/>
                      <w:szCs w:val="21"/>
                      <w:lang w:val="en-US" w:eastAsia="zh-CN"/>
                      <w14:textFill>
                        <w14:solidFill>
                          <w14:schemeClr w14:val="tx1">
                            <w14:lumMod w14:val="95000"/>
                            <w14:lumOff w14:val="5000"/>
                          </w14:schemeClr>
                        </w14:solidFill>
                      </w14:textFill>
                    </w:rPr>
                  </w:pPr>
                  <w:r>
                    <w:rPr>
                      <w:rFonts w:hint="eastAsia"/>
                      <w:bCs/>
                      <w:color w:val="0D0D0D" w:themeColor="text1" w:themeTint="F2"/>
                      <w:szCs w:val="21"/>
                      <w:lang w:val="en-US" w:eastAsia="zh-CN"/>
                      <w14:textFill>
                        <w14:solidFill>
                          <w14:schemeClr w14:val="tx1">
                            <w14:lumMod w14:val="95000"/>
                            <w14:lumOff w14:val="5000"/>
                          </w14:schemeClr>
                        </w14:solidFill>
                      </w14:textFill>
                    </w:rPr>
                    <w:t>75</w:t>
                  </w:r>
                </w:p>
              </w:tc>
            </w:tr>
          </w:tbl>
          <w:p>
            <w:pPr>
              <w:spacing w:line="460" w:lineRule="exact"/>
              <w:jc w:val="both"/>
              <w:rPr>
                <w:b/>
                <w:bCs/>
                <w:color w:val="000000"/>
                <w:sz w:val="24"/>
              </w:rPr>
            </w:pPr>
          </w:p>
          <w:p>
            <w:pPr>
              <w:spacing w:before="120" w:beforeLines="50" w:line="360" w:lineRule="auto"/>
              <w:ind w:firstLine="482" w:firstLineChars="200"/>
              <w:rPr>
                <w:b/>
                <w:color w:val="000000"/>
                <w:sz w:val="24"/>
              </w:rPr>
            </w:pPr>
            <w:r>
              <w:rPr>
                <w:rFonts w:hint="eastAsia"/>
                <w:b/>
                <w:color w:val="000000"/>
                <w:sz w:val="24"/>
              </w:rPr>
              <w:t>2、预测模式</w:t>
            </w:r>
          </w:p>
          <w:p>
            <w:pPr>
              <w:spacing w:line="360" w:lineRule="auto"/>
              <w:ind w:firstLine="480" w:firstLineChars="200"/>
              <w:jc w:val="left"/>
              <w:rPr>
                <w:sz w:val="24"/>
              </w:rPr>
            </w:pPr>
            <w:r>
              <w:rPr>
                <w:rFonts w:hint="eastAsia"/>
                <w:sz w:val="24"/>
              </w:rPr>
              <w:t>根据项目设备声源特征和声学环境的特点，视设备声源为点源，声场为半自由声场，依据《环境影响评价技术导则</w:t>
            </w:r>
            <w:r>
              <w:rPr>
                <w:sz w:val="24"/>
              </w:rPr>
              <w:t>—</w:t>
            </w:r>
            <w:r>
              <w:rPr>
                <w:rFonts w:hint="eastAsia"/>
                <w:sz w:val="24"/>
              </w:rPr>
              <w:t>声环境》（</w:t>
            </w:r>
            <w:r>
              <w:rPr>
                <w:sz w:val="24"/>
              </w:rPr>
              <w:t>HJ2.4-2009</w:t>
            </w:r>
            <w:r>
              <w:rPr>
                <w:rFonts w:hint="eastAsia"/>
                <w:sz w:val="24"/>
              </w:rPr>
              <w:t>），选用无指向性声源几何发散衰减预测模式预测车间外噪声。</w:t>
            </w:r>
          </w:p>
          <w:p>
            <w:pPr>
              <w:spacing w:line="360" w:lineRule="auto"/>
              <w:ind w:firstLine="480" w:firstLineChars="200"/>
              <w:jc w:val="left"/>
              <w:rPr>
                <w:sz w:val="24"/>
              </w:rPr>
            </w:pPr>
            <w:r>
              <w:rPr>
                <w:rFonts w:hint="eastAsia"/>
                <w:sz w:val="24"/>
              </w:rPr>
              <w:t>（1）点声源预测模式</w:t>
            </w:r>
            <w:r>
              <w:rPr>
                <w:sz w:val="24"/>
              </w:rPr>
              <w:t>:</w:t>
            </w:r>
          </w:p>
          <w:p>
            <w:pPr>
              <w:spacing w:line="360" w:lineRule="auto"/>
              <w:ind w:firstLine="480" w:firstLineChars="200"/>
              <w:jc w:val="center"/>
              <w:rPr>
                <w:sz w:val="24"/>
              </w:rPr>
            </w:pPr>
            <w:r>
              <w:rPr>
                <w:sz w:val="24"/>
              </w:rPr>
              <w:t>LA</w:t>
            </w:r>
            <w:r>
              <w:rPr>
                <w:rFonts w:hint="eastAsia"/>
                <w:sz w:val="24"/>
              </w:rPr>
              <w:t>（</w:t>
            </w:r>
            <w:r>
              <w:rPr>
                <w:sz w:val="24"/>
              </w:rPr>
              <w:t>r</w:t>
            </w:r>
            <w:r>
              <w:rPr>
                <w:rFonts w:hint="eastAsia"/>
                <w:sz w:val="24"/>
              </w:rPr>
              <w:t>）</w:t>
            </w:r>
            <w:r>
              <w:rPr>
                <w:sz w:val="24"/>
              </w:rPr>
              <w:t>=  LWA - 20lg</w:t>
            </w:r>
            <w:r>
              <w:rPr>
                <w:rFonts w:hint="eastAsia"/>
                <w:sz w:val="24"/>
              </w:rPr>
              <w:t>（</w:t>
            </w:r>
            <w:r>
              <w:rPr>
                <w:sz w:val="24"/>
              </w:rPr>
              <w:t>r</w:t>
            </w:r>
            <w:r>
              <w:rPr>
                <w:rFonts w:hint="eastAsia"/>
                <w:sz w:val="24"/>
              </w:rPr>
              <w:t>）</w:t>
            </w:r>
            <w:r>
              <w:rPr>
                <w:sz w:val="24"/>
              </w:rPr>
              <w:t>-8</w:t>
            </w:r>
          </w:p>
          <w:p>
            <w:pPr>
              <w:spacing w:line="360" w:lineRule="auto"/>
              <w:ind w:firstLine="480" w:firstLineChars="200"/>
              <w:jc w:val="left"/>
              <w:rPr>
                <w:sz w:val="24"/>
              </w:rPr>
            </w:pPr>
            <w:r>
              <w:rPr>
                <w:rFonts w:hint="eastAsia"/>
                <w:sz w:val="24"/>
              </w:rPr>
              <w:t>式中：</w:t>
            </w:r>
            <w:r>
              <w:rPr>
                <w:sz w:val="24"/>
              </w:rPr>
              <w:t>A(r)——</w:t>
            </w:r>
            <w:r>
              <w:rPr>
                <w:rFonts w:hint="eastAsia"/>
                <w:sz w:val="24"/>
              </w:rPr>
              <w:t>距噪声源</w:t>
            </w:r>
            <w:r>
              <w:rPr>
                <w:sz w:val="24"/>
              </w:rPr>
              <w:t>r m</w:t>
            </w:r>
            <w:r>
              <w:rPr>
                <w:rFonts w:hint="eastAsia"/>
                <w:sz w:val="24"/>
              </w:rPr>
              <w:t>处预测点的</w:t>
            </w:r>
            <w:r>
              <w:rPr>
                <w:sz w:val="24"/>
              </w:rPr>
              <w:t>A</w:t>
            </w:r>
            <w:r>
              <w:rPr>
                <w:rFonts w:hint="eastAsia"/>
                <w:sz w:val="24"/>
              </w:rPr>
              <w:t>声级（</w:t>
            </w:r>
            <w:r>
              <w:rPr>
                <w:sz w:val="24"/>
              </w:rPr>
              <w:t>dB(A)</w:t>
            </w:r>
            <w:r>
              <w:rPr>
                <w:rFonts w:hint="eastAsia"/>
                <w:sz w:val="24"/>
              </w:rPr>
              <w:t>）；</w:t>
            </w:r>
          </w:p>
          <w:p>
            <w:pPr>
              <w:spacing w:line="360" w:lineRule="auto"/>
              <w:ind w:firstLine="480" w:firstLineChars="200"/>
              <w:jc w:val="left"/>
              <w:rPr>
                <w:sz w:val="24"/>
              </w:rPr>
            </w:pPr>
            <w:r>
              <w:rPr>
                <w:rFonts w:hint="eastAsia"/>
                <w:sz w:val="24"/>
              </w:rPr>
              <w:t xml:space="preserve">      </w:t>
            </w:r>
            <w:r>
              <w:rPr>
                <w:sz w:val="24"/>
              </w:rPr>
              <w:t>LWA ——</w:t>
            </w:r>
            <w:r>
              <w:rPr>
                <w:rFonts w:hint="eastAsia"/>
                <w:sz w:val="24"/>
              </w:rPr>
              <w:t>点声源的</w:t>
            </w:r>
            <w:r>
              <w:rPr>
                <w:sz w:val="24"/>
              </w:rPr>
              <w:t>A</w:t>
            </w:r>
            <w:r>
              <w:rPr>
                <w:rFonts w:hint="eastAsia"/>
                <w:sz w:val="24"/>
              </w:rPr>
              <w:t>声级（</w:t>
            </w:r>
            <w:r>
              <w:rPr>
                <w:sz w:val="24"/>
              </w:rPr>
              <w:t>dB(A)</w:t>
            </w:r>
            <w:r>
              <w:rPr>
                <w:rFonts w:hint="eastAsia"/>
                <w:sz w:val="24"/>
              </w:rPr>
              <w:t>）；</w:t>
            </w:r>
          </w:p>
          <w:p>
            <w:pPr>
              <w:spacing w:line="360" w:lineRule="auto"/>
              <w:ind w:firstLine="480" w:firstLineChars="200"/>
              <w:jc w:val="left"/>
              <w:rPr>
                <w:sz w:val="24"/>
              </w:rPr>
            </w:pPr>
            <w:r>
              <w:rPr>
                <w:rFonts w:hint="eastAsia"/>
                <w:sz w:val="24"/>
              </w:rPr>
              <w:t xml:space="preserve">      </w:t>
            </w:r>
            <w:r>
              <w:rPr>
                <w:sz w:val="24"/>
              </w:rPr>
              <w:t>r  ——</w:t>
            </w:r>
            <w:r>
              <w:rPr>
                <w:rFonts w:hint="eastAsia"/>
                <w:sz w:val="24"/>
              </w:rPr>
              <w:t>点声源至预测点的距离（</w:t>
            </w:r>
            <w:r>
              <w:rPr>
                <w:sz w:val="24"/>
              </w:rPr>
              <w:t>m</w:t>
            </w:r>
            <w:r>
              <w:rPr>
                <w:rFonts w:hint="eastAsia"/>
                <w:sz w:val="24"/>
              </w:rPr>
              <w:t>）。</w:t>
            </w:r>
          </w:p>
          <w:p>
            <w:pPr>
              <w:spacing w:line="360" w:lineRule="auto"/>
              <w:ind w:firstLine="480" w:firstLineChars="200"/>
              <w:jc w:val="left"/>
              <w:rPr>
                <w:sz w:val="24"/>
              </w:rPr>
            </w:pPr>
            <w:r>
              <w:rPr>
                <w:rFonts w:hint="eastAsia"/>
                <w:sz w:val="24"/>
              </w:rPr>
              <w:t>（2）多声源叠加模式</w:t>
            </w:r>
            <w:r>
              <w:rPr>
                <w:sz w:val="24"/>
              </w:rPr>
              <w:t>:</w:t>
            </w:r>
          </w:p>
          <w:p>
            <w:pPr>
              <w:spacing w:line="360" w:lineRule="auto"/>
              <w:ind w:firstLine="480" w:firstLineChars="200"/>
              <w:jc w:val="center"/>
              <w:rPr>
                <w:sz w:val="24"/>
              </w:rPr>
            </w:pPr>
            <w:r>
              <w:rPr>
                <w:sz w:val="24"/>
              </w:rPr>
              <w:object>
                <v:shape id="_x0000_i1026" o:spt="75" type="#_x0000_t75" style="height:33.95pt;width:96.45pt;" o:ole="t" fillcolor="#FFFFFF" filled="f" o:preferrelative="t" stroked="f" coordsize="21600,21600">
                  <v:path/>
                  <v:fill on="f" focussize="0,0"/>
                  <v:stroke on="f" joinstyle="miter"/>
                  <v:imagedata r:id="rId14" o:title=""/>
                  <o:lock v:ext="edit" aspectratio="t"/>
                  <w10:wrap type="none"/>
                  <w10:anchorlock/>
                </v:shape>
                <o:OLEObject Type="Embed" ProgID="Equation.3" ShapeID="_x0000_i1026" DrawAspect="Content" ObjectID="_1468075726" r:id="rId13">
                  <o:LockedField>false</o:LockedField>
                </o:OLEObject>
              </w:object>
            </w:r>
          </w:p>
          <w:p>
            <w:pPr>
              <w:spacing w:line="360" w:lineRule="auto"/>
              <w:ind w:firstLine="480" w:firstLineChars="200"/>
              <w:jc w:val="left"/>
              <w:rPr>
                <w:sz w:val="24"/>
              </w:rPr>
            </w:pPr>
            <w:r>
              <w:rPr>
                <w:rFonts w:hint="eastAsia"/>
                <w:sz w:val="24"/>
              </w:rPr>
              <w:t>式中：</w:t>
            </w:r>
            <w:r>
              <w:rPr>
                <w:sz w:val="24"/>
              </w:rPr>
              <w:t>L0——</w:t>
            </w:r>
            <w:r>
              <w:rPr>
                <w:rFonts w:hint="eastAsia"/>
                <w:sz w:val="24"/>
              </w:rPr>
              <w:t>叠加后总声压级，</w:t>
            </w:r>
            <w:r>
              <w:rPr>
                <w:sz w:val="24"/>
              </w:rPr>
              <w:t>dB(A)</w:t>
            </w:r>
            <w:r>
              <w:rPr>
                <w:rFonts w:hint="eastAsia"/>
                <w:sz w:val="24"/>
              </w:rPr>
              <w:t>；</w:t>
            </w:r>
          </w:p>
          <w:p>
            <w:pPr>
              <w:spacing w:line="360" w:lineRule="auto"/>
              <w:ind w:firstLine="480" w:firstLineChars="200"/>
              <w:jc w:val="left"/>
              <w:rPr>
                <w:sz w:val="24"/>
              </w:rPr>
            </w:pPr>
            <w:r>
              <w:rPr>
                <w:sz w:val="24"/>
              </w:rPr>
              <w:t xml:space="preserve">     </w:t>
            </w:r>
            <w:r>
              <w:rPr>
                <w:rFonts w:hint="eastAsia"/>
                <w:sz w:val="24"/>
              </w:rPr>
              <w:t xml:space="preserve"> </w:t>
            </w:r>
            <w:r>
              <w:rPr>
                <w:sz w:val="24"/>
              </w:rPr>
              <w:t xml:space="preserve">n—— </w:t>
            </w:r>
            <w:r>
              <w:rPr>
                <w:rFonts w:hint="eastAsia"/>
                <w:sz w:val="24"/>
              </w:rPr>
              <w:t>声源级数；</w:t>
            </w:r>
          </w:p>
          <w:p>
            <w:pPr>
              <w:spacing w:line="360" w:lineRule="auto"/>
              <w:ind w:firstLine="480" w:firstLineChars="200"/>
              <w:jc w:val="left"/>
              <w:rPr>
                <w:sz w:val="24"/>
              </w:rPr>
            </w:pPr>
            <w:r>
              <w:rPr>
                <w:sz w:val="24"/>
              </w:rPr>
              <w:t xml:space="preserve"> </w:t>
            </w:r>
            <w:r>
              <w:rPr>
                <w:rFonts w:hint="eastAsia"/>
                <w:sz w:val="24"/>
                <w:lang w:val="en-US" w:eastAsia="zh-CN"/>
              </w:rPr>
              <w:t xml:space="preserve">   </w:t>
            </w:r>
            <w:r>
              <w:rPr>
                <w:sz w:val="24"/>
              </w:rPr>
              <w:t xml:space="preserve"> Li ——</w:t>
            </w:r>
            <w:r>
              <w:rPr>
                <w:rFonts w:hint="eastAsia"/>
                <w:sz w:val="24"/>
              </w:rPr>
              <w:t>各声源对某点的声压值，</w:t>
            </w:r>
            <w:r>
              <w:rPr>
                <w:sz w:val="24"/>
              </w:rPr>
              <w:t>dB(A)</w:t>
            </w:r>
            <w:r>
              <w:rPr>
                <w:rFonts w:hint="eastAsia"/>
                <w:sz w:val="24"/>
              </w:rPr>
              <w:t>。</w:t>
            </w:r>
          </w:p>
          <w:p>
            <w:pPr>
              <w:keepNext/>
              <w:keepLines/>
              <w:spacing w:line="360" w:lineRule="auto"/>
              <w:ind w:firstLine="472" w:firstLineChars="196"/>
              <w:outlineLvl w:val="2"/>
              <w:rPr>
                <w:b/>
                <w:bCs/>
                <w:color w:val="000000"/>
                <w:sz w:val="24"/>
                <w:szCs w:val="32"/>
              </w:rPr>
            </w:pPr>
            <w:r>
              <w:rPr>
                <w:rFonts w:hint="eastAsia"/>
                <w:b/>
                <w:bCs/>
                <w:color w:val="000000"/>
                <w:sz w:val="24"/>
                <w:szCs w:val="32"/>
              </w:rPr>
              <w:t>3、</w:t>
            </w:r>
            <w:r>
              <w:rPr>
                <w:b/>
                <w:bCs/>
                <w:color w:val="000000"/>
                <w:sz w:val="24"/>
                <w:szCs w:val="32"/>
              </w:rPr>
              <w:t>预测结果评价</w:t>
            </w:r>
          </w:p>
          <w:p>
            <w:pPr>
              <w:widowControl/>
              <w:spacing w:line="360" w:lineRule="auto"/>
              <w:ind w:firstLine="480" w:firstLineChars="200"/>
              <w:jc w:val="left"/>
              <w:rPr>
                <w:color w:val="000000"/>
                <w:kern w:val="0"/>
                <w:sz w:val="24"/>
              </w:rPr>
            </w:pPr>
            <w:r>
              <w:rPr>
                <w:color w:val="000000"/>
                <w:kern w:val="0"/>
                <w:sz w:val="24"/>
              </w:rPr>
              <w:t>拟建项目运行时昼间的预测噪声排放值结果见表</w:t>
            </w:r>
            <w:r>
              <w:rPr>
                <w:rFonts w:hint="eastAsia"/>
                <w:color w:val="000000"/>
                <w:kern w:val="0"/>
                <w:sz w:val="24"/>
              </w:rPr>
              <w:t>4-</w:t>
            </w:r>
            <w:r>
              <w:rPr>
                <w:rFonts w:hint="eastAsia"/>
                <w:color w:val="000000"/>
                <w:kern w:val="0"/>
                <w:sz w:val="24"/>
                <w:lang w:val="en-US" w:eastAsia="zh-CN"/>
              </w:rPr>
              <w:t>2</w:t>
            </w:r>
            <w:r>
              <w:rPr>
                <w:rFonts w:hint="eastAsia"/>
                <w:color w:val="000000"/>
                <w:kern w:val="0"/>
                <w:sz w:val="24"/>
              </w:rPr>
              <w:t>所示</w:t>
            </w:r>
            <w:r>
              <w:rPr>
                <w:color w:val="000000"/>
                <w:kern w:val="0"/>
                <w:sz w:val="24"/>
              </w:rPr>
              <w:t>。</w:t>
            </w:r>
          </w:p>
          <w:p>
            <w:pPr>
              <w:spacing w:before="120" w:beforeLines="50"/>
              <w:jc w:val="center"/>
              <w:rPr>
                <w:rFonts w:hAnsi="宋体"/>
                <w:b/>
                <w:color w:val="auto"/>
                <w:sz w:val="24"/>
              </w:rPr>
            </w:pPr>
            <w:r>
              <w:rPr>
                <w:rFonts w:hAnsi="宋体"/>
                <w:b/>
                <w:color w:val="auto"/>
                <w:sz w:val="24"/>
              </w:rPr>
              <w:t>表</w:t>
            </w:r>
            <w:r>
              <w:rPr>
                <w:rFonts w:hint="eastAsia" w:hAnsi="宋体"/>
                <w:b/>
                <w:color w:val="auto"/>
                <w:sz w:val="24"/>
              </w:rPr>
              <w:t>4-</w:t>
            </w:r>
            <w:r>
              <w:rPr>
                <w:rFonts w:hint="eastAsia" w:hAnsi="宋体"/>
                <w:b/>
                <w:color w:val="auto"/>
                <w:sz w:val="24"/>
                <w:lang w:val="en-US" w:eastAsia="zh-CN"/>
              </w:rPr>
              <w:t>2</w:t>
            </w:r>
            <w:r>
              <w:rPr>
                <w:rFonts w:hAnsi="宋体"/>
                <w:b/>
                <w:color w:val="auto"/>
                <w:sz w:val="24"/>
              </w:rPr>
              <w:t xml:space="preserve"> </w:t>
            </w:r>
            <w:r>
              <w:rPr>
                <w:rFonts w:hint="eastAsia" w:hAnsi="宋体"/>
                <w:b/>
                <w:color w:val="auto"/>
                <w:sz w:val="24"/>
              </w:rPr>
              <w:t xml:space="preserve"> 拟建项目设备产生的噪声对</w:t>
            </w:r>
            <w:r>
              <w:rPr>
                <w:rFonts w:hAnsi="宋体"/>
                <w:b/>
                <w:color w:val="auto"/>
                <w:sz w:val="24"/>
              </w:rPr>
              <w:t>各预测点的影响值</w:t>
            </w:r>
            <w:r>
              <w:rPr>
                <w:rFonts w:hint="eastAsia" w:hAnsi="宋体"/>
                <w:b/>
                <w:color w:val="auto"/>
                <w:sz w:val="24"/>
              </w:rPr>
              <w:t>一览</w:t>
            </w:r>
            <w:r>
              <w:rPr>
                <w:rFonts w:hAnsi="宋体"/>
                <w:b/>
                <w:color w:val="auto"/>
                <w:sz w:val="24"/>
              </w:rPr>
              <w:t>表</w:t>
            </w:r>
          </w:p>
          <w:tbl>
            <w:tblPr>
              <w:tblStyle w:val="26"/>
              <w:tblW w:w="4910" w:type="pct"/>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390"/>
              <w:gridCol w:w="1390"/>
              <w:gridCol w:w="275"/>
              <w:gridCol w:w="901"/>
              <w:gridCol w:w="1037"/>
              <w:gridCol w:w="671"/>
              <w:gridCol w:w="648"/>
              <w:gridCol w:w="780"/>
              <w:gridCol w:w="780"/>
              <w:gridCol w:w="845"/>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408" w:hRule="atLeast"/>
                <w:jc w:val="center"/>
              </w:trPr>
              <w:tc>
                <w:tcPr>
                  <w:tcW w:w="252" w:type="pct"/>
                  <w:vMerge w:val="restart"/>
                  <w:vAlign w:val="center"/>
                </w:tcPr>
                <w:p>
                  <w:pPr>
                    <w:autoSpaceDN w:val="0"/>
                    <w:jc w:val="center"/>
                    <w:textAlignment w:val="center"/>
                    <w:rPr>
                      <w:b/>
                      <w:szCs w:val="21"/>
                    </w:rPr>
                  </w:pPr>
                  <w:r>
                    <w:rPr>
                      <w:b/>
                      <w:szCs w:val="21"/>
                    </w:rPr>
                    <w:t>序号</w:t>
                  </w:r>
                </w:p>
              </w:tc>
              <w:tc>
                <w:tcPr>
                  <w:tcW w:w="1078" w:type="pct"/>
                  <w:gridSpan w:val="2"/>
                  <w:vMerge w:val="restart"/>
                  <w:vAlign w:val="center"/>
                </w:tcPr>
                <w:p>
                  <w:pPr>
                    <w:autoSpaceDN w:val="0"/>
                    <w:jc w:val="center"/>
                    <w:textAlignment w:val="center"/>
                    <w:rPr>
                      <w:b/>
                      <w:szCs w:val="21"/>
                    </w:rPr>
                  </w:pPr>
                  <w:r>
                    <w:rPr>
                      <w:b/>
                      <w:szCs w:val="21"/>
                    </w:rPr>
                    <w:t>设备名称</w:t>
                  </w:r>
                </w:p>
              </w:tc>
              <w:tc>
                <w:tcPr>
                  <w:tcW w:w="583" w:type="pct"/>
                  <w:vMerge w:val="restart"/>
                  <w:vAlign w:val="center"/>
                </w:tcPr>
                <w:p>
                  <w:pPr>
                    <w:autoSpaceDN w:val="0"/>
                    <w:ind w:left="-105" w:leftChars="-50" w:right="-105" w:rightChars="-50"/>
                    <w:jc w:val="center"/>
                    <w:textAlignment w:val="center"/>
                    <w:rPr>
                      <w:b/>
                      <w:szCs w:val="21"/>
                    </w:rPr>
                  </w:pPr>
                  <w:r>
                    <w:rPr>
                      <w:b/>
                      <w:szCs w:val="21"/>
                    </w:rPr>
                    <w:t>单台源强dB（A）</w:t>
                  </w:r>
                </w:p>
              </w:tc>
              <w:tc>
                <w:tcPr>
                  <w:tcW w:w="671" w:type="pct"/>
                  <w:vMerge w:val="restart"/>
                  <w:vAlign w:val="center"/>
                </w:tcPr>
                <w:p>
                  <w:pPr>
                    <w:autoSpaceDN w:val="0"/>
                    <w:jc w:val="center"/>
                    <w:textAlignment w:val="center"/>
                    <w:rPr>
                      <w:b/>
                      <w:szCs w:val="21"/>
                    </w:rPr>
                  </w:pPr>
                  <w:r>
                    <w:rPr>
                      <w:b/>
                      <w:szCs w:val="21"/>
                    </w:rPr>
                    <w:t>经隔声减震后声级值dB（A）</w:t>
                  </w:r>
                </w:p>
              </w:tc>
              <w:tc>
                <w:tcPr>
                  <w:tcW w:w="434" w:type="pct"/>
                  <w:vMerge w:val="restart"/>
                  <w:vAlign w:val="center"/>
                </w:tcPr>
                <w:p>
                  <w:pPr>
                    <w:autoSpaceDN w:val="0"/>
                    <w:jc w:val="center"/>
                    <w:textAlignment w:val="center"/>
                    <w:rPr>
                      <w:b/>
                      <w:szCs w:val="21"/>
                    </w:rPr>
                  </w:pPr>
                  <w:r>
                    <w:rPr>
                      <w:b/>
                      <w:szCs w:val="21"/>
                    </w:rPr>
                    <w:t>设备数量</w:t>
                  </w:r>
                </w:p>
              </w:tc>
              <w:tc>
                <w:tcPr>
                  <w:tcW w:w="1978" w:type="pct"/>
                  <w:gridSpan w:val="4"/>
                  <w:vAlign w:val="center"/>
                </w:tcPr>
                <w:p>
                  <w:pPr>
                    <w:autoSpaceDN w:val="0"/>
                    <w:jc w:val="center"/>
                    <w:textAlignment w:val="center"/>
                    <w:rPr>
                      <w:b/>
                      <w:szCs w:val="21"/>
                    </w:rPr>
                  </w:pPr>
                  <w:r>
                    <w:rPr>
                      <w:b/>
                      <w:szCs w:val="21"/>
                    </w:rPr>
                    <w:t>噪声贡献值dB（A）</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408" w:hRule="atLeast"/>
                <w:jc w:val="center"/>
              </w:trPr>
              <w:tc>
                <w:tcPr>
                  <w:tcW w:w="252" w:type="pct"/>
                  <w:vMerge w:val="continue"/>
                  <w:vAlign w:val="center"/>
                </w:tcPr>
                <w:p>
                  <w:pPr>
                    <w:autoSpaceDN w:val="0"/>
                    <w:jc w:val="center"/>
                    <w:textAlignment w:val="center"/>
                    <w:rPr>
                      <w:b/>
                      <w:szCs w:val="21"/>
                    </w:rPr>
                  </w:pPr>
                </w:p>
              </w:tc>
              <w:tc>
                <w:tcPr>
                  <w:tcW w:w="1078" w:type="pct"/>
                  <w:gridSpan w:val="2"/>
                  <w:vMerge w:val="continue"/>
                  <w:vAlign w:val="center"/>
                </w:tcPr>
                <w:p>
                  <w:pPr>
                    <w:autoSpaceDN w:val="0"/>
                    <w:jc w:val="center"/>
                    <w:textAlignment w:val="center"/>
                    <w:rPr>
                      <w:b/>
                      <w:szCs w:val="21"/>
                    </w:rPr>
                  </w:pPr>
                </w:p>
              </w:tc>
              <w:tc>
                <w:tcPr>
                  <w:tcW w:w="583" w:type="pct"/>
                  <w:vMerge w:val="continue"/>
                  <w:vAlign w:val="center"/>
                </w:tcPr>
                <w:p>
                  <w:pPr>
                    <w:autoSpaceDN w:val="0"/>
                    <w:jc w:val="center"/>
                    <w:textAlignment w:val="center"/>
                    <w:rPr>
                      <w:b/>
                      <w:szCs w:val="21"/>
                    </w:rPr>
                  </w:pPr>
                </w:p>
              </w:tc>
              <w:tc>
                <w:tcPr>
                  <w:tcW w:w="671" w:type="pct"/>
                  <w:vMerge w:val="continue"/>
                  <w:vAlign w:val="center"/>
                </w:tcPr>
                <w:p>
                  <w:pPr>
                    <w:autoSpaceDN w:val="0"/>
                    <w:jc w:val="center"/>
                    <w:textAlignment w:val="center"/>
                    <w:rPr>
                      <w:b/>
                      <w:szCs w:val="21"/>
                    </w:rPr>
                  </w:pPr>
                </w:p>
              </w:tc>
              <w:tc>
                <w:tcPr>
                  <w:tcW w:w="434" w:type="pct"/>
                  <w:vMerge w:val="continue"/>
                  <w:vAlign w:val="center"/>
                </w:tcPr>
                <w:p>
                  <w:pPr>
                    <w:autoSpaceDN w:val="0"/>
                    <w:jc w:val="center"/>
                    <w:textAlignment w:val="center"/>
                    <w:rPr>
                      <w:b/>
                      <w:szCs w:val="21"/>
                    </w:rPr>
                  </w:pPr>
                </w:p>
              </w:tc>
              <w:tc>
                <w:tcPr>
                  <w:tcW w:w="419" w:type="pct"/>
                  <w:vAlign w:val="center"/>
                </w:tcPr>
                <w:p>
                  <w:pPr>
                    <w:autoSpaceDN w:val="0"/>
                    <w:jc w:val="center"/>
                    <w:textAlignment w:val="center"/>
                    <w:rPr>
                      <w:b/>
                      <w:szCs w:val="21"/>
                    </w:rPr>
                  </w:pPr>
                  <w:r>
                    <w:rPr>
                      <w:b/>
                      <w:szCs w:val="21"/>
                    </w:rPr>
                    <w:t>东</w:t>
                  </w:r>
                </w:p>
                <w:p>
                  <w:pPr>
                    <w:autoSpaceDN w:val="0"/>
                    <w:jc w:val="center"/>
                    <w:textAlignment w:val="center"/>
                    <w:rPr>
                      <w:b/>
                      <w:szCs w:val="21"/>
                    </w:rPr>
                  </w:pPr>
                  <w:r>
                    <w:rPr>
                      <w:b/>
                      <w:szCs w:val="21"/>
                    </w:rPr>
                    <w:t>厂界</w:t>
                  </w:r>
                </w:p>
              </w:tc>
              <w:tc>
                <w:tcPr>
                  <w:tcW w:w="505" w:type="pct"/>
                  <w:vAlign w:val="center"/>
                </w:tcPr>
                <w:p>
                  <w:pPr>
                    <w:autoSpaceDN w:val="0"/>
                    <w:jc w:val="center"/>
                    <w:textAlignment w:val="center"/>
                    <w:rPr>
                      <w:b/>
                      <w:szCs w:val="21"/>
                    </w:rPr>
                  </w:pPr>
                  <w:r>
                    <w:rPr>
                      <w:b/>
                      <w:szCs w:val="21"/>
                    </w:rPr>
                    <w:t>南</w:t>
                  </w:r>
                </w:p>
                <w:p>
                  <w:pPr>
                    <w:autoSpaceDN w:val="0"/>
                    <w:jc w:val="center"/>
                    <w:textAlignment w:val="center"/>
                    <w:rPr>
                      <w:b/>
                      <w:szCs w:val="21"/>
                    </w:rPr>
                  </w:pPr>
                  <w:r>
                    <w:rPr>
                      <w:b/>
                      <w:szCs w:val="21"/>
                    </w:rPr>
                    <w:t>厂界</w:t>
                  </w:r>
                </w:p>
              </w:tc>
              <w:tc>
                <w:tcPr>
                  <w:tcW w:w="505" w:type="pct"/>
                  <w:vAlign w:val="center"/>
                </w:tcPr>
                <w:p>
                  <w:pPr>
                    <w:autoSpaceDN w:val="0"/>
                    <w:jc w:val="center"/>
                    <w:textAlignment w:val="center"/>
                    <w:rPr>
                      <w:b/>
                      <w:szCs w:val="21"/>
                    </w:rPr>
                  </w:pPr>
                  <w:r>
                    <w:rPr>
                      <w:b/>
                      <w:szCs w:val="21"/>
                    </w:rPr>
                    <w:t>西</w:t>
                  </w:r>
                </w:p>
                <w:p>
                  <w:pPr>
                    <w:autoSpaceDN w:val="0"/>
                    <w:jc w:val="center"/>
                    <w:textAlignment w:val="center"/>
                    <w:rPr>
                      <w:b/>
                      <w:szCs w:val="21"/>
                    </w:rPr>
                  </w:pPr>
                  <w:r>
                    <w:rPr>
                      <w:b/>
                      <w:szCs w:val="21"/>
                    </w:rPr>
                    <w:t>厂界</w:t>
                  </w:r>
                </w:p>
              </w:tc>
              <w:tc>
                <w:tcPr>
                  <w:tcW w:w="547" w:type="pct"/>
                  <w:vAlign w:val="center"/>
                </w:tcPr>
                <w:p>
                  <w:pPr>
                    <w:autoSpaceDN w:val="0"/>
                    <w:jc w:val="center"/>
                    <w:textAlignment w:val="center"/>
                    <w:rPr>
                      <w:b/>
                      <w:szCs w:val="21"/>
                    </w:rPr>
                  </w:pPr>
                  <w:r>
                    <w:rPr>
                      <w:b/>
                      <w:szCs w:val="21"/>
                    </w:rPr>
                    <w:t>北</w:t>
                  </w:r>
                </w:p>
                <w:p>
                  <w:pPr>
                    <w:autoSpaceDN w:val="0"/>
                    <w:jc w:val="center"/>
                    <w:textAlignment w:val="center"/>
                    <w:rPr>
                      <w:b/>
                      <w:szCs w:val="21"/>
                    </w:rPr>
                  </w:pPr>
                  <w:r>
                    <w:rPr>
                      <w:b/>
                      <w:szCs w:val="21"/>
                    </w:rPr>
                    <w:t>厂界</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3" w:hRule="atLeast"/>
                <w:jc w:val="center"/>
              </w:trPr>
              <w:tc>
                <w:tcPr>
                  <w:tcW w:w="252" w:type="pct"/>
                  <w:vAlign w:val="center"/>
                </w:tcPr>
                <w:p>
                  <w:pPr>
                    <w:jc w:val="center"/>
                    <w:rPr>
                      <w:szCs w:val="21"/>
                    </w:rPr>
                  </w:pPr>
                  <w:r>
                    <w:rPr>
                      <w:szCs w:val="21"/>
                    </w:rPr>
                    <w:t>1</w:t>
                  </w:r>
                </w:p>
              </w:tc>
              <w:tc>
                <w:tcPr>
                  <w:tcW w:w="1078" w:type="pct"/>
                  <w:gridSpan w:val="2"/>
                  <w:vAlign w:val="center"/>
                </w:tcPr>
                <w:p>
                  <w:pPr>
                    <w:spacing w:line="240" w:lineRule="atLeast"/>
                    <w:jc w:val="center"/>
                    <w:rPr>
                      <w:rFonts w:ascii="Times New Roman" w:hAnsi="Times New Roman" w:eastAsia="宋体" w:cs="Times New Roman"/>
                      <w:bCs/>
                      <w:color w:val="auto"/>
                      <w:kern w:val="2"/>
                      <w:sz w:val="21"/>
                      <w:szCs w:val="22"/>
                      <w:lang w:val="en-US" w:eastAsia="zh-CN" w:bidi="ar-SA"/>
                    </w:rPr>
                  </w:pPr>
                  <w:r>
                    <w:rPr>
                      <w:rFonts w:hint="eastAsia" w:ascii="Times New Roman" w:hAnsi="Times New Roman"/>
                      <w:color w:val="auto"/>
                      <w:szCs w:val="21"/>
                      <w:lang w:val="en-US" w:eastAsia="zh-CN"/>
                    </w:rPr>
                    <w:t>头破</w:t>
                  </w:r>
                  <w:r>
                    <w:rPr>
                      <w:rFonts w:hint="eastAsia" w:ascii="Times New Roman" w:hAnsi="Times New Roman"/>
                      <w:color w:val="auto"/>
                      <w:szCs w:val="21"/>
                    </w:rPr>
                    <w:t>机</w:t>
                  </w:r>
                </w:p>
              </w:tc>
              <w:tc>
                <w:tcPr>
                  <w:tcW w:w="583" w:type="pct"/>
                  <w:vAlign w:val="center"/>
                </w:tcPr>
                <w:p>
                  <w:pPr>
                    <w:spacing w:line="300" w:lineRule="exact"/>
                    <w:jc w:val="center"/>
                    <w:rPr>
                      <w:rFonts w:hint="eastAsia" w:ascii="Times New Roman" w:hAnsi="Times New Roman" w:eastAsia="宋体" w:cs="Times New Roman"/>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bCs/>
                      <w:color w:val="0D0D0D" w:themeColor="text1" w:themeTint="F2"/>
                      <w:szCs w:val="21"/>
                      <w14:textFill>
                        <w14:solidFill>
                          <w14:schemeClr w14:val="tx1">
                            <w14:lumMod w14:val="95000"/>
                            <w14:lumOff w14:val="5000"/>
                          </w14:schemeClr>
                        </w14:solidFill>
                      </w14:textFill>
                    </w:rPr>
                    <w:t>8</w:t>
                  </w:r>
                  <w:r>
                    <w:rPr>
                      <w:rFonts w:hint="eastAsia"/>
                      <w:bCs/>
                      <w:color w:val="0D0D0D" w:themeColor="text1" w:themeTint="F2"/>
                      <w:szCs w:val="21"/>
                      <w:lang w:val="en-US" w:eastAsia="zh-CN"/>
                      <w14:textFill>
                        <w14:solidFill>
                          <w14:schemeClr w14:val="tx1">
                            <w14:lumMod w14:val="95000"/>
                            <w14:lumOff w14:val="5000"/>
                          </w14:schemeClr>
                        </w14:solidFill>
                      </w14:textFill>
                    </w:rPr>
                    <w:t>5</w:t>
                  </w:r>
                </w:p>
              </w:tc>
              <w:tc>
                <w:tcPr>
                  <w:tcW w:w="671" w:type="pct"/>
                  <w:vAlign w:val="center"/>
                </w:tcPr>
                <w:p>
                  <w:pPr>
                    <w:jc w:val="center"/>
                    <w:rPr>
                      <w:rFonts w:hint="eastAsia" w:eastAsia="宋体"/>
                      <w:color w:val="000000"/>
                      <w:szCs w:val="21"/>
                      <w:lang w:eastAsia="zh-CN"/>
                    </w:rPr>
                  </w:pPr>
                  <w:r>
                    <w:rPr>
                      <w:rFonts w:hint="eastAsia"/>
                      <w:color w:val="000000"/>
                      <w:szCs w:val="21"/>
                    </w:rPr>
                    <w:t>6</w:t>
                  </w:r>
                  <w:r>
                    <w:rPr>
                      <w:rFonts w:hint="eastAsia"/>
                      <w:color w:val="000000"/>
                      <w:szCs w:val="21"/>
                      <w:lang w:val="en-US" w:eastAsia="zh-CN"/>
                    </w:rPr>
                    <w:t>5</w:t>
                  </w:r>
                </w:p>
              </w:tc>
              <w:tc>
                <w:tcPr>
                  <w:tcW w:w="434" w:type="pct"/>
                  <w:vAlign w:val="center"/>
                </w:tcPr>
                <w:p>
                  <w:pPr>
                    <w:adjustRightInd w:val="0"/>
                    <w:snapToGrid w:val="0"/>
                    <w:jc w:val="center"/>
                    <w:rPr>
                      <w:rFonts w:ascii="Times New Roman" w:hAnsi="Times New Roman" w:eastAsia="宋体" w:cs="Times New Roman"/>
                      <w:kern w:val="2"/>
                      <w:sz w:val="21"/>
                      <w:szCs w:val="21"/>
                      <w:lang w:val="en-US" w:eastAsia="zh-CN" w:bidi="ar-SA"/>
                    </w:rPr>
                  </w:pPr>
                  <w:r>
                    <w:rPr>
                      <w:rFonts w:hint="eastAsia"/>
                      <w:szCs w:val="21"/>
                    </w:rPr>
                    <w:t>1</w:t>
                  </w:r>
                </w:p>
              </w:tc>
              <w:tc>
                <w:tcPr>
                  <w:tcW w:w="419" w:type="pct"/>
                  <w:vAlign w:val="top"/>
                </w:tcPr>
                <w:p>
                  <w:pPr>
                    <w:spacing w:beforeLines="0" w:afterLines="0"/>
                    <w:jc w:val="center"/>
                    <w:rPr>
                      <w:rFonts w:hint="eastAsia" w:ascii="Times New Roman" w:hAnsi="Times New Roman" w:eastAsia="Times New Roman" w:cs="Times New Roman"/>
                      <w:color w:val="000000"/>
                      <w:kern w:val="2"/>
                      <w:sz w:val="22"/>
                      <w:szCs w:val="24"/>
                      <w:lang w:val="en-US" w:eastAsia="zh-CN" w:bidi="ar-SA"/>
                    </w:rPr>
                  </w:pPr>
                  <w:r>
                    <w:rPr>
                      <w:rFonts w:hint="eastAsia" w:ascii="Times New Roman" w:hAnsi="Times New Roman" w:eastAsia="Times New Roman"/>
                      <w:color w:val="000000"/>
                      <w:sz w:val="22"/>
                      <w:szCs w:val="24"/>
                    </w:rPr>
                    <w:t xml:space="preserve">45.0 </w:t>
                  </w:r>
                </w:p>
              </w:tc>
              <w:tc>
                <w:tcPr>
                  <w:tcW w:w="505" w:type="pct"/>
                  <w:vAlign w:val="top"/>
                </w:tcPr>
                <w:p>
                  <w:pPr>
                    <w:spacing w:beforeLines="0" w:afterLines="0"/>
                    <w:jc w:val="center"/>
                    <w:rPr>
                      <w:rFonts w:hint="eastAsia" w:ascii="Times New Roman" w:hAnsi="Times New Roman" w:eastAsia="Times New Roman" w:cs="Times New Roman"/>
                      <w:color w:val="000000"/>
                      <w:kern w:val="2"/>
                      <w:sz w:val="22"/>
                      <w:szCs w:val="24"/>
                      <w:lang w:val="en-US" w:eastAsia="zh-CN" w:bidi="ar-SA"/>
                    </w:rPr>
                  </w:pPr>
                  <w:r>
                    <w:rPr>
                      <w:rFonts w:hint="eastAsia" w:ascii="Times New Roman" w:hAnsi="Times New Roman" w:eastAsia="Times New Roman"/>
                      <w:color w:val="000000"/>
                      <w:sz w:val="22"/>
                      <w:szCs w:val="24"/>
                    </w:rPr>
                    <w:t xml:space="preserve">51.0 </w:t>
                  </w:r>
                </w:p>
              </w:tc>
              <w:tc>
                <w:tcPr>
                  <w:tcW w:w="505" w:type="pct"/>
                  <w:vAlign w:val="top"/>
                </w:tcPr>
                <w:p>
                  <w:pPr>
                    <w:spacing w:beforeLines="0" w:afterLines="0"/>
                    <w:jc w:val="center"/>
                    <w:rPr>
                      <w:rFonts w:hint="eastAsia" w:ascii="Times New Roman" w:hAnsi="Times New Roman" w:eastAsia="Times New Roman" w:cs="Times New Roman"/>
                      <w:color w:val="000000"/>
                      <w:kern w:val="2"/>
                      <w:sz w:val="22"/>
                      <w:szCs w:val="24"/>
                      <w:lang w:val="en-US" w:eastAsia="zh-CN" w:bidi="ar-SA"/>
                    </w:rPr>
                  </w:pPr>
                  <w:r>
                    <w:rPr>
                      <w:rFonts w:hint="eastAsia" w:ascii="Times New Roman" w:hAnsi="Times New Roman" w:eastAsia="Times New Roman"/>
                      <w:color w:val="000000"/>
                      <w:sz w:val="22"/>
                      <w:szCs w:val="24"/>
                    </w:rPr>
                    <w:t xml:space="preserve">33.6 </w:t>
                  </w:r>
                </w:p>
              </w:tc>
              <w:tc>
                <w:tcPr>
                  <w:tcW w:w="547" w:type="pct"/>
                  <w:vAlign w:val="top"/>
                </w:tcPr>
                <w:p>
                  <w:pPr>
                    <w:spacing w:beforeLines="0" w:afterLines="0"/>
                    <w:jc w:val="center"/>
                    <w:rPr>
                      <w:rFonts w:hint="eastAsia" w:ascii="Times New Roman" w:hAnsi="Times New Roman" w:eastAsia="Times New Roman" w:cs="Times New Roman"/>
                      <w:color w:val="000000"/>
                      <w:kern w:val="2"/>
                      <w:sz w:val="22"/>
                      <w:szCs w:val="24"/>
                      <w:lang w:val="en-US" w:eastAsia="zh-CN" w:bidi="ar-SA"/>
                    </w:rPr>
                  </w:pPr>
                  <w:r>
                    <w:rPr>
                      <w:rFonts w:hint="eastAsia" w:ascii="Times New Roman" w:hAnsi="Times New Roman" w:eastAsia="Times New Roman"/>
                      <w:color w:val="000000"/>
                      <w:sz w:val="22"/>
                      <w:szCs w:val="24"/>
                    </w:rPr>
                    <w:t xml:space="preserve">26.0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3" w:hRule="atLeast"/>
                <w:jc w:val="center"/>
              </w:trPr>
              <w:tc>
                <w:tcPr>
                  <w:tcW w:w="252" w:type="pct"/>
                  <w:vAlign w:val="center"/>
                </w:tcPr>
                <w:p>
                  <w:pPr>
                    <w:jc w:val="center"/>
                    <w:rPr>
                      <w:szCs w:val="21"/>
                    </w:rPr>
                  </w:pPr>
                  <w:r>
                    <w:rPr>
                      <w:rFonts w:hint="eastAsia"/>
                      <w:szCs w:val="21"/>
                    </w:rPr>
                    <w:t>2</w:t>
                  </w:r>
                </w:p>
              </w:tc>
              <w:tc>
                <w:tcPr>
                  <w:tcW w:w="1078" w:type="pct"/>
                  <w:gridSpan w:val="2"/>
                  <w:vAlign w:val="center"/>
                </w:tcPr>
                <w:p>
                  <w:pPr>
                    <w:spacing w:line="240" w:lineRule="atLeast"/>
                    <w:jc w:val="center"/>
                    <w:rPr>
                      <w:rFonts w:ascii="Times New Roman" w:hAnsi="Times New Roman" w:eastAsia="宋体" w:cs="Times New Roman"/>
                      <w:bCs/>
                      <w:color w:val="auto"/>
                      <w:kern w:val="2"/>
                      <w:sz w:val="21"/>
                      <w:szCs w:val="22"/>
                      <w:lang w:val="en-US" w:eastAsia="zh-CN" w:bidi="ar-SA"/>
                    </w:rPr>
                  </w:pPr>
                  <w:r>
                    <w:rPr>
                      <w:rFonts w:hint="eastAsia" w:ascii="Times New Roman" w:hAnsi="Times New Roman"/>
                      <w:color w:val="auto"/>
                      <w:szCs w:val="21"/>
                    </w:rPr>
                    <w:t>圆锥破</w:t>
                  </w:r>
                </w:p>
              </w:tc>
              <w:tc>
                <w:tcPr>
                  <w:tcW w:w="583" w:type="pct"/>
                  <w:vAlign w:val="center"/>
                </w:tcPr>
                <w:p>
                  <w:pPr>
                    <w:spacing w:line="300" w:lineRule="exact"/>
                    <w:jc w:val="center"/>
                    <w:rPr>
                      <w:rFonts w:hint="eastAsia" w:ascii="Times New Roman" w:hAnsi="Times New Roman" w:eastAsia="宋体" w:cs="Times New Roman"/>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bCs/>
                      <w:color w:val="0D0D0D" w:themeColor="text1" w:themeTint="F2"/>
                      <w:szCs w:val="21"/>
                      <w14:textFill>
                        <w14:solidFill>
                          <w14:schemeClr w14:val="tx1">
                            <w14:lumMod w14:val="95000"/>
                            <w14:lumOff w14:val="5000"/>
                          </w14:schemeClr>
                        </w14:solidFill>
                      </w14:textFill>
                    </w:rPr>
                    <w:t>8</w:t>
                  </w:r>
                  <w:r>
                    <w:rPr>
                      <w:rFonts w:hint="eastAsia"/>
                      <w:bCs/>
                      <w:color w:val="0D0D0D" w:themeColor="text1" w:themeTint="F2"/>
                      <w:szCs w:val="21"/>
                      <w:lang w:val="en-US" w:eastAsia="zh-CN"/>
                      <w14:textFill>
                        <w14:solidFill>
                          <w14:schemeClr w14:val="tx1">
                            <w14:lumMod w14:val="95000"/>
                            <w14:lumOff w14:val="5000"/>
                          </w14:schemeClr>
                        </w14:solidFill>
                      </w14:textFill>
                    </w:rPr>
                    <w:t>5</w:t>
                  </w:r>
                </w:p>
              </w:tc>
              <w:tc>
                <w:tcPr>
                  <w:tcW w:w="671" w:type="pct"/>
                  <w:vAlign w:val="center"/>
                </w:tcPr>
                <w:p>
                  <w:pPr>
                    <w:jc w:val="center"/>
                    <w:rPr>
                      <w:rFonts w:hint="eastAsia" w:eastAsia="宋体"/>
                      <w:color w:val="000000"/>
                      <w:szCs w:val="21"/>
                      <w:lang w:eastAsia="zh-CN"/>
                    </w:rPr>
                  </w:pPr>
                  <w:r>
                    <w:rPr>
                      <w:rFonts w:hint="eastAsia"/>
                      <w:color w:val="000000"/>
                      <w:szCs w:val="21"/>
                    </w:rPr>
                    <w:t>6</w:t>
                  </w:r>
                  <w:r>
                    <w:rPr>
                      <w:rFonts w:hint="eastAsia"/>
                      <w:color w:val="000000"/>
                      <w:szCs w:val="21"/>
                      <w:lang w:val="en-US" w:eastAsia="zh-CN"/>
                    </w:rPr>
                    <w:t>5</w:t>
                  </w:r>
                </w:p>
              </w:tc>
              <w:tc>
                <w:tcPr>
                  <w:tcW w:w="434" w:type="pct"/>
                  <w:vAlign w:val="center"/>
                </w:tcPr>
                <w:p>
                  <w:pPr>
                    <w:adjustRightInd w:val="0"/>
                    <w:snapToGrid w:val="0"/>
                    <w:jc w:val="center"/>
                    <w:rPr>
                      <w:rFonts w:ascii="Times New Roman" w:hAnsi="Times New Roman" w:eastAsia="宋体" w:cs="Times New Roman"/>
                      <w:kern w:val="2"/>
                      <w:sz w:val="21"/>
                      <w:szCs w:val="21"/>
                      <w:lang w:val="en-US" w:eastAsia="zh-CN" w:bidi="ar-SA"/>
                    </w:rPr>
                  </w:pPr>
                  <w:r>
                    <w:rPr>
                      <w:rFonts w:hint="eastAsia"/>
                      <w:szCs w:val="21"/>
                    </w:rPr>
                    <w:t>1</w:t>
                  </w:r>
                </w:p>
              </w:tc>
              <w:tc>
                <w:tcPr>
                  <w:tcW w:w="419" w:type="pct"/>
                  <w:vAlign w:val="top"/>
                </w:tcPr>
                <w:p>
                  <w:pPr>
                    <w:spacing w:beforeLines="0" w:afterLines="0"/>
                    <w:jc w:val="center"/>
                    <w:rPr>
                      <w:rFonts w:hint="eastAsia" w:ascii="Times New Roman" w:hAnsi="Times New Roman" w:eastAsia="Times New Roman" w:cs="Times New Roman"/>
                      <w:color w:val="000000"/>
                      <w:kern w:val="2"/>
                      <w:sz w:val="22"/>
                      <w:szCs w:val="24"/>
                      <w:lang w:val="en-US" w:eastAsia="zh-CN" w:bidi="ar-SA"/>
                    </w:rPr>
                  </w:pPr>
                  <w:r>
                    <w:rPr>
                      <w:rFonts w:hint="eastAsia" w:ascii="Times New Roman" w:hAnsi="Times New Roman" w:eastAsia="Times New Roman"/>
                      <w:color w:val="000000"/>
                      <w:sz w:val="22"/>
                      <w:szCs w:val="24"/>
                    </w:rPr>
                    <w:t xml:space="preserve">45.0 </w:t>
                  </w:r>
                </w:p>
              </w:tc>
              <w:tc>
                <w:tcPr>
                  <w:tcW w:w="505" w:type="pct"/>
                  <w:vAlign w:val="top"/>
                </w:tcPr>
                <w:p>
                  <w:pPr>
                    <w:spacing w:beforeLines="0" w:afterLines="0"/>
                    <w:jc w:val="center"/>
                    <w:rPr>
                      <w:rFonts w:hint="eastAsia" w:ascii="Times New Roman" w:hAnsi="Times New Roman" w:eastAsia="Times New Roman" w:cs="Times New Roman"/>
                      <w:color w:val="000000"/>
                      <w:kern w:val="2"/>
                      <w:sz w:val="22"/>
                      <w:szCs w:val="24"/>
                      <w:lang w:val="en-US" w:eastAsia="zh-CN" w:bidi="ar-SA"/>
                    </w:rPr>
                  </w:pPr>
                  <w:r>
                    <w:rPr>
                      <w:rFonts w:hint="eastAsia" w:ascii="Times New Roman" w:hAnsi="Times New Roman" w:eastAsia="Times New Roman"/>
                      <w:color w:val="000000"/>
                      <w:sz w:val="22"/>
                      <w:szCs w:val="24"/>
                    </w:rPr>
                    <w:t xml:space="preserve">46.9 </w:t>
                  </w:r>
                </w:p>
              </w:tc>
              <w:tc>
                <w:tcPr>
                  <w:tcW w:w="505" w:type="pct"/>
                  <w:vAlign w:val="top"/>
                </w:tcPr>
                <w:p>
                  <w:pPr>
                    <w:spacing w:beforeLines="0" w:afterLines="0"/>
                    <w:jc w:val="center"/>
                    <w:rPr>
                      <w:rFonts w:hint="eastAsia" w:ascii="Times New Roman" w:hAnsi="Times New Roman" w:eastAsia="Times New Roman" w:cs="Times New Roman"/>
                      <w:color w:val="000000"/>
                      <w:kern w:val="2"/>
                      <w:sz w:val="22"/>
                      <w:szCs w:val="24"/>
                      <w:lang w:val="en-US" w:eastAsia="zh-CN" w:bidi="ar-SA"/>
                    </w:rPr>
                  </w:pPr>
                  <w:r>
                    <w:rPr>
                      <w:rFonts w:hint="eastAsia" w:ascii="Times New Roman" w:hAnsi="Times New Roman" w:eastAsia="Times New Roman"/>
                      <w:color w:val="000000"/>
                      <w:sz w:val="22"/>
                      <w:szCs w:val="24"/>
                    </w:rPr>
                    <w:t xml:space="preserve">33.2 </w:t>
                  </w:r>
                </w:p>
              </w:tc>
              <w:tc>
                <w:tcPr>
                  <w:tcW w:w="547" w:type="pct"/>
                  <w:vAlign w:val="top"/>
                </w:tcPr>
                <w:p>
                  <w:pPr>
                    <w:spacing w:beforeLines="0" w:afterLines="0"/>
                    <w:jc w:val="center"/>
                    <w:rPr>
                      <w:rFonts w:hint="eastAsia" w:ascii="Times New Roman" w:hAnsi="Times New Roman" w:eastAsia="Times New Roman" w:cs="Times New Roman"/>
                      <w:color w:val="000000"/>
                      <w:kern w:val="2"/>
                      <w:sz w:val="22"/>
                      <w:szCs w:val="24"/>
                      <w:lang w:val="en-US" w:eastAsia="zh-CN" w:bidi="ar-SA"/>
                    </w:rPr>
                  </w:pPr>
                  <w:r>
                    <w:rPr>
                      <w:rFonts w:hint="eastAsia" w:ascii="Times New Roman" w:hAnsi="Times New Roman" w:eastAsia="Times New Roman"/>
                      <w:color w:val="000000"/>
                      <w:sz w:val="22"/>
                      <w:szCs w:val="24"/>
                    </w:rPr>
                    <w:t xml:space="preserve">26.3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3" w:hRule="atLeast"/>
                <w:jc w:val="center"/>
              </w:trPr>
              <w:tc>
                <w:tcPr>
                  <w:tcW w:w="252" w:type="pct"/>
                  <w:vAlign w:val="center"/>
                </w:tcPr>
                <w:p>
                  <w:pPr>
                    <w:jc w:val="center"/>
                    <w:rPr>
                      <w:szCs w:val="21"/>
                    </w:rPr>
                  </w:pPr>
                  <w:r>
                    <w:rPr>
                      <w:rFonts w:hint="eastAsia"/>
                      <w:szCs w:val="21"/>
                    </w:rPr>
                    <w:t>3</w:t>
                  </w:r>
                </w:p>
              </w:tc>
              <w:tc>
                <w:tcPr>
                  <w:tcW w:w="1078" w:type="pct"/>
                  <w:gridSpan w:val="2"/>
                  <w:vAlign w:val="center"/>
                </w:tcPr>
                <w:p>
                  <w:pPr>
                    <w:spacing w:line="240" w:lineRule="atLeast"/>
                    <w:jc w:val="center"/>
                    <w:rPr>
                      <w:rFonts w:hint="default" w:ascii="Times New Roman" w:hAnsi="Times New Roman" w:eastAsia="宋体" w:cs="Times New Roman"/>
                      <w:bCs/>
                      <w:color w:val="auto"/>
                      <w:kern w:val="2"/>
                      <w:sz w:val="21"/>
                      <w:szCs w:val="22"/>
                      <w:lang w:val="en-US" w:eastAsia="zh-CN" w:bidi="ar-SA"/>
                    </w:rPr>
                  </w:pPr>
                  <w:r>
                    <w:rPr>
                      <w:rFonts w:hint="eastAsia" w:ascii="Times New Roman" w:hAnsi="Times New Roman"/>
                      <w:color w:val="auto"/>
                      <w:szCs w:val="21"/>
                      <w:lang w:val="en-US" w:eastAsia="zh-CN"/>
                    </w:rPr>
                    <w:t>制砂机</w:t>
                  </w:r>
                </w:p>
              </w:tc>
              <w:tc>
                <w:tcPr>
                  <w:tcW w:w="583" w:type="pct"/>
                  <w:vAlign w:val="center"/>
                </w:tcPr>
                <w:p>
                  <w:pPr>
                    <w:spacing w:line="300" w:lineRule="exact"/>
                    <w:jc w:val="center"/>
                    <w:rPr>
                      <w:rFonts w:ascii="Times New Roman" w:hAnsi="Times New Roman" w:eastAsia="宋体" w:cs="Times New Roman"/>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bCs/>
                      <w:color w:val="0D0D0D" w:themeColor="text1" w:themeTint="F2"/>
                      <w:szCs w:val="21"/>
                      <w:lang w:val="en-US" w:eastAsia="zh-CN"/>
                      <w14:textFill>
                        <w14:solidFill>
                          <w14:schemeClr w14:val="tx1">
                            <w14:lumMod w14:val="95000"/>
                            <w14:lumOff w14:val="5000"/>
                          </w14:schemeClr>
                        </w14:solidFill>
                      </w14:textFill>
                    </w:rPr>
                    <w:t>8</w:t>
                  </w:r>
                  <w:r>
                    <w:rPr>
                      <w:rFonts w:hint="eastAsia"/>
                      <w:bCs/>
                      <w:color w:val="0D0D0D" w:themeColor="text1" w:themeTint="F2"/>
                      <w:szCs w:val="21"/>
                      <w14:textFill>
                        <w14:solidFill>
                          <w14:schemeClr w14:val="tx1">
                            <w14:lumMod w14:val="95000"/>
                            <w14:lumOff w14:val="5000"/>
                          </w14:schemeClr>
                        </w14:solidFill>
                      </w14:textFill>
                    </w:rPr>
                    <w:t>5</w:t>
                  </w:r>
                </w:p>
              </w:tc>
              <w:tc>
                <w:tcPr>
                  <w:tcW w:w="671" w:type="pct"/>
                  <w:vAlign w:val="center"/>
                </w:tcPr>
                <w:p>
                  <w:pPr>
                    <w:jc w:val="center"/>
                    <w:rPr>
                      <w:color w:val="000000"/>
                      <w:szCs w:val="21"/>
                    </w:rPr>
                  </w:pPr>
                  <w:r>
                    <w:rPr>
                      <w:rFonts w:hint="eastAsia"/>
                      <w:color w:val="000000"/>
                      <w:szCs w:val="21"/>
                      <w:lang w:val="en-US" w:eastAsia="zh-CN"/>
                    </w:rPr>
                    <w:t>6</w:t>
                  </w:r>
                  <w:r>
                    <w:rPr>
                      <w:rFonts w:hint="eastAsia"/>
                      <w:color w:val="000000"/>
                      <w:szCs w:val="21"/>
                    </w:rPr>
                    <w:t>5</w:t>
                  </w:r>
                </w:p>
              </w:tc>
              <w:tc>
                <w:tcPr>
                  <w:tcW w:w="434" w:type="pct"/>
                  <w:vAlign w:val="center"/>
                </w:tcPr>
                <w:p>
                  <w:pPr>
                    <w:adjustRightInd w:val="0"/>
                    <w:snapToGrid w:val="0"/>
                    <w:jc w:val="center"/>
                    <w:rPr>
                      <w:rFonts w:hint="eastAsia" w:ascii="Times New Roman" w:hAnsi="Times New Roman" w:eastAsia="宋体" w:cs="Times New Roman"/>
                      <w:kern w:val="2"/>
                      <w:sz w:val="21"/>
                      <w:szCs w:val="21"/>
                      <w:lang w:val="en-US" w:eastAsia="zh-CN" w:bidi="ar-SA"/>
                    </w:rPr>
                  </w:pPr>
                  <w:r>
                    <w:rPr>
                      <w:rFonts w:hint="eastAsia"/>
                      <w:szCs w:val="21"/>
                      <w:lang w:val="en-US" w:eastAsia="zh-CN"/>
                    </w:rPr>
                    <w:t>1</w:t>
                  </w:r>
                </w:p>
              </w:tc>
              <w:tc>
                <w:tcPr>
                  <w:tcW w:w="419" w:type="pct"/>
                  <w:vAlign w:val="top"/>
                </w:tcPr>
                <w:p>
                  <w:pPr>
                    <w:spacing w:beforeLines="0" w:afterLines="0"/>
                    <w:jc w:val="center"/>
                    <w:rPr>
                      <w:rFonts w:hint="eastAsia" w:ascii="Times New Roman" w:hAnsi="Times New Roman" w:eastAsia="Times New Roman" w:cs="Times New Roman"/>
                      <w:color w:val="000000"/>
                      <w:kern w:val="2"/>
                      <w:sz w:val="22"/>
                      <w:szCs w:val="24"/>
                      <w:lang w:val="en-US" w:eastAsia="zh-CN" w:bidi="ar-SA"/>
                    </w:rPr>
                  </w:pPr>
                  <w:r>
                    <w:rPr>
                      <w:rFonts w:hint="eastAsia" w:ascii="Times New Roman" w:hAnsi="Times New Roman" w:eastAsia="Times New Roman"/>
                      <w:color w:val="000000"/>
                      <w:sz w:val="22"/>
                      <w:szCs w:val="24"/>
                    </w:rPr>
                    <w:t xml:space="preserve">45.0 </w:t>
                  </w:r>
                </w:p>
              </w:tc>
              <w:tc>
                <w:tcPr>
                  <w:tcW w:w="505" w:type="pct"/>
                  <w:vAlign w:val="top"/>
                </w:tcPr>
                <w:p>
                  <w:pPr>
                    <w:spacing w:beforeLines="0" w:afterLines="0"/>
                    <w:jc w:val="center"/>
                    <w:rPr>
                      <w:rFonts w:hint="eastAsia" w:ascii="Times New Roman" w:hAnsi="Times New Roman" w:eastAsia="Times New Roman" w:cs="Times New Roman"/>
                      <w:color w:val="000000"/>
                      <w:kern w:val="2"/>
                      <w:sz w:val="22"/>
                      <w:szCs w:val="24"/>
                      <w:lang w:val="en-US" w:eastAsia="zh-CN" w:bidi="ar-SA"/>
                    </w:rPr>
                  </w:pPr>
                  <w:r>
                    <w:rPr>
                      <w:rFonts w:hint="eastAsia" w:ascii="Times New Roman" w:hAnsi="Times New Roman" w:eastAsia="Times New Roman"/>
                      <w:color w:val="000000"/>
                      <w:sz w:val="22"/>
                      <w:szCs w:val="24"/>
                    </w:rPr>
                    <w:t xml:space="preserve">44.2 </w:t>
                  </w:r>
                </w:p>
              </w:tc>
              <w:tc>
                <w:tcPr>
                  <w:tcW w:w="505" w:type="pct"/>
                  <w:vAlign w:val="top"/>
                </w:tcPr>
                <w:p>
                  <w:pPr>
                    <w:spacing w:beforeLines="0" w:afterLines="0"/>
                    <w:jc w:val="center"/>
                    <w:rPr>
                      <w:rFonts w:hint="eastAsia" w:ascii="Times New Roman" w:hAnsi="Times New Roman" w:eastAsia="Times New Roman" w:cs="Times New Roman"/>
                      <w:color w:val="000000"/>
                      <w:kern w:val="2"/>
                      <w:sz w:val="22"/>
                      <w:szCs w:val="24"/>
                      <w:lang w:val="en-US" w:eastAsia="zh-CN" w:bidi="ar-SA"/>
                    </w:rPr>
                  </w:pPr>
                  <w:r>
                    <w:rPr>
                      <w:rFonts w:hint="eastAsia" w:ascii="Times New Roman" w:hAnsi="Times New Roman" w:eastAsia="Times New Roman"/>
                      <w:color w:val="000000"/>
                      <w:sz w:val="22"/>
                      <w:szCs w:val="24"/>
                    </w:rPr>
                    <w:t xml:space="preserve">33.2 </w:t>
                  </w:r>
                </w:p>
              </w:tc>
              <w:tc>
                <w:tcPr>
                  <w:tcW w:w="547" w:type="pct"/>
                  <w:vAlign w:val="top"/>
                </w:tcPr>
                <w:p>
                  <w:pPr>
                    <w:spacing w:beforeLines="0" w:afterLines="0"/>
                    <w:jc w:val="center"/>
                    <w:rPr>
                      <w:rFonts w:hint="eastAsia" w:ascii="Times New Roman" w:hAnsi="Times New Roman" w:eastAsia="Times New Roman" w:cs="Times New Roman"/>
                      <w:color w:val="000000"/>
                      <w:kern w:val="2"/>
                      <w:sz w:val="22"/>
                      <w:szCs w:val="24"/>
                      <w:lang w:val="en-US" w:eastAsia="zh-CN" w:bidi="ar-SA"/>
                    </w:rPr>
                  </w:pPr>
                  <w:r>
                    <w:rPr>
                      <w:rFonts w:hint="eastAsia" w:ascii="Times New Roman" w:hAnsi="Times New Roman" w:eastAsia="Times New Roman"/>
                      <w:color w:val="000000"/>
                      <w:sz w:val="22"/>
                      <w:szCs w:val="24"/>
                    </w:rPr>
                    <w:t xml:space="preserve">26.5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3" w:hRule="atLeast"/>
                <w:jc w:val="center"/>
              </w:trPr>
              <w:tc>
                <w:tcPr>
                  <w:tcW w:w="252" w:type="pct"/>
                  <w:vAlign w:val="center"/>
                </w:tcPr>
                <w:p>
                  <w:pPr>
                    <w:jc w:val="center"/>
                    <w:rPr>
                      <w:szCs w:val="21"/>
                    </w:rPr>
                  </w:pPr>
                  <w:r>
                    <w:rPr>
                      <w:rFonts w:hint="eastAsia"/>
                      <w:szCs w:val="21"/>
                    </w:rPr>
                    <w:t>4</w:t>
                  </w:r>
                </w:p>
              </w:tc>
              <w:tc>
                <w:tcPr>
                  <w:tcW w:w="1078" w:type="pct"/>
                  <w:gridSpan w:val="2"/>
                  <w:vAlign w:val="center"/>
                </w:tcPr>
                <w:p>
                  <w:pPr>
                    <w:spacing w:line="240" w:lineRule="atLeast"/>
                    <w:jc w:val="center"/>
                    <w:rPr>
                      <w:rFonts w:ascii="Times New Roman" w:hAnsi="Times New Roman" w:eastAsia="宋体" w:cs="Times New Roman"/>
                      <w:bCs/>
                      <w:color w:val="auto"/>
                      <w:kern w:val="2"/>
                      <w:sz w:val="21"/>
                      <w:szCs w:val="22"/>
                      <w:lang w:val="en-US" w:eastAsia="zh-CN" w:bidi="ar-SA"/>
                    </w:rPr>
                  </w:pPr>
                  <w:r>
                    <w:rPr>
                      <w:rFonts w:hint="eastAsia" w:ascii="Times New Roman" w:hAnsi="Times New Roman"/>
                      <w:color w:val="auto"/>
                      <w:szCs w:val="21"/>
                    </w:rPr>
                    <w:t>振动筛</w:t>
                  </w:r>
                </w:p>
              </w:tc>
              <w:tc>
                <w:tcPr>
                  <w:tcW w:w="583" w:type="pct"/>
                  <w:vAlign w:val="center"/>
                </w:tcPr>
                <w:p>
                  <w:pPr>
                    <w:spacing w:line="300" w:lineRule="exact"/>
                    <w:jc w:val="center"/>
                    <w:rPr>
                      <w:rFonts w:hint="eastAsia" w:ascii="Times New Roman" w:hAnsi="Times New Roman" w:eastAsia="宋体" w:cs="Times New Roman"/>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bCs/>
                      <w:color w:val="0D0D0D" w:themeColor="text1" w:themeTint="F2"/>
                      <w:szCs w:val="21"/>
                      <w14:textFill>
                        <w14:solidFill>
                          <w14:schemeClr w14:val="tx1">
                            <w14:lumMod w14:val="95000"/>
                            <w14:lumOff w14:val="5000"/>
                          </w14:schemeClr>
                        </w14:solidFill>
                      </w14:textFill>
                    </w:rPr>
                    <w:t>8</w:t>
                  </w:r>
                  <w:r>
                    <w:rPr>
                      <w:rFonts w:hint="eastAsia"/>
                      <w:bCs/>
                      <w:color w:val="0D0D0D" w:themeColor="text1" w:themeTint="F2"/>
                      <w:szCs w:val="21"/>
                      <w:lang w:val="en-US" w:eastAsia="zh-CN"/>
                      <w14:textFill>
                        <w14:solidFill>
                          <w14:schemeClr w14:val="tx1">
                            <w14:lumMod w14:val="95000"/>
                            <w14:lumOff w14:val="5000"/>
                          </w14:schemeClr>
                        </w14:solidFill>
                      </w14:textFill>
                    </w:rPr>
                    <w:t>0</w:t>
                  </w:r>
                </w:p>
              </w:tc>
              <w:tc>
                <w:tcPr>
                  <w:tcW w:w="671" w:type="pct"/>
                  <w:vAlign w:val="center"/>
                </w:tcPr>
                <w:p>
                  <w:pPr>
                    <w:jc w:val="center"/>
                    <w:rPr>
                      <w:rFonts w:hint="eastAsia" w:eastAsia="宋体"/>
                      <w:color w:val="000000"/>
                      <w:szCs w:val="21"/>
                      <w:lang w:eastAsia="zh-CN"/>
                    </w:rPr>
                  </w:pPr>
                  <w:r>
                    <w:rPr>
                      <w:rFonts w:hint="eastAsia"/>
                      <w:color w:val="000000"/>
                      <w:szCs w:val="21"/>
                    </w:rPr>
                    <w:t>6</w:t>
                  </w:r>
                  <w:r>
                    <w:rPr>
                      <w:rFonts w:hint="eastAsia"/>
                      <w:color w:val="000000"/>
                      <w:szCs w:val="21"/>
                      <w:lang w:val="en-US" w:eastAsia="zh-CN"/>
                    </w:rPr>
                    <w:t>0</w:t>
                  </w:r>
                </w:p>
              </w:tc>
              <w:tc>
                <w:tcPr>
                  <w:tcW w:w="434" w:type="pct"/>
                  <w:vAlign w:val="center"/>
                </w:tcPr>
                <w:p>
                  <w:pPr>
                    <w:adjustRightInd w:val="0"/>
                    <w:snapToGrid w:val="0"/>
                    <w:jc w:val="center"/>
                    <w:rPr>
                      <w:rFonts w:hint="eastAsia" w:ascii="Times New Roman" w:hAnsi="Times New Roman" w:eastAsia="宋体" w:cs="Times New Roman"/>
                      <w:kern w:val="2"/>
                      <w:sz w:val="21"/>
                      <w:szCs w:val="21"/>
                      <w:lang w:val="en-US" w:eastAsia="zh-CN" w:bidi="ar-SA"/>
                    </w:rPr>
                  </w:pPr>
                  <w:r>
                    <w:rPr>
                      <w:rFonts w:hint="eastAsia"/>
                      <w:szCs w:val="21"/>
                      <w:lang w:val="en-US" w:eastAsia="zh-CN"/>
                    </w:rPr>
                    <w:t>2</w:t>
                  </w:r>
                </w:p>
              </w:tc>
              <w:tc>
                <w:tcPr>
                  <w:tcW w:w="419" w:type="pct"/>
                  <w:vAlign w:val="top"/>
                </w:tcPr>
                <w:p>
                  <w:pPr>
                    <w:spacing w:beforeLines="0" w:afterLines="0"/>
                    <w:jc w:val="center"/>
                    <w:rPr>
                      <w:rFonts w:hint="eastAsia" w:ascii="Times New Roman" w:hAnsi="Times New Roman" w:eastAsia="Times New Roman" w:cs="Times New Roman"/>
                      <w:color w:val="000000"/>
                      <w:kern w:val="2"/>
                      <w:sz w:val="22"/>
                      <w:szCs w:val="24"/>
                      <w:lang w:val="en-US" w:eastAsia="zh-CN" w:bidi="ar-SA"/>
                    </w:rPr>
                  </w:pPr>
                  <w:r>
                    <w:rPr>
                      <w:rFonts w:hint="eastAsia" w:ascii="Times New Roman" w:hAnsi="Times New Roman" w:eastAsia="Times New Roman"/>
                      <w:color w:val="000000"/>
                      <w:sz w:val="22"/>
                      <w:szCs w:val="24"/>
                    </w:rPr>
                    <w:t xml:space="preserve">43.0 </w:t>
                  </w:r>
                </w:p>
              </w:tc>
              <w:tc>
                <w:tcPr>
                  <w:tcW w:w="505" w:type="pct"/>
                  <w:vAlign w:val="top"/>
                </w:tcPr>
                <w:p>
                  <w:pPr>
                    <w:spacing w:beforeLines="0" w:afterLines="0"/>
                    <w:jc w:val="center"/>
                    <w:rPr>
                      <w:rFonts w:hint="eastAsia" w:ascii="Times New Roman" w:hAnsi="Times New Roman" w:eastAsia="Times New Roman" w:cs="Times New Roman"/>
                      <w:color w:val="000000"/>
                      <w:kern w:val="2"/>
                      <w:sz w:val="22"/>
                      <w:szCs w:val="24"/>
                      <w:lang w:val="en-US" w:eastAsia="zh-CN" w:bidi="ar-SA"/>
                    </w:rPr>
                  </w:pPr>
                  <w:r>
                    <w:rPr>
                      <w:rFonts w:hint="eastAsia" w:ascii="Times New Roman" w:hAnsi="Times New Roman" w:eastAsia="Times New Roman"/>
                      <w:color w:val="000000"/>
                      <w:sz w:val="22"/>
                      <w:szCs w:val="24"/>
                    </w:rPr>
                    <w:t xml:space="preserve">40.7 </w:t>
                  </w:r>
                </w:p>
              </w:tc>
              <w:tc>
                <w:tcPr>
                  <w:tcW w:w="505" w:type="pct"/>
                  <w:vAlign w:val="top"/>
                </w:tcPr>
                <w:p>
                  <w:pPr>
                    <w:spacing w:beforeLines="0" w:afterLines="0"/>
                    <w:jc w:val="center"/>
                    <w:rPr>
                      <w:rFonts w:hint="eastAsia" w:ascii="Times New Roman" w:hAnsi="Times New Roman" w:eastAsia="Times New Roman" w:cs="Times New Roman"/>
                      <w:color w:val="000000"/>
                      <w:kern w:val="2"/>
                      <w:sz w:val="22"/>
                      <w:szCs w:val="24"/>
                      <w:lang w:val="en-US" w:eastAsia="zh-CN" w:bidi="ar-SA"/>
                    </w:rPr>
                  </w:pPr>
                  <w:r>
                    <w:rPr>
                      <w:rFonts w:hint="eastAsia" w:ascii="Times New Roman" w:hAnsi="Times New Roman" w:eastAsia="Times New Roman"/>
                      <w:color w:val="000000"/>
                      <w:sz w:val="22"/>
                      <w:szCs w:val="24"/>
                    </w:rPr>
                    <w:t xml:space="preserve">30.3 </w:t>
                  </w:r>
                </w:p>
              </w:tc>
              <w:tc>
                <w:tcPr>
                  <w:tcW w:w="547" w:type="pct"/>
                  <w:vAlign w:val="top"/>
                </w:tcPr>
                <w:p>
                  <w:pPr>
                    <w:spacing w:beforeLines="0" w:afterLines="0"/>
                    <w:jc w:val="center"/>
                    <w:rPr>
                      <w:rFonts w:hint="eastAsia" w:ascii="Times New Roman" w:hAnsi="Times New Roman" w:eastAsia="Times New Roman" w:cs="Times New Roman"/>
                      <w:color w:val="000000"/>
                      <w:kern w:val="2"/>
                      <w:sz w:val="22"/>
                      <w:szCs w:val="24"/>
                      <w:lang w:val="en-US" w:eastAsia="zh-CN" w:bidi="ar-SA"/>
                    </w:rPr>
                  </w:pPr>
                  <w:r>
                    <w:rPr>
                      <w:rFonts w:hint="eastAsia" w:ascii="Times New Roman" w:hAnsi="Times New Roman" w:eastAsia="Times New Roman"/>
                      <w:color w:val="000000"/>
                      <w:sz w:val="22"/>
                      <w:szCs w:val="24"/>
                    </w:rPr>
                    <w:t xml:space="preserve">24.8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3" w:hRule="atLeast"/>
                <w:jc w:val="center"/>
              </w:trPr>
              <w:tc>
                <w:tcPr>
                  <w:tcW w:w="252" w:type="pct"/>
                  <w:vAlign w:val="center"/>
                </w:tcPr>
                <w:p>
                  <w:pPr>
                    <w:jc w:val="center"/>
                    <w:rPr>
                      <w:szCs w:val="21"/>
                    </w:rPr>
                  </w:pPr>
                  <w:r>
                    <w:rPr>
                      <w:rFonts w:hint="eastAsia"/>
                      <w:szCs w:val="21"/>
                    </w:rPr>
                    <w:t>5</w:t>
                  </w:r>
                </w:p>
              </w:tc>
              <w:tc>
                <w:tcPr>
                  <w:tcW w:w="1078" w:type="pct"/>
                  <w:gridSpan w:val="2"/>
                  <w:vAlign w:val="center"/>
                </w:tcPr>
                <w:p>
                  <w:pPr>
                    <w:spacing w:line="240" w:lineRule="atLeast"/>
                    <w:jc w:val="center"/>
                    <w:rPr>
                      <w:rFonts w:ascii="Times New Roman" w:hAnsi="Times New Roman" w:eastAsia="宋体" w:cs="Times New Roman"/>
                      <w:bCs/>
                      <w:color w:val="auto"/>
                      <w:kern w:val="2"/>
                      <w:sz w:val="21"/>
                      <w:szCs w:val="22"/>
                      <w:lang w:val="en-US" w:eastAsia="zh-CN" w:bidi="ar-SA"/>
                    </w:rPr>
                  </w:pPr>
                  <w:r>
                    <w:rPr>
                      <w:rFonts w:hint="eastAsia" w:ascii="Times New Roman" w:hAnsi="Times New Roman"/>
                      <w:color w:val="auto"/>
                      <w:szCs w:val="21"/>
                      <w:lang w:val="en-US" w:eastAsia="zh-CN"/>
                    </w:rPr>
                    <w:t>脱水机</w:t>
                  </w:r>
                </w:p>
              </w:tc>
              <w:tc>
                <w:tcPr>
                  <w:tcW w:w="583" w:type="pct"/>
                  <w:vAlign w:val="center"/>
                </w:tcPr>
                <w:p>
                  <w:pPr>
                    <w:spacing w:line="300" w:lineRule="exact"/>
                    <w:jc w:val="center"/>
                    <w:rPr>
                      <w:rFonts w:hint="eastAsia" w:ascii="Times New Roman" w:hAnsi="Times New Roman" w:eastAsia="宋体" w:cs="Times New Roman"/>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bCs/>
                      <w:color w:val="0D0D0D" w:themeColor="text1" w:themeTint="F2"/>
                      <w:szCs w:val="21"/>
                      <w14:textFill>
                        <w14:solidFill>
                          <w14:schemeClr w14:val="tx1">
                            <w14:lumMod w14:val="95000"/>
                            <w14:lumOff w14:val="5000"/>
                          </w14:schemeClr>
                        </w14:solidFill>
                      </w14:textFill>
                    </w:rPr>
                    <w:t>7</w:t>
                  </w:r>
                  <w:r>
                    <w:rPr>
                      <w:rFonts w:hint="eastAsia"/>
                      <w:bCs/>
                      <w:color w:val="0D0D0D" w:themeColor="text1" w:themeTint="F2"/>
                      <w:szCs w:val="21"/>
                      <w:lang w:val="en-US" w:eastAsia="zh-CN"/>
                      <w14:textFill>
                        <w14:solidFill>
                          <w14:schemeClr w14:val="tx1">
                            <w14:lumMod w14:val="95000"/>
                            <w14:lumOff w14:val="5000"/>
                          </w14:schemeClr>
                        </w14:solidFill>
                      </w14:textFill>
                    </w:rPr>
                    <w:t>0</w:t>
                  </w:r>
                </w:p>
              </w:tc>
              <w:tc>
                <w:tcPr>
                  <w:tcW w:w="671" w:type="pct"/>
                  <w:vAlign w:val="center"/>
                </w:tcPr>
                <w:p>
                  <w:pPr>
                    <w:jc w:val="center"/>
                    <w:rPr>
                      <w:rFonts w:hint="eastAsia" w:eastAsia="宋体"/>
                      <w:color w:val="000000"/>
                      <w:szCs w:val="21"/>
                      <w:lang w:eastAsia="zh-CN"/>
                    </w:rPr>
                  </w:pPr>
                  <w:r>
                    <w:rPr>
                      <w:rFonts w:hint="eastAsia"/>
                      <w:color w:val="000000"/>
                      <w:szCs w:val="21"/>
                    </w:rPr>
                    <w:t>5</w:t>
                  </w:r>
                  <w:r>
                    <w:rPr>
                      <w:rFonts w:hint="eastAsia"/>
                      <w:color w:val="000000"/>
                      <w:szCs w:val="21"/>
                      <w:lang w:val="en-US" w:eastAsia="zh-CN"/>
                    </w:rPr>
                    <w:t>0</w:t>
                  </w:r>
                </w:p>
              </w:tc>
              <w:tc>
                <w:tcPr>
                  <w:tcW w:w="434" w:type="pct"/>
                  <w:vAlign w:val="center"/>
                </w:tcPr>
                <w:p>
                  <w:pPr>
                    <w:adjustRightInd w:val="0"/>
                    <w:snapToGrid w:val="0"/>
                    <w:jc w:val="center"/>
                    <w:rPr>
                      <w:rFonts w:hint="eastAsia" w:ascii="Times New Roman" w:hAnsi="Times New Roman" w:eastAsia="宋体" w:cs="Times New Roman"/>
                      <w:kern w:val="2"/>
                      <w:sz w:val="21"/>
                      <w:szCs w:val="21"/>
                      <w:lang w:val="en-US" w:eastAsia="zh-CN" w:bidi="ar-SA"/>
                    </w:rPr>
                  </w:pPr>
                  <w:r>
                    <w:rPr>
                      <w:rFonts w:hint="eastAsia"/>
                      <w:szCs w:val="21"/>
                      <w:lang w:val="en-US" w:eastAsia="zh-CN"/>
                    </w:rPr>
                    <w:t>2</w:t>
                  </w:r>
                </w:p>
              </w:tc>
              <w:tc>
                <w:tcPr>
                  <w:tcW w:w="419" w:type="pct"/>
                  <w:vAlign w:val="top"/>
                </w:tcPr>
                <w:p>
                  <w:pPr>
                    <w:spacing w:beforeLines="0" w:afterLines="0"/>
                    <w:jc w:val="center"/>
                    <w:rPr>
                      <w:rFonts w:hint="eastAsia" w:ascii="Times New Roman" w:hAnsi="Times New Roman" w:eastAsia="Times New Roman" w:cs="Times New Roman"/>
                      <w:color w:val="000000"/>
                      <w:kern w:val="2"/>
                      <w:sz w:val="22"/>
                      <w:szCs w:val="24"/>
                      <w:lang w:val="en-US" w:eastAsia="zh-CN" w:bidi="ar-SA"/>
                    </w:rPr>
                  </w:pPr>
                  <w:r>
                    <w:rPr>
                      <w:rFonts w:hint="eastAsia" w:ascii="Times New Roman" w:hAnsi="Times New Roman" w:eastAsia="Times New Roman"/>
                      <w:color w:val="000000"/>
                      <w:sz w:val="22"/>
                      <w:szCs w:val="24"/>
                    </w:rPr>
                    <w:t xml:space="preserve">32.6 </w:t>
                  </w:r>
                </w:p>
              </w:tc>
              <w:tc>
                <w:tcPr>
                  <w:tcW w:w="505" w:type="pct"/>
                  <w:vAlign w:val="top"/>
                </w:tcPr>
                <w:p>
                  <w:pPr>
                    <w:spacing w:beforeLines="0" w:afterLines="0"/>
                    <w:jc w:val="center"/>
                    <w:rPr>
                      <w:rFonts w:hint="eastAsia" w:ascii="Times New Roman" w:hAnsi="Times New Roman" w:eastAsia="Times New Roman" w:cs="Times New Roman"/>
                      <w:color w:val="000000"/>
                      <w:kern w:val="2"/>
                      <w:sz w:val="22"/>
                      <w:szCs w:val="24"/>
                      <w:lang w:val="en-US" w:eastAsia="zh-CN" w:bidi="ar-SA"/>
                    </w:rPr>
                  </w:pPr>
                  <w:r>
                    <w:rPr>
                      <w:rFonts w:hint="eastAsia" w:ascii="Times New Roman" w:hAnsi="Times New Roman" w:eastAsia="Times New Roman"/>
                      <w:color w:val="000000"/>
                      <w:sz w:val="22"/>
                      <w:szCs w:val="24"/>
                    </w:rPr>
                    <w:t xml:space="preserve">30.1 </w:t>
                  </w:r>
                </w:p>
              </w:tc>
              <w:tc>
                <w:tcPr>
                  <w:tcW w:w="505" w:type="pct"/>
                  <w:vAlign w:val="top"/>
                </w:tcPr>
                <w:p>
                  <w:pPr>
                    <w:spacing w:beforeLines="0" w:afterLines="0"/>
                    <w:jc w:val="center"/>
                    <w:rPr>
                      <w:rFonts w:hint="eastAsia" w:ascii="Times New Roman" w:hAnsi="Times New Roman" w:eastAsia="Times New Roman" w:cs="Times New Roman"/>
                      <w:color w:val="000000"/>
                      <w:kern w:val="2"/>
                      <w:sz w:val="22"/>
                      <w:szCs w:val="24"/>
                      <w:lang w:val="en-US" w:eastAsia="zh-CN" w:bidi="ar-SA"/>
                    </w:rPr>
                  </w:pPr>
                  <w:r>
                    <w:rPr>
                      <w:rFonts w:hint="eastAsia" w:ascii="Times New Roman" w:hAnsi="Times New Roman" w:eastAsia="Times New Roman"/>
                      <w:color w:val="000000"/>
                      <w:sz w:val="22"/>
                      <w:szCs w:val="24"/>
                    </w:rPr>
                    <w:t xml:space="preserve">20.3 </w:t>
                  </w:r>
                </w:p>
              </w:tc>
              <w:tc>
                <w:tcPr>
                  <w:tcW w:w="547" w:type="pct"/>
                  <w:vAlign w:val="top"/>
                </w:tcPr>
                <w:p>
                  <w:pPr>
                    <w:spacing w:beforeLines="0" w:afterLines="0"/>
                    <w:jc w:val="center"/>
                    <w:rPr>
                      <w:rFonts w:hint="eastAsia" w:ascii="Times New Roman" w:hAnsi="Times New Roman" w:eastAsia="Times New Roman" w:cs="Times New Roman"/>
                      <w:color w:val="000000"/>
                      <w:kern w:val="2"/>
                      <w:sz w:val="22"/>
                      <w:szCs w:val="24"/>
                      <w:lang w:val="en-US" w:eastAsia="zh-CN" w:bidi="ar-SA"/>
                    </w:rPr>
                  </w:pPr>
                  <w:r>
                    <w:rPr>
                      <w:rFonts w:hint="eastAsia" w:ascii="Times New Roman" w:hAnsi="Times New Roman" w:eastAsia="Times New Roman"/>
                      <w:color w:val="000000"/>
                      <w:sz w:val="22"/>
                      <w:szCs w:val="24"/>
                    </w:rPr>
                    <w:t xml:space="preserve">14.9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3" w:hRule="atLeast"/>
                <w:jc w:val="center"/>
              </w:trPr>
              <w:tc>
                <w:tcPr>
                  <w:tcW w:w="252" w:type="pct"/>
                  <w:vAlign w:val="center"/>
                </w:tcPr>
                <w:p>
                  <w:pPr>
                    <w:jc w:val="center"/>
                    <w:rPr>
                      <w:szCs w:val="21"/>
                    </w:rPr>
                  </w:pPr>
                  <w:r>
                    <w:rPr>
                      <w:rFonts w:hint="eastAsia"/>
                      <w:szCs w:val="21"/>
                    </w:rPr>
                    <w:t>6</w:t>
                  </w:r>
                </w:p>
              </w:tc>
              <w:tc>
                <w:tcPr>
                  <w:tcW w:w="1078" w:type="pct"/>
                  <w:gridSpan w:val="2"/>
                  <w:vAlign w:val="center"/>
                </w:tcPr>
                <w:p>
                  <w:pPr>
                    <w:spacing w:line="240" w:lineRule="atLeast"/>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olor w:val="auto"/>
                      <w:szCs w:val="21"/>
                      <w:lang w:val="en-US" w:eastAsia="zh-CN"/>
                    </w:rPr>
                    <w:t>洗砂机</w:t>
                  </w:r>
                </w:p>
              </w:tc>
              <w:tc>
                <w:tcPr>
                  <w:tcW w:w="583" w:type="pct"/>
                  <w:vAlign w:val="center"/>
                </w:tcPr>
                <w:p>
                  <w:pPr>
                    <w:spacing w:line="300" w:lineRule="exact"/>
                    <w:jc w:val="center"/>
                    <w:rPr>
                      <w:rFonts w:hint="default" w:ascii="Times New Roman" w:hAnsi="Times New Roman" w:eastAsia="宋体" w:cs="Times New Roman"/>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bCs/>
                      <w:color w:val="0D0D0D" w:themeColor="text1" w:themeTint="F2"/>
                      <w:szCs w:val="21"/>
                      <w:lang w:val="en-US" w:eastAsia="zh-CN"/>
                      <w14:textFill>
                        <w14:solidFill>
                          <w14:schemeClr w14:val="tx1">
                            <w14:lumMod w14:val="95000"/>
                            <w14:lumOff w14:val="5000"/>
                          </w14:schemeClr>
                        </w14:solidFill>
                      </w14:textFill>
                    </w:rPr>
                    <w:t>75</w:t>
                  </w:r>
                </w:p>
              </w:tc>
              <w:tc>
                <w:tcPr>
                  <w:tcW w:w="671" w:type="pct"/>
                  <w:vAlign w:val="center"/>
                </w:tcPr>
                <w:p>
                  <w:pPr>
                    <w:jc w:val="center"/>
                    <w:rPr>
                      <w:rFonts w:hint="default" w:eastAsia="宋体"/>
                      <w:color w:val="000000"/>
                      <w:szCs w:val="21"/>
                      <w:lang w:val="en-US" w:eastAsia="zh-CN"/>
                    </w:rPr>
                  </w:pPr>
                  <w:r>
                    <w:rPr>
                      <w:rFonts w:hint="eastAsia"/>
                      <w:color w:val="000000"/>
                      <w:szCs w:val="21"/>
                      <w:lang w:val="en-US" w:eastAsia="zh-CN"/>
                    </w:rPr>
                    <w:t>55</w:t>
                  </w:r>
                </w:p>
              </w:tc>
              <w:tc>
                <w:tcPr>
                  <w:tcW w:w="434" w:type="pct"/>
                  <w:vAlign w:val="center"/>
                </w:tcPr>
                <w:p>
                  <w:pPr>
                    <w:adjustRightInd w:val="0"/>
                    <w:snapToGrid w:val="0"/>
                    <w:jc w:val="center"/>
                    <w:rPr>
                      <w:rFonts w:hint="eastAsia" w:ascii="Times New Roman" w:hAnsi="Times New Roman" w:eastAsia="宋体" w:cs="Times New Roman"/>
                      <w:kern w:val="2"/>
                      <w:sz w:val="21"/>
                      <w:szCs w:val="21"/>
                      <w:lang w:val="en-US" w:eastAsia="zh-CN" w:bidi="ar-SA"/>
                    </w:rPr>
                  </w:pPr>
                  <w:r>
                    <w:rPr>
                      <w:rFonts w:hint="eastAsia"/>
                      <w:szCs w:val="21"/>
                      <w:lang w:val="en-US" w:eastAsia="zh-CN"/>
                    </w:rPr>
                    <w:t>4</w:t>
                  </w:r>
                </w:p>
              </w:tc>
              <w:tc>
                <w:tcPr>
                  <w:tcW w:w="419" w:type="pct"/>
                  <w:vAlign w:val="top"/>
                </w:tcPr>
                <w:p>
                  <w:pPr>
                    <w:spacing w:beforeLines="0" w:afterLines="0"/>
                    <w:jc w:val="center"/>
                    <w:rPr>
                      <w:rFonts w:hint="eastAsia" w:ascii="Times New Roman" w:hAnsi="Times New Roman" w:eastAsia="Times New Roman" w:cs="Times New Roman"/>
                      <w:color w:val="000000"/>
                      <w:kern w:val="2"/>
                      <w:sz w:val="22"/>
                      <w:szCs w:val="24"/>
                      <w:lang w:val="en-US" w:eastAsia="zh-CN" w:bidi="ar-SA"/>
                    </w:rPr>
                  </w:pPr>
                  <w:r>
                    <w:rPr>
                      <w:rFonts w:hint="eastAsia" w:ascii="Times New Roman" w:hAnsi="Times New Roman" w:eastAsia="Times New Roman"/>
                      <w:color w:val="000000"/>
                      <w:sz w:val="22"/>
                      <w:szCs w:val="24"/>
                    </w:rPr>
                    <w:t xml:space="preserve">41.7 </w:t>
                  </w:r>
                </w:p>
              </w:tc>
              <w:tc>
                <w:tcPr>
                  <w:tcW w:w="505" w:type="pct"/>
                  <w:vAlign w:val="top"/>
                </w:tcPr>
                <w:p>
                  <w:pPr>
                    <w:spacing w:beforeLines="0" w:afterLines="0"/>
                    <w:jc w:val="center"/>
                    <w:rPr>
                      <w:rFonts w:hint="eastAsia" w:ascii="Times New Roman" w:hAnsi="Times New Roman" w:eastAsia="Times New Roman" w:cs="Times New Roman"/>
                      <w:color w:val="000000"/>
                      <w:kern w:val="2"/>
                      <w:sz w:val="22"/>
                      <w:szCs w:val="24"/>
                      <w:lang w:val="en-US" w:eastAsia="zh-CN" w:bidi="ar-SA"/>
                    </w:rPr>
                  </w:pPr>
                  <w:r>
                    <w:rPr>
                      <w:rFonts w:hint="eastAsia" w:ascii="Times New Roman" w:hAnsi="Times New Roman" w:eastAsia="Times New Roman"/>
                      <w:color w:val="000000"/>
                      <w:sz w:val="22"/>
                      <w:szCs w:val="24"/>
                    </w:rPr>
                    <w:t xml:space="preserve">38.1 </w:t>
                  </w:r>
                </w:p>
              </w:tc>
              <w:tc>
                <w:tcPr>
                  <w:tcW w:w="505" w:type="pct"/>
                  <w:vAlign w:val="top"/>
                </w:tcPr>
                <w:p>
                  <w:pPr>
                    <w:spacing w:beforeLines="0" w:afterLines="0"/>
                    <w:jc w:val="center"/>
                    <w:rPr>
                      <w:rFonts w:hint="eastAsia" w:ascii="Times New Roman" w:hAnsi="Times New Roman" w:eastAsia="Times New Roman" w:cs="Times New Roman"/>
                      <w:color w:val="000000"/>
                      <w:kern w:val="2"/>
                      <w:sz w:val="22"/>
                      <w:szCs w:val="24"/>
                      <w:lang w:val="en-US" w:eastAsia="zh-CN" w:bidi="ar-SA"/>
                    </w:rPr>
                  </w:pPr>
                  <w:r>
                    <w:rPr>
                      <w:rFonts w:hint="eastAsia" w:ascii="Times New Roman" w:hAnsi="Times New Roman" w:eastAsia="Times New Roman"/>
                      <w:color w:val="000000"/>
                      <w:sz w:val="22"/>
                      <w:szCs w:val="24"/>
                    </w:rPr>
                    <w:t xml:space="preserve">28.8 </w:t>
                  </w:r>
                </w:p>
              </w:tc>
              <w:tc>
                <w:tcPr>
                  <w:tcW w:w="547" w:type="pct"/>
                  <w:vAlign w:val="top"/>
                </w:tcPr>
                <w:p>
                  <w:pPr>
                    <w:spacing w:beforeLines="0" w:afterLines="0"/>
                    <w:jc w:val="center"/>
                    <w:rPr>
                      <w:rFonts w:hint="eastAsia" w:ascii="Times New Roman" w:hAnsi="Times New Roman" w:eastAsia="Times New Roman" w:cs="Times New Roman"/>
                      <w:color w:val="000000"/>
                      <w:kern w:val="2"/>
                      <w:sz w:val="22"/>
                      <w:szCs w:val="24"/>
                      <w:lang w:val="en-US" w:eastAsia="zh-CN" w:bidi="ar-SA"/>
                    </w:rPr>
                  </w:pPr>
                  <w:r>
                    <w:rPr>
                      <w:rFonts w:hint="eastAsia" w:ascii="Times New Roman" w:hAnsi="Times New Roman" w:eastAsia="Times New Roman"/>
                      <w:color w:val="000000"/>
                      <w:sz w:val="22"/>
                      <w:szCs w:val="24"/>
                    </w:rPr>
                    <w:t xml:space="preserve">23.0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3" w:hRule="atLeast"/>
                <w:jc w:val="center"/>
              </w:trPr>
              <w:tc>
                <w:tcPr>
                  <w:tcW w:w="3021" w:type="pct"/>
                  <w:gridSpan w:val="6"/>
                  <w:vAlign w:val="center"/>
                </w:tcPr>
                <w:p>
                  <w:pPr>
                    <w:autoSpaceDN w:val="0"/>
                    <w:jc w:val="center"/>
                    <w:textAlignment w:val="center"/>
                    <w:rPr>
                      <w:szCs w:val="21"/>
                    </w:rPr>
                  </w:pPr>
                  <w:r>
                    <w:rPr>
                      <w:szCs w:val="21"/>
                    </w:rPr>
                    <w:t>叠加后贡献值</w:t>
                  </w:r>
                </w:p>
              </w:tc>
              <w:tc>
                <w:tcPr>
                  <w:tcW w:w="419" w:type="pct"/>
                  <w:vAlign w:val="center"/>
                </w:tcPr>
                <w:p>
                  <w:pPr>
                    <w:autoSpaceDN w:val="0"/>
                    <w:jc w:val="center"/>
                    <w:textAlignment w:val="center"/>
                    <w:rPr>
                      <w:rFonts w:hint="default" w:eastAsia="宋体"/>
                      <w:szCs w:val="21"/>
                      <w:lang w:val="en-US" w:eastAsia="zh-CN"/>
                    </w:rPr>
                  </w:pPr>
                  <w:r>
                    <w:rPr>
                      <w:rFonts w:hint="eastAsia"/>
                      <w:szCs w:val="21"/>
                      <w:lang w:val="en-US" w:eastAsia="zh-CN"/>
                    </w:rPr>
                    <w:t>51.2</w:t>
                  </w:r>
                </w:p>
              </w:tc>
              <w:tc>
                <w:tcPr>
                  <w:tcW w:w="505" w:type="pct"/>
                  <w:vAlign w:val="center"/>
                </w:tcPr>
                <w:p>
                  <w:pPr>
                    <w:autoSpaceDN w:val="0"/>
                    <w:jc w:val="center"/>
                    <w:textAlignment w:val="center"/>
                    <w:rPr>
                      <w:rFonts w:hint="default" w:eastAsia="宋体"/>
                      <w:szCs w:val="21"/>
                      <w:lang w:val="en-US" w:eastAsia="zh-CN"/>
                    </w:rPr>
                  </w:pPr>
                  <w:r>
                    <w:rPr>
                      <w:rFonts w:hint="eastAsia"/>
                      <w:szCs w:val="21"/>
                      <w:lang w:val="en-US" w:eastAsia="zh-CN"/>
                    </w:rPr>
                    <w:t>53.5</w:t>
                  </w:r>
                </w:p>
              </w:tc>
              <w:tc>
                <w:tcPr>
                  <w:tcW w:w="505" w:type="pct"/>
                  <w:vAlign w:val="center"/>
                </w:tcPr>
                <w:p>
                  <w:pPr>
                    <w:autoSpaceDN w:val="0"/>
                    <w:jc w:val="center"/>
                    <w:textAlignment w:val="center"/>
                    <w:rPr>
                      <w:rFonts w:hint="default" w:eastAsia="宋体"/>
                      <w:szCs w:val="21"/>
                      <w:lang w:val="en-US" w:eastAsia="zh-CN"/>
                    </w:rPr>
                  </w:pPr>
                  <w:r>
                    <w:rPr>
                      <w:rFonts w:hint="eastAsia"/>
                      <w:szCs w:val="21"/>
                      <w:lang w:val="en-US" w:eastAsia="zh-CN"/>
                    </w:rPr>
                    <w:t>39.2</w:t>
                  </w:r>
                </w:p>
              </w:tc>
              <w:tc>
                <w:tcPr>
                  <w:tcW w:w="547" w:type="pct"/>
                  <w:vAlign w:val="center"/>
                </w:tcPr>
                <w:p>
                  <w:pPr>
                    <w:autoSpaceDN w:val="0"/>
                    <w:jc w:val="center"/>
                    <w:textAlignment w:val="center"/>
                    <w:rPr>
                      <w:rFonts w:hint="default" w:eastAsia="宋体"/>
                      <w:szCs w:val="21"/>
                      <w:lang w:val="en-US" w:eastAsia="zh-CN"/>
                    </w:rPr>
                  </w:pPr>
                  <w:r>
                    <w:rPr>
                      <w:rFonts w:hint="eastAsia"/>
                      <w:szCs w:val="21"/>
                      <w:lang w:val="en-US" w:eastAsia="zh-CN"/>
                    </w:rPr>
                    <w:t>32.6</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3" w:hRule="atLeast"/>
                <w:jc w:val="center"/>
              </w:trPr>
              <w:tc>
                <w:tcPr>
                  <w:tcW w:w="1153" w:type="pct"/>
                  <w:gridSpan w:val="2"/>
                  <w:vAlign w:val="center"/>
                </w:tcPr>
                <w:p>
                  <w:pPr>
                    <w:autoSpaceDN w:val="0"/>
                    <w:jc w:val="center"/>
                    <w:textAlignment w:val="center"/>
                    <w:rPr>
                      <w:szCs w:val="21"/>
                    </w:rPr>
                  </w:pPr>
                  <w:r>
                    <w:rPr>
                      <w:szCs w:val="21"/>
                    </w:rPr>
                    <w:t>现状值</w:t>
                  </w:r>
                </w:p>
              </w:tc>
              <w:tc>
                <w:tcPr>
                  <w:tcW w:w="1868" w:type="pct"/>
                  <w:gridSpan w:val="4"/>
                  <w:vAlign w:val="center"/>
                </w:tcPr>
                <w:p>
                  <w:pPr>
                    <w:autoSpaceDN w:val="0"/>
                    <w:jc w:val="center"/>
                    <w:textAlignment w:val="center"/>
                    <w:rPr>
                      <w:szCs w:val="21"/>
                    </w:rPr>
                  </w:pPr>
                  <w:r>
                    <w:rPr>
                      <w:szCs w:val="21"/>
                    </w:rPr>
                    <w:t>昼间</w:t>
                  </w:r>
                </w:p>
              </w:tc>
              <w:tc>
                <w:tcPr>
                  <w:tcW w:w="419" w:type="pct"/>
                  <w:vAlign w:val="center"/>
                </w:tcPr>
                <w:p>
                  <w:pPr>
                    <w:autoSpaceDN w:val="0"/>
                    <w:jc w:val="center"/>
                    <w:textAlignment w:val="center"/>
                    <w:rPr>
                      <w:rFonts w:hint="eastAsia" w:eastAsia="宋体"/>
                      <w:szCs w:val="21"/>
                      <w:lang w:eastAsia="zh-CN"/>
                    </w:rPr>
                  </w:pPr>
                  <w:r>
                    <w:rPr>
                      <w:rFonts w:hint="eastAsia"/>
                      <w:szCs w:val="21"/>
                    </w:rPr>
                    <w:t>55.</w:t>
                  </w:r>
                  <w:r>
                    <w:rPr>
                      <w:rFonts w:hint="eastAsia"/>
                      <w:szCs w:val="21"/>
                      <w:lang w:val="en-US" w:eastAsia="zh-CN"/>
                    </w:rPr>
                    <w:t>2</w:t>
                  </w:r>
                </w:p>
              </w:tc>
              <w:tc>
                <w:tcPr>
                  <w:tcW w:w="505" w:type="pct"/>
                  <w:vAlign w:val="center"/>
                </w:tcPr>
                <w:p>
                  <w:pPr>
                    <w:autoSpaceDN w:val="0"/>
                    <w:jc w:val="center"/>
                    <w:textAlignment w:val="center"/>
                    <w:rPr>
                      <w:rFonts w:hint="default" w:eastAsia="宋体"/>
                      <w:szCs w:val="21"/>
                      <w:lang w:val="en-US" w:eastAsia="zh-CN"/>
                    </w:rPr>
                  </w:pPr>
                  <w:r>
                    <w:rPr>
                      <w:rFonts w:hint="eastAsia"/>
                      <w:szCs w:val="21"/>
                    </w:rPr>
                    <w:t>5</w:t>
                  </w:r>
                  <w:r>
                    <w:rPr>
                      <w:rFonts w:hint="eastAsia"/>
                      <w:szCs w:val="21"/>
                      <w:lang w:val="en-US" w:eastAsia="zh-CN"/>
                    </w:rPr>
                    <w:t>5.7</w:t>
                  </w:r>
                </w:p>
              </w:tc>
              <w:tc>
                <w:tcPr>
                  <w:tcW w:w="505" w:type="pct"/>
                  <w:vAlign w:val="center"/>
                </w:tcPr>
                <w:p>
                  <w:pPr>
                    <w:autoSpaceDN w:val="0"/>
                    <w:jc w:val="center"/>
                    <w:textAlignment w:val="center"/>
                    <w:rPr>
                      <w:rFonts w:hint="default" w:eastAsia="宋体"/>
                      <w:szCs w:val="21"/>
                      <w:lang w:val="en-US" w:eastAsia="zh-CN"/>
                    </w:rPr>
                  </w:pPr>
                  <w:r>
                    <w:rPr>
                      <w:rFonts w:hint="eastAsia"/>
                      <w:szCs w:val="21"/>
                    </w:rPr>
                    <w:t>5</w:t>
                  </w:r>
                  <w:r>
                    <w:rPr>
                      <w:rFonts w:hint="eastAsia"/>
                      <w:szCs w:val="21"/>
                      <w:lang w:val="en-US" w:eastAsia="zh-CN"/>
                    </w:rPr>
                    <w:t>5.2</w:t>
                  </w:r>
                </w:p>
              </w:tc>
              <w:tc>
                <w:tcPr>
                  <w:tcW w:w="547" w:type="pct"/>
                  <w:vAlign w:val="center"/>
                </w:tcPr>
                <w:p>
                  <w:pPr>
                    <w:autoSpaceDN w:val="0"/>
                    <w:jc w:val="center"/>
                    <w:textAlignment w:val="center"/>
                    <w:rPr>
                      <w:rFonts w:hint="default" w:eastAsia="宋体"/>
                      <w:szCs w:val="21"/>
                      <w:lang w:val="en-US" w:eastAsia="zh-CN"/>
                    </w:rPr>
                  </w:pPr>
                  <w:r>
                    <w:rPr>
                      <w:rFonts w:hint="eastAsia"/>
                      <w:szCs w:val="21"/>
                    </w:rPr>
                    <w:t>5</w:t>
                  </w:r>
                  <w:r>
                    <w:rPr>
                      <w:rFonts w:hint="eastAsia"/>
                      <w:szCs w:val="21"/>
                      <w:lang w:val="en-US" w:eastAsia="zh-CN"/>
                    </w:rPr>
                    <w:t>6.4</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3" w:hRule="atLeast"/>
                <w:jc w:val="center"/>
              </w:trPr>
              <w:tc>
                <w:tcPr>
                  <w:tcW w:w="1153" w:type="pct"/>
                  <w:gridSpan w:val="2"/>
                  <w:vAlign w:val="center"/>
                </w:tcPr>
                <w:p>
                  <w:pPr>
                    <w:autoSpaceDN w:val="0"/>
                    <w:jc w:val="center"/>
                    <w:textAlignment w:val="center"/>
                    <w:rPr>
                      <w:szCs w:val="21"/>
                    </w:rPr>
                  </w:pPr>
                  <w:r>
                    <w:rPr>
                      <w:szCs w:val="21"/>
                    </w:rPr>
                    <w:t>预测值</w:t>
                  </w:r>
                </w:p>
              </w:tc>
              <w:tc>
                <w:tcPr>
                  <w:tcW w:w="1868" w:type="pct"/>
                  <w:gridSpan w:val="4"/>
                  <w:vAlign w:val="center"/>
                </w:tcPr>
                <w:p>
                  <w:pPr>
                    <w:autoSpaceDN w:val="0"/>
                    <w:jc w:val="center"/>
                    <w:textAlignment w:val="center"/>
                    <w:rPr>
                      <w:szCs w:val="21"/>
                    </w:rPr>
                  </w:pPr>
                  <w:r>
                    <w:rPr>
                      <w:szCs w:val="21"/>
                    </w:rPr>
                    <w:t>昼间</w:t>
                  </w:r>
                </w:p>
              </w:tc>
              <w:tc>
                <w:tcPr>
                  <w:tcW w:w="419" w:type="pct"/>
                  <w:vAlign w:val="center"/>
                </w:tcPr>
                <w:p>
                  <w:pPr>
                    <w:autoSpaceDN w:val="0"/>
                    <w:jc w:val="center"/>
                    <w:textAlignment w:val="center"/>
                    <w:rPr>
                      <w:rFonts w:hint="default" w:eastAsia="宋体"/>
                      <w:szCs w:val="21"/>
                      <w:lang w:val="en-US" w:eastAsia="zh-CN"/>
                    </w:rPr>
                  </w:pPr>
                  <w:r>
                    <w:rPr>
                      <w:rFonts w:hint="eastAsia"/>
                      <w:szCs w:val="21"/>
                      <w:lang w:val="en-US" w:eastAsia="zh-CN"/>
                    </w:rPr>
                    <w:t>56.7</w:t>
                  </w:r>
                </w:p>
              </w:tc>
              <w:tc>
                <w:tcPr>
                  <w:tcW w:w="505" w:type="pct"/>
                  <w:vAlign w:val="center"/>
                </w:tcPr>
                <w:p>
                  <w:pPr>
                    <w:autoSpaceDN w:val="0"/>
                    <w:jc w:val="center"/>
                    <w:textAlignment w:val="center"/>
                    <w:rPr>
                      <w:rFonts w:hint="default" w:eastAsia="宋体"/>
                      <w:szCs w:val="21"/>
                      <w:lang w:val="en-US" w:eastAsia="zh-CN"/>
                    </w:rPr>
                  </w:pPr>
                  <w:r>
                    <w:rPr>
                      <w:rFonts w:hint="eastAsia"/>
                      <w:szCs w:val="21"/>
                      <w:lang w:val="en-US" w:eastAsia="zh-CN"/>
                    </w:rPr>
                    <w:t>57.7</w:t>
                  </w:r>
                </w:p>
              </w:tc>
              <w:tc>
                <w:tcPr>
                  <w:tcW w:w="505" w:type="pct"/>
                  <w:vAlign w:val="center"/>
                </w:tcPr>
                <w:p>
                  <w:pPr>
                    <w:autoSpaceDN w:val="0"/>
                    <w:jc w:val="center"/>
                    <w:textAlignment w:val="center"/>
                    <w:rPr>
                      <w:rFonts w:hint="default" w:eastAsia="宋体"/>
                      <w:szCs w:val="21"/>
                      <w:lang w:val="en-US" w:eastAsia="zh-CN"/>
                    </w:rPr>
                  </w:pPr>
                  <w:r>
                    <w:rPr>
                      <w:rFonts w:hint="eastAsia"/>
                      <w:szCs w:val="21"/>
                      <w:lang w:val="en-US" w:eastAsia="zh-CN"/>
                    </w:rPr>
                    <w:t>55.3</w:t>
                  </w:r>
                </w:p>
              </w:tc>
              <w:tc>
                <w:tcPr>
                  <w:tcW w:w="547" w:type="pct"/>
                  <w:vAlign w:val="center"/>
                </w:tcPr>
                <w:p>
                  <w:pPr>
                    <w:autoSpaceDN w:val="0"/>
                    <w:jc w:val="center"/>
                    <w:textAlignment w:val="center"/>
                    <w:rPr>
                      <w:rFonts w:hint="default" w:eastAsia="宋体"/>
                      <w:szCs w:val="21"/>
                      <w:lang w:val="en-US" w:eastAsia="zh-CN"/>
                    </w:rPr>
                  </w:pPr>
                  <w:r>
                    <w:rPr>
                      <w:rFonts w:hint="eastAsia"/>
                      <w:szCs w:val="21"/>
                      <w:lang w:val="en-US" w:eastAsia="zh-CN"/>
                    </w:rPr>
                    <w:t>56.4</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3" w:hRule="atLeast"/>
                <w:jc w:val="center"/>
              </w:trPr>
              <w:tc>
                <w:tcPr>
                  <w:tcW w:w="1153" w:type="pct"/>
                  <w:gridSpan w:val="2"/>
                  <w:vAlign w:val="center"/>
                </w:tcPr>
                <w:p>
                  <w:pPr>
                    <w:autoSpaceDN w:val="0"/>
                    <w:jc w:val="center"/>
                    <w:textAlignment w:val="center"/>
                    <w:rPr>
                      <w:szCs w:val="21"/>
                    </w:rPr>
                  </w:pPr>
                  <w:r>
                    <w:rPr>
                      <w:szCs w:val="21"/>
                    </w:rPr>
                    <w:t>标准值</w:t>
                  </w:r>
                </w:p>
              </w:tc>
              <w:tc>
                <w:tcPr>
                  <w:tcW w:w="1868" w:type="pct"/>
                  <w:gridSpan w:val="4"/>
                  <w:vAlign w:val="center"/>
                </w:tcPr>
                <w:p>
                  <w:pPr>
                    <w:autoSpaceDN w:val="0"/>
                    <w:jc w:val="center"/>
                    <w:textAlignment w:val="center"/>
                    <w:rPr>
                      <w:szCs w:val="21"/>
                    </w:rPr>
                  </w:pPr>
                  <w:r>
                    <w:rPr>
                      <w:szCs w:val="21"/>
                    </w:rPr>
                    <w:t>昼间</w:t>
                  </w:r>
                </w:p>
              </w:tc>
              <w:tc>
                <w:tcPr>
                  <w:tcW w:w="419" w:type="pct"/>
                  <w:vAlign w:val="center"/>
                </w:tcPr>
                <w:p>
                  <w:pPr>
                    <w:autoSpaceDN w:val="0"/>
                    <w:jc w:val="center"/>
                    <w:textAlignment w:val="center"/>
                    <w:rPr>
                      <w:szCs w:val="21"/>
                    </w:rPr>
                  </w:pPr>
                  <w:r>
                    <w:rPr>
                      <w:szCs w:val="21"/>
                    </w:rPr>
                    <w:t>6</w:t>
                  </w:r>
                  <w:r>
                    <w:rPr>
                      <w:rFonts w:hint="eastAsia"/>
                      <w:szCs w:val="21"/>
                    </w:rPr>
                    <w:t>5</w:t>
                  </w:r>
                </w:p>
              </w:tc>
              <w:tc>
                <w:tcPr>
                  <w:tcW w:w="505" w:type="pct"/>
                  <w:vAlign w:val="center"/>
                </w:tcPr>
                <w:p>
                  <w:pPr>
                    <w:autoSpaceDN w:val="0"/>
                    <w:jc w:val="center"/>
                    <w:textAlignment w:val="center"/>
                    <w:rPr>
                      <w:szCs w:val="21"/>
                    </w:rPr>
                  </w:pPr>
                  <w:r>
                    <w:rPr>
                      <w:szCs w:val="21"/>
                    </w:rPr>
                    <w:t>6</w:t>
                  </w:r>
                  <w:r>
                    <w:rPr>
                      <w:rFonts w:hint="eastAsia"/>
                      <w:szCs w:val="21"/>
                    </w:rPr>
                    <w:t>5</w:t>
                  </w:r>
                </w:p>
              </w:tc>
              <w:tc>
                <w:tcPr>
                  <w:tcW w:w="505" w:type="pct"/>
                  <w:vAlign w:val="center"/>
                </w:tcPr>
                <w:p>
                  <w:pPr>
                    <w:autoSpaceDN w:val="0"/>
                    <w:jc w:val="center"/>
                    <w:textAlignment w:val="center"/>
                    <w:rPr>
                      <w:szCs w:val="21"/>
                    </w:rPr>
                  </w:pPr>
                  <w:r>
                    <w:rPr>
                      <w:szCs w:val="21"/>
                    </w:rPr>
                    <w:t>6</w:t>
                  </w:r>
                  <w:r>
                    <w:rPr>
                      <w:rFonts w:hint="eastAsia"/>
                      <w:szCs w:val="21"/>
                    </w:rPr>
                    <w:t>5</w:t>
                  </w:r>
                </w:p>
              </w:tc>
              <w:tc>
                <w:tcPr>
                  <w:tcW w:w="547" w:type="pct"/>
                  <w:vAlign w:val="center"/>
                </w:tcPr>
                <w:p>
                  <w:pPr>
                    <w:autoSpaceDN w:val="0"/>
                    <w:jc w:val="center"/>
                    <w:textAlignment w:val="center"/>
                    <w:rPr>
                      <w:szCs w:val="21"/>
                    </w:rPr>
                  </w:pPr>
                  <w:r>
                    <w:rPr>
                      <w:rFonts w:hint="eastAsia"/>
                      <w:szCs w:val="21"/>
                    </w:rPr>
                    <w:t>65</w:t>
                  </w:r>
                </w:p>
              </w:tc>
            </w:tr>
          </w:tbl>
          <w:p>
            <w:pPr>
              <w:widowControl/>
              <w:spacing w:line="470" w:lineRule="exact"/>
              <w:ind w:firstLine="480" w:firstLineChars="200"/>
              <w:jc w:val="left"/>
              <w:rPr>
                <w:color w:val="000000"/>
                <w:kern w:val="0"/>
                <w:sz w:val="24"/>
              </w:rPr>
            </w:pPr>
            <w:r>
              <w:rPr>
                <w:color w:val="000000"/>
                <w:kern w:val="0"/>
                <w:sz w:val="24"/>
              </w:rPr>
              <w:t>由</w:t>
            </w:r>
            <w:r>
              <w:rPr>
                <w:rFonts w:hint="eastAsia"/>
                <w:color w:val="000000"/>
                <w:kern w:val="0"/>
                <w:sz w:val="24"/>
              </w:rPr>
              <w:t>上表</w:t>
            </w:r>
            <w:r>
              <w:rPr>
                <w:color w:val="000000"/>
                <w:kern w:val="0"/>
                <w:sz w:val="24"/>
              </w:rPr>
              <w:t>可知，由于本项目大部分噪声源均布置在室内，且主要噪声设备位于厂房内。本项目运行后厂界边界噪声预</w:t>
            </w:r>
            <w:r>
              <w:rPr>
                <w:color w:val="0D0D0D"/>
                <w:kern w:val="0"/>
                <w:sz w:val="24"/>
              </w:rPr>
              <w:t>测排放值为</w:t>
            </w:r>
            <w:r>
              <w:rPr>
                <w:rFonts w:hint="eastAsia"/>
                <w:color w:val="0D0D0D"/>
                <w:kern w:val="0"/>
                <w:sz w:val="24"/>
              </w:rPr>
              <w:t>5</w:t>
            </w:r>
            <w:r>
              <w:rPr>
                <w:rFonts w:hint="eastAsia"/>
                <w:color w:val="0D0D0D"/>
                <w:kern w:val="0"/>
                <w:sz w:val="24"/>
                <w:lang w:val="en-US" w:eastAsia="zh-CN"/>
              </w:rPr>
              <w:t>5</w:t>
            </w:r>
            <w:r>
              <w:rPr>
                <w:rFonts w:hint="eastAsia"/>
                <w:color w:val="0D0D0D"/>
                <w:kern w:val="0"/>
                <w:sz w:val="24"/>
              </w:rPr>
              <w:t>.</w:t>
            </w:r>
            <w:r>
              <w:rPr>
                <w:rFonts w:hint="eastAsia"/>
                <w:color w:val="0D0D0D"/>
                <w:kern w:val="0"/>
                <w:sz w:val="24"/>
                <w:lang w:val="en-US" w:eastAsia="zh-CN"/>
              </w:rPr>
              <w:t>3</w:t>
            </w:r>
            <w:r>
              <w:rPr>
                <w:color w:val="0D0D0D"/>
                <w:kern w:val="0"/>
                <w:sz w:val="24"/>
              </w:rPr>
              <w:t>～</w:t>
            </w:r>
            <w:r>
              <w:rPr>
                <w:rFonts w:hint="eastAsia"/>
                <w:color w:val="0D0D0D"/>
                <w:kern w:val="0"/>
                <w:sz w:val="24"/>
              </w:rPr>
              <w:t>5</w:t>
            </w:r>
            <w:r>
              <w:rPr>
                <w:rFonts w:hint="eastAsia"/>
                <w:color w:val="0D0D0D"/>
                <w:kern w:val="0"/>
                <w:sz w:val="24"/>
                <w:lang w:val="en-US" w:eastAsia="zh-CN"/>
              </w:rPr>
              <w:t>7</w:t>
            </w:r>
            <w:r>
              <w:rPr>
                <w:rFonts w:hint="eastAsia"/>
                <w:color w:val="0D0D0D"/>
                <w:kern w:val="0"/>
                <w:sz w:val="24"/>
              </w:rPr>
              <w:t>.7</w:t>
            </w:r>
            <w:r>
              <w:rPr>
                <w:color w:val="0D0D0D"/>
                <w:kern w:val="0"/>
                <w:sz w:val="24"/>
              </w:rPr>
              <w:t>dB(A)，故本项目实施后其昼间噪声排放可以达到GB12348-2008《工业企业厂界环境噪声排放标准》3</w:t>
            </w:r>
            <w:r>
              <w:rPr>
                <w:color w:val="000000"/>
                <w:kern w:val="0"/>
                <w:sz w:val="24"/>
              </w:rPr>
              <w:t>类标准要求；项目生产采用单班制运作，夜间不生产，因此夜间不对周边声环境产生影响。</w:t>
            </w:r>
          </w:p>
          <w:p>
            <w:pPr>
              <w:widowControl/>
              <w:spacing w:line="470" w:lineRule="exact"/>
              <w:ind w:firstLine="480" w:firstLineChars="200"/>
              <w:jc w:val="left"/>
              <w:rPr>
                <w:kern w:val="0"/>
                <w:sz w:val="24"/>
              </w:rPr>
            </w:pPr>
            <w:r>
              <w:rPr>
                <w:color w:val="000000"/>
                <w:kern w:val="0"/>
                <w:sz w:val="24"/>
              </w:rPr>
              <w:t>根据预测结果，拟建项目正常运营时，其厂界环境噪声能做到达标排放，因此</w:t>
            </w:r>
            <w:r>
              <w:rPr>
                <w:kern w:val="0"/>
                <w:sz w:val="24"/>
              </w:rPr>
              <w:t>拟建项目实施后对周围声环境的影响很小。</w:t>
            </w:r>
          </w:p>
          <w:p>
            <w:pPr>
              <w:autoSpaceDE w:val="0"/>
              <w:autoSpaceDN w:val="0"/>
              <w:adjustRightInd w:val="0"/>
              <w:spacing w:line="360" w:lineRule="auto"/>
              <w:ind w:firstLine="482" w:firstLineChars="200"/>
              <w:jc w:val="left"/>
              <w:rPr>
                <w:b/>
                <w:color w:val="000000"/>
                <w:kern w:val="0"/>
                <w:sz w:val="24"/>
              </w:rPr>
            </w:pPr>
            <w:r>
              <w:rPr>
                <w:rFonts w:hint="eastAsia"/>
                <w:b/>
                <w:color w:val="000000"/>
                <w:kern w:val="0"/>
                <w:sz w:val="24"/>
              </w:rPr>
              <w:t>4、噪声污染防治措施</w:t>
            </w:r>
          </w:p>
          <w:p>
            <w:pPr>
              <w:spacing w:line="360" w:lineRule="auto"/>
              <w:ind w:firstLine="480" w:firstLineChars="200"/>
              <w:rPr>
                <w:color w:val="000000"/>
                <w:sz w:val="24"/>
              </w:rPr>
            </w:pPr>
            <w:r>
              <w:rPr>
                <w:color w:val="000000"/>
                <w:sz w:val="24"/>
              </w:rPr>
              <w:t>本项目噪声源经相应的降噪措施处理后通过建筑物门窗、墙壁的吸收、屏蔽及阻挡作用，将会大幅度地衰减。具体可采取的治理措施如下：</w:t>
            </w:r>
          </w:p>
          <w:p>
            <w:pPr>
              <w:spacing w:line="360" w:lineRule="auto"/>
              <w:ind w:firstLine="480" w:firstLineChars="200"/>
              <w:rPr>
                <w:color w:val="000000"/>
                <w:sz w:val="24"/>
              </w:rPr>
            </w:pPr>
            <w:r>
              <w:rPr>
                <w:color w:val="000000"/>
                <w:sz w:val="24"/>
              </w:rPr>
              <w:t>（1）合理布局：项目将高噪声设备尽量布置在厂</w:t>
            </w:r>
            <w:r>
              <w:rPr>
                <w:rFonts w:hint="eastAsia"/>
                <w:color w:val="000000"/>
                <w:sz w:val="24"/>
                <w:lang w:val="en-US" w:eastAsia="zh-CN"/>
              </w:rPr>
              <w:t>房内</w:t>
            </w:r>
            <w:r>
              <w:rPr>
                <w:color w:val="000000"/>
                <w:sz w:val="24"/>
              </w:rPr>
              <w:t>，通过距离衰减减轻噪声对外环境的影响。</w:t>
            </w:r>
          </w:p>
          <w:p>
            <w:pPr>
              <w:spacing w:line="360" w:lineRule="auto"/>
              <w:ind w:firstLine="480" w:firstLineChars="200"/>
              <w:rPr>
                <w:color w:val="000000"/>
                <w:sz w:val="24"/>
              </w:rPr>
            </w:pPr>
            <w:r>
              <w:rPr>
                <w:color w:val="000000"/>
                <w:sz w:val="24"/>
              </w:rPr>
              <w:t>（2）选择低噪声设备：项目在满足工艺设计的前提下，尽量选用满足国际标准的低噪声、低振动型号的设备，降低噪声源强。</w:t>
            </w:r>
          </w:p>
          <w:p>
            <w:pPr>
              <w:spacing w:line="360" w:lineRule="auto"/>
              <w:ind w:firstLine="480" w:firstLineChars="200"/>
              <w:rPr>
                <w:color w:val="000000"/>
                <w:sz w:val="24"/>
              </w:rPr>
            </w:pPr>
            <w:r>
              <w:rPr>
                <w:color w:val="000000"/>
                <w:sz w:val="24"/>
              </w:rPr>
              <w:t>（3）隔声、减震或加消声器：建设单位根据噪声产生的性质可分为机械运动噪声，根据其产生的性质和机理不同分别采用了隔声、减振等方式进行了降噪处理。通过安装减震垫或者隔声门窗来达到降低噪声的目的。</w:t>
            </w:r>
          </w:p>
          <w:p>
            <w:pPr>
              <w:spacing w:line="360" w:lineRule="auto"/>
              <w:ind w:firstLine="480" w:firstLineChars="200"/>
              <w:rPr>
                <w:color w:val="000000"/>
                <w:sz w:val="24"/>
              </w:rPr>
            </w:pPr>
            <w:r>
              <w:rPr>
                <w:color w:val="000000"/>
                <w:sz w:val="24"/>
              </w:rPr>
              <w:t>（4）强化生产管理：确保降噪设施的有效运行，并加强对生产设备的保养、检修与润滑，保证设备处于良好的运转状态。</w:t>
            </w:r>
          </w:p>
          <w:p>
            <w:pPr>
              <w:spacing w:line="360" w:lineRule="auto"/>
              <w:ind w:firstLine="480" w:firstLineChars="200"/>
              <w:rPr>
                <w:szCs w:val="21"/>
              </w:rPr>
            </w:pPr>
            <w:r>
              <w:rPr>
                <w:color w:val="000000"/>
                <w:sz w:val="24"/>
              </w:rPr>
              <w:t>经上述治理措施后，可满足保护操作工人的身心健康需要，加上围墙隔音及距离衰减，能够做到厂界达标。</w:t>
            </w:r>
          </w:p>
          <w:p>
            <w:pPr>
              <w:adjustRightInd w:val="0"/>
              <w:snapToGrid w:val="0"/>
              <w:spacing w:line="360" w:lineRule="auto"/>
              <w:ind w:firstLine="442" w:firstLineChars="200"/>
              <w:rPr>
                <w:rFonts w:cs="宋体"/>
                <w:b/>
                <w:spacing w:val="-10"/>
                <w:sz w:val="24"/>
              </w:rPr>
            </w:pPr>
            <w:r>
              <w:rPr>
                <w:rFonts w:hint="eastAsia" w:cs="宋体"/>
                <w:b/>
                <w:spacing w:val="-10"/>
                <w:sz w:val="24"/>
              </w:rPr>
              <w:t>四、固体废物环境影响和保护措施</w:t>
            </w:r>
          </w:p>
          <w:p>
            <w:pPr>
              <w:adjustRightInd w:val="0"/>
              <w:snapToGrid w:val="0"/>
              <w:spacing w:line="360" w:lineRule="auto"/>
              <w:ind w:firstLine="442" w:firstLineChars="200"/>
              <w:rPr>
                <w:rFonts w:cs="宋体"/>
                <w:b/>
                <w:spacing w:val="-10"/>
                <w:sz w:val="24"/>
              </w:rPr>
            </w:pPr>
            <w:r>
              <w:rPr>
                <w:rFonts w:hint="eastAsia" w:cs="宋体"/>
                <w:b/>
                <w:spacing w:val="-10"/>
                <w:sz w:val="24"/>
              </w:rPr>
              <w:t>1、固体废物产生情况</w:t>
            </w:r>
          </w:p>
          <w:p>
            <w:pPr>
              <w:spacing w:line="360" w:lineRule="auto"/>
              <w:ind w:firstLine="482"/>
              <w:rPr>
                <w:rFonts w:ascii="Times New Roman" w:hAnsi="Times New Roman"/>
                <w:color w:val="000000"/>
                <w:sz w:val="24"/>
              </w:rPr>
            </w:pPr>
            <w:r>
              <w:rPr>
                <w:rFonts w:hint="eastAsia"/>
                <w:color w:val="000000"/>
                <w:sz w:val="24"/>
              </w:rPr>
              <w:t>本</w:t>
            </w:r>
            <w:r>
              <w:rPr>
                <w:color w:val="000000"/>
                <w:sz w:val="24"/>
              </w:rPr>
              <w:t>项目产生的固体废物包括</w:t>
            </w:r>
            <w:r>
              <w:rPr>
                <w:rFonts w:ascii="Times New Roman" w:hAnsi="Times New Roman"/>
                <w:color w:val="000000"/>
                <w:sz w:val="24"/>
              </w:rPr>
              <w:t>一般工业固废（</w:t>
            </w:r>
            <w:r>
              <w:rPr>
                <w:rFonts w:hint="eastAsia" w:ascii="Times New Roman" w:hAnsi="Times New Roman"/>
                <w:color w:val="000000"/>
                <w:sz w:val="24"/>
                <w:lang w:val="en-US" w:eastAsia="zh-CN"/>
              </w:rPr>
              <w:t>沉渣</w:t>
            </w:r>
            <w:r>
              <w:rPr>
                <w:rFonts w:ascii="Times New Roman" w:hAnsi="Times New Roman"/>
                <w:color w:val="000000"/>
                <w:sz w:val="24"/>
              </w:rPr>
              <w:t>），危险固废（废</w:t>
            </w:r>
            <w:r>
              <w:rPr>
                <w:rFonts w:hint="eastAsia" w:ascii="Times New Roman" w:hAnsi="Times New Roman"/>
                <w:color w:val="000000"/>
                <w:sz w:val="24"/>
              </w:rPr>
              <w:t>润滑油</w:t>
            </w:r>
            <w:r>
              <w:rPr>
                <w:rFonts w:hint="eastAsia" w:ascii="Times New Roman" w:hAnsi="Times New Roman"/>
                <w:color w:val="000000"/>
                <w:sz w:val="24"/>
                <w:lang w:eastAsia="zh-CN"/>
              </w:rPr>
              <w:t>、</w:t>
            </w:r>
            <w:r>
              <w:rPr>
                <w:rFonts w:hint="eastAsia" w:ascii="Times New Roman" w:hAnsi="Times New Roman"/>
                <w:color w:val="000000"/>
                <w:sz w:val="24"/>
                <w:lang w:val="en-US" w:eastAsia="zh-CN"/>
              </w:rPr>
              <w:t>废油桶</w:t>
            </w:r>
            <w:r>
              <w:rPr>
                <w:rFonts w:hint="eastAsia"/>
                <w:color w:val="000000"/>
                <w:sz w:val="24"/>
                <w:lang w:val="en-US" w:eastAsia="zh-CN"/>
              </w:rPr>
              <w:t>和</w:t>
            </w:r>
            <w:r>
              <w:rPr>
                <w:rFonts w:hint="eastAsia"/>
                <w:color w:val="000000"/>
                <w:sz w:val="24"/>
              </w:rPr>
              <w:t>废含油手套、抹布</w:t>
            </w:r>
            <w:r>
              <w:rPr>
                <w:rFonts w:ascii="Times New Roman" w:hAnsi="Times New Roman"/>
                <w:color w:val="000000"/>
                <w:sz w:val="24"/>
              </w:rPr>
              <w:t>）。</w:t>
            </w:r>
          </w:p>
          <w:p>
            <w:pPr>
              <w:widowControl/>
              <w:spacing w:line="360" w:lineRule="auto"/>
              <w:ind w:firstLine="480" w:firstLineChars="200"/>
              <w:rPr>
                <w:rFonts w:hint="eastAsia" w:ascii="Times New Roman" w:hAnsi="Times New Roman"/>
                <w:color w:val="000000"/>
                <w:sz w:val="24"/>
                <w:szCs w:val="22"/>
                <w:lang w:val="en-US" w:eastAsia="zh-CN"/>
              </w:rPr>
            </w:pPr>
            <w:r>
              <w:rPr>
                <w:rFonts w:hint="eastAsia"/>
                <w:color w:val="000000"/>
                <w:sz w:val="24"/>
                <w:szCs w:val="22"/>
                <w:lang w:val="en-US" w:eastAsia="zh-CN"/>
              </w:rPr>
              <w:t>（1）</w:t>
            </w:r>
            <w:r>
              <w:rPr>
                <w:rFonts w:hint="eastAsia" w:ascii="Times New Roman" w:hAnsi="Times New Roman"/>
                <w:color w:val="000000"/>
                <w:sz w:val="24"/>
                <w:szCs w:val="22"/>
                <w:lang w:val="en-US" w:eastAsia="zh-CN"/>
              </w:rPr>
              <w:t>污水处理沉渣</w:t>
            </w:r>
          </w:p>
          <w:p>
            <w:pPr>
              <w:widowControl/>
              <w:spacing w:line="360" w:lineRule="auto"/>
              <w:ind w:firstLine="480" w:firstLineChars="200"/>
              <w:rPr>
                <w:rFonts w:hint="default" w:ascii="Times New Roman" w:hAnsi="Times New Roman"/>
                <w:color w:val="000000"/>
                <w:sz w:val="24"/>
                <w:szCs w:val="22"/>
                <w:lang w:val="en-US" w:eastAsia="zh-CN"/>
              </w:rPr>
            </w:pPr>
            <w:r>
              <w:rPr>
                <w:rFonts w:ascii="Times New Roman" w:hAnsi="Times New Roman"/>
                <w:color w:val="000000"/>
                <w:sz w:val="24"/>
                <w:szCs w:val="22"/>
              </w:rPr>
              <w:t>本项目</w:t>
            </w:r>
            <w:r>
              <w:rPr>
                <w:rFonts w:hint="eastAsia" w:ascii="Times New Roman" w:hAnsi="Times New Roman"/>
                <w:color w:val="000000"/>
                <w:sz w:val="24"/>
                <w:szCs w:val="22"/>
                <w:lang w:val="en-US" w:eastAsia="zh-CN"/>
              </w:rPr>
              <w:t>污水处理沉渣(含水率30%)</w:t>
            </w:r>
            <w:r>
              <w:rPr>
                <w:rFonts w:ascii="Times New Roman" w:hAnsi="Times New Roman"/>
                <w:color w:val="000000"/>
                <w:sz w:val="24"/>
                <w:szCs w:val="22"/>
              </w:rPr>
              <w:t>产生量为</w:t>
            </w:r>
            <w:r>
              <w:rPr>
                <w:rFonts w:hint="eastAsia" w:ascii="Times New Roman" w:hAnsi="Times New Roman"/>
                <w:color w:val="000000"/>
                <w:sz w:val="24"/>
                <w:szCs w:val="22"/>
                <w:highlight w:val="none"/>
                <w:lang w:val="en-US" w:eastAsia="zh-CN"/>
              </w:rPr>
              <w:t>14</w:t>
            </w:r>
            <w:r>
              <w:rPr>
                <w:rFonts w:hint="eastAsia"/>
                <w:color w:val="000000"/>
                <w:sz w:val="24"/>
                <w:szCs w:val="22"/>
                <w:highlight w:val="none"/>
                <w:lang w:val="en-US" w:eastAsia="zh-CN"/>
              </w:rPr>
              <w:t>143</w:t>
            </w:r>
            <w:r>
              <w:rPr>
                <w:rFonts w:hint="eastAsia" w:ascii="Times New Roman" w:hAnsi="Times New Roman"/>
                <w:color w:val="000000"/>
                <w:sz w:val="24"/>
                <w:szCs w:val="22"/>
                <w:highlight w:val="none"/>
                <w:lang w:val="en-US" w:eastAsia="zh-CN"/>
              </w:rPr>
              <w:t>.</w:t>
            </w:r>
            <w:r>
              <w:rPr>
                <w:rFonts w:hint="eastAsia"/>
                <w:color w:val="000000"/>
                <w:sz w:val="24"/>
                <w:szCs w:val="22"/>
                <w:highlight w:val="none"/>
                <w:lang w:val="en-US" w:eastAsia="zh-CN"/>
              </w:rPr>
              <w:t>6</w:t>
            </w:r>
            <w:r>
              <w:rPr>
                <w:rFonts w:hint="eastAsia" w:ascii="Times New Roman" w:hAnsi="Times New Roman"/>
                <w:color w:val="000000"/>
                <w:sz w:val="24"/>
                <w:szCs w:val="22"/>
                <w:highlight w:val="none"/>
                <w:lang w:val="en-US" w:eastAsia="zh-CN"/>
              </w:rPr>
              <w:t>t/a</w:t>
            </w:r>
            <w:r>
              <w:rPr>
                <w:rFonts w:hint="eastAsia" w:ascii="Times New Roman" w:hAnsi="Times New Roman"/>
                <w:color w:val="000000"/>
                <w:sz w:val="24"/>
                <w:szCs w:val="22"/>
                <w:lang w:val="en-US" w:eastAsia="zh-CN"/>
              </w:rPr>
              <w:t>，</w:t>
            </w:r>
            <w:r>
              <w:rPr>
                <w:rFonts w:hint="eastAsia"/>
                <w:color w:val="000000"/>
                <w:sz w:val="24"/>
                <w:szCs w:val="22"/>
                <w:lang w:val="en-US" w:eastAsia="zh-CN"/>
              </w:rPr>
              <w:t>经鉴定不属于危险废物，作为一般工业固废</w:t>
            </w:r>
            <w:r>
              <w:rPr>
                <w:rFonts w:hint="eastAsia" w:ascii="Times New Roman" w:hAnsi="Times New Roman"/>
                <w:color w:val="000000"/>
                <w:sz w:val="24"/>
                <w:szCs w:val="22"/>
                <w:lang w:val="en-US" w:eastAsia="zh-CN"/>
              </w:rPr>
              <w:t>收集后外售</w:t>
            </w:r>
            <w:r>
              <w:rPr>
                <w:rFonts w:hint="eastAsia"/>
                <w:color w:val="000000"/>
                <w:sz w:val="24"/>
                <w:szCs w:val="22"/>
                <w:lang w:val="en-US" w:eastAsia="zh-CN"/>
              </w:rPr>
              <w:t>处理</w:t>
            </w:r>
            <w:r>
              <w:rPr>
                <w:rFonts w:hint="eastAsia" w:ascii="Times New Roman" w:hAnsi="Times New Roman"/>
                <w:color w:val="000000"/>
                <w:sz w:val="24"/>
                <w:szCs w:val="22"/>
                <w:lang w:val="en-US" w:eastAsia="zh-CN"/>
              </w:rPr>
              <w:t>。</w:t>
            </w:r>
          </w:p>
          <w:p>
            <w:pPr>
              <w:widowControl/>
              <w:spacing w:line="360" w:lineRule="auto"/>
              <w:ind w:firstLine="480" w:firstLineChars="200"/>
              <w:rPr>
                <w:rFonts w:hint="eastAsia" w:ascii="Times New Roman" w:hAnsi="Times New Roman" w:eastAsia="宋体"/>
                <w:color w:val="auto"/>
                <w:sz w:val="24"/>
                <w:szCs w:val="22"/>
                <w:lang w:eastAsia="zh-CN"/>
              </w:rPr>
            </w:pPr>
            <w:r>
              <w:rPr>
                <w:rFonts w:hint="eastAsia"/>
                <w:color w:val="auto"/>
                <w:sz w:val="24"/>
                <w:lang w:eastAsia="zh-CN"/>
              </w:rPr>
              <w:t>（</w:t>
            </w:r>
            <w:r>
              <w:rPr>
                <w:rFonts w:hint="eastAsia"/>
                <w:color w:val="auto"/>
                <w:sz w:val="24"/>
                <w:lang w:val="en-US" w:eastAsia="zh-CN"/>
              </w:rPr>
              <w:t>2</w:t>
            </w:r>
            <w:r>
              <w:rPr>
                <w:rFonts w:hint="eastAsia"/>
                <w:color w:val="auto"/>
                <w:sz w:val="24"/>
                <w:lang w:eastAsia="zh-CN"/>
              </w:rPr>
              <w:t>）</w:t>
            </w:r>
            <w:r>
              <w:rPr>
                <w:rFonts w:ascii="Times New Roman" w:hAnsi="Times New Roman"/>
                <w:color w:val="auto"/>
                <w:sz w:val="24"/>
              </w:rPr>
              <w:t>废</w:t>
            </w:r>
            <w:r>
              <w:rPr>
                <w:rFonts w:hint="eastAsia" w:ascii="Times New Roman" w:hAnsi="Times New Roman"/>
                <w:color w:val="auto"/>
                <w:sz w:val="24"/>
              </w:rPr>
              <w:t>润滑油</w:t>
            </w:r>
            <w:r>
              <w:rPr>
                <w:rFonts w:hint="eastAsia" w:ascii="Times New Roman" w:hAnsi="Times New Roman"/>
                <w:color w:val="auto"/>
                <w:sz w:val="24"/>
                <w:lang w:eastAsia="zh-CN"/>
              </w:rPr>
              <w:t>、</w:t>
            </w:r>
            <w:r>
              <w:rPr>
                <w:rFonts w:hint="eastAsia" w:ascii="Times New Roman" w:hAnsi="Times New Roman"/>
                <w:color w:val="auto"/>
                <w:sz w:val="24"/>
                <w:lang w:val="en-US" w:eastAsia="zh-CN"/>
              </w:rPr>
              <w:t>废油桶</w:t>
            </w:r>
            <w:r>
              <w:rPr>
                <w:rFonts w:hint="eastAsia" w:ascii="Times New Roman" w:hAnsi="Times New Roman" w:eastAsia="宋体" w:cs="Times New Roman"/>
                <w:color w:val="000000"/>
                <w:sz w:val="24"/>
                <w:lang w:val="en-US" w:eastAsia="zh-CN"/>
              </w:rPr>
              <w:t>及</w:t>
            </w:r>
            <w:r>
              <w:rPr>
                <w:rFonts w:hint="eastAsia"/>
                <w:color w:val="000000"/>
                <w:sz w:val="24"/>
              </w:rPr>
              <w:t>废含油手套、抹布</w:t>
            </w:r>
          </w:p>
          <w:p>
            <w:pPr>
              <w:autoSpaceDE w:val="0"/>
              <w:spacing w:line="360" w:lineRule="auto"/>
              <w:ind w:firstLine="480" w:firstLineChars="200"/>
              <w:rPr>
                <w:color w:val="000000"/>
                <w:sz w:val="24"/>
              </w:rPr>
            </w:pPr>
            <w:r>
              <w:rPr>
                <w:rFonts w:ascii="Times New Roman" w:hAnsi="Times New Roman"/>
                <w:color w:val="000000"/>
                <w:sz w:val="24"/>
                <w:szCs w:val="22"/>
              </w:rPr>
              <w:t>本项目使用的</w:t>
            </w:r>
            <w:r>
              <w:rPr>
                <w:rFonts w:hint="eastAsia" w:ascii="Times New Roman" w:hAnsi="Times New Roman"/>
                <w:color w:val="000000"/>
                <w:sz w:val="24"/>
                <w:szCs w:val="22"/>
              </w:rPr>
              <w:t>润滑油</w:t>
            </w:r>
            <w:r>
              <w:rPr>
                <w:rFonts w:ascii="Times New Roman" w:hAnsi="Times New Roman"/>
                <w:color w:val="000000"/>
                <w:sz w:val="24"/>
                <w:szCs w:val="22"/>
              </w:rPr>
              <w:t>为</w:t>
            </w:r>
            <w:r>
              <w:rPr>
                <w:rFonts w:hint="eastAsia" w:ascii="Times New Roman" w:hAnsi="Times New Roman"/>
                <w:color w:val="000000"/>
                <w:sz w:val="24"/>
                <w:szCs w:val="22"/>
                <w:lang w:val="en-US" w:eastAsia="zh-CN"/>
              </w:rPr>
              <w:t>0.</w:t>
            </w:r>
            <w:r>
              <w:rPr>
                <w:rFonts w:hint="eastAsia"/>
                <w:color w:val="000000"/>
                <w:sz w:val="24"/>
                <w:szCs w:val="22"/>
                <w:lang w:val="en-US" w:eastAsia="zh-CN"/>
              </w:rPr>
              <w:t>2</w:t>
            </w:r>
            <w:r>
              <w:rPr>
                <w:rFonts w:hint="eastAsia" w:ascii="Times New Roman" w:hAnsi="Times New Roman"/>
                <w:color w:val="000000"/>
                <w:sz w:val="24"/>
                <w:szCs w:val="22"/>
                <w:lang w:val="en-US" w:eastAsia="zh-CN"/>
              </w:rPr>
              <w:t>5</w:t>
            </w:r>
            <w:r>
              <w:rPr>
                <w:rFonts w:ascii="Times New Roman" w:hAnsi="Times New Roman"/>
                <w:color w:val="000000"/>
                <w:sz w:val="24"/>
                <w:szCs w:val="22"/>
              </w:rPr>
              <w:t>t/a，产生的废</w:t>
            </w:r>
            <w:r>
              <w:rPr>
                <w:rFonts w:hint="eastAsia" w:ascii="Times New Roman" w:hAnsi="Times New Roman"/>
                <w:color w:val="000000"/>
                <w:sz w:val="24"/>
                <w:szCs w:val="22"/>
              </w:rPr>
              <w:t>润滑油</w:t>
            </w:r>
            <w:r>
              <w:rPr>
                <w:rFonts w:ascii="Times New Roman" w:hAnsi="Times New Roman"/>
                <w:color w:val="000000"/>
                <w:sz w:val="24"/>
                <w:szCs w:val="22"/>
              </w:rPr>
              <w:t>约占使用量的60%，项目产生的废</w:t>
            </w:r>
            <w:r>
              <w:rPr>
                <w:rFonts w:hint="eastAsia" w:ascii="Times New Roman" w:hAnsi="Times New Roman"/>
                <w:color w:val="000000"/>
                <w:sz w:val="24"/>
                <w:szCs w:val="22"/>
              </w:rPr>
              <w:t>润滑油</w:t>
            </w:r>
            <w:r>
              <w:rPr>
                <w:rFonts w:ascii="Times New Roman" w:hAnsi="Times New Roman"/>
                <w:color w:val="000000"/>
                <w:sz w:val="24"/>
                <w:szCs w:val="22"/>
              </w:rPr>
              <w:t>的量约</w:t>
            </w:r>
            <w:r>
              <w:rPr>
                <w:rFonts w:hint="eastAsia" w:ascii="Times New Roman" w:hAnsi="Times New Roman"/>
                <w:color w:val="000000"/>
                <w:sz w:val="24"/>
                <w:szCs w:val="22"/>
                <w:lang w:val="en-US" w:eastAsia="zh-CN"/>
              </w:rPr>
              <w:t>0.</w:t>
            </w:r>
            <w:r>
              <w:rPr>
                <w:rFonts w:hint="eastAsia"/>
                <w:color w:val="000000"/>
                <w:sz w:val="24"/>
                <w:szCs w:val="22"/>
                <w:lang w:val="en-US" w:eastAsia="zh-CN"/>
              </w:rPr>
              <w:t>15</w:t>
            </w:r>
            <w:r>
              <w:rPr>
                <w:rFonts w:ascii="Times New Roman" w:hAnsi="Times New Roman"/>
                <w:color w:val="000000"/>
                <w:sz w:val="24"/>
                <w:szCs w:val="22"/>
              </w:rPr>
              <w:t>t/a。</w:t>
            </w:r>
            <w:r>
              <w:rPr>
                <w:color w:val="000000"/>
                <w:sz w:val="24"/>
              </w:rPr>
              <w:t>废</w:t>
            </w:r>
            <w:r>
              <w:rPr>
                <w:rFonts w:hint="eastAsia"/>
                <w:color w:val="000000"/>
                <w:sz w:val="24"/>
                <w:lang w:val="en-US" w:eastAsia="zh-CN"/>
              </w:rPr>
              <w:t>油</w:t>
            </w:r>
            <w:r>
              <w:rPr>
                <w:color w:val="000000"/>
                <w:sz w:val="24"/>
              </w:rPr>
              <w:t>桶</w:t>
            </w:r>
            <w:r>
              <w:rPr>
                <w:rFonts w:hint="eastAsia"/>
                <w:color w:val="000000"/>
                <w:sz w:val="24"/>
                <w:lang w:val="en-US" w:eastAsia="zh-CN"/>
              </w:rPr>
              <w:t>约</w:t>
            </w:r>
            <w:r>
              <w:rPr>
                <w:rFonts w:hint="eastAsia"/>
                <w:color w:val="000000"/>
                <w:sz w:val="24"/>
              </w:rPr>
              <w:t>为0.</w:t>
            </w:r>
            <w:r>
              <w:rPr>
                <w:rFonts w:hint="eastAsia"/>
                <w:color w:val="000000"/>
                <w:sz w:val="24"/>
                <w:lang w:val="en-US" w:eastAsia="zh-CN"/>
              </w:rPr>
              <w:t>01</w:t>
            </w:r>
            <w:r>
              <w:rPr>
                <w:rFonts w:hint="eastAsia"/>
                <w:color w:val="000000"/>
                <w:sz w:val="24"/>
              </w:rPr>
              <w:t>t/a</w:t>
            </w:r>
            <w:r>
              <w:rPr>
                <w:color w:val="000000"/>
                <w:sz w:val="24"/>
              </w:rPr>
              <w:t>，</w:t>
            </w:r>
            <w:r>
              <w:rPr>
                <w:rFonts w:hint="eastAsia"/>
                <w:color w:val="000000"/>
                <w:sz w:val="24"/>
              </w:rPr>
              <w:t>废含油手套、抹布</w:t>
            </w:r>
            <w:r>
              <w:rPr>
                <w:color w:val="000000"/>
                <w:kern w:val="0"/>
                <w:sz w:val="24"/>
                <w:szCs w:val="20"/>
              </w:rPr>
              <w:t>产生量</w:t>
            </w:r>
            <w:r>
              <w:rPr>
                <w:rFonts w:hint="eastAsia"/>
                <w:color w:val="000000"/>
                <w:kern w:val="0"/>
                <w:sz w:val="24"/>
                <w:szCs w:val="20"/>
                <w:lang w:val="en-US" w:eastAsia="zh-CN"/>
              </w:rPr>
              <w:t>约为</w:t>
            </w:r>
            <w:r>
              <w:rPr>
                <w:rFonts w:hint="eastAsia"/>
                <w:color w:val="000000"/>
                <w:sz w:val="24"/>
              </w:rPr>
              <w:t>0.00</w:t>
            </w:r>
            <w:r>
              <w:rPr>
                <w:rFonts w:hint="eastAsia"/>
                <w:color w:val="000000"/>
                <w:sz w:val="24"/>
                <w:lang w:val="en-US" w:eastAsia="zh-CN"/>
              </w:rPr>
              <w:t>1</w:t>
            </w:r>
            <w:r>
              <w:rPr>
                <w:rFonts w:hint="eastAsia"/>
                <w:color w:val="000000"/>
                <w:sz w:val="24"/>
              </w:rPr>
              <w:t xml:space="preserve"> </w:t>
            </w:r>
            <w:r>
              <w:rPr>
                <w:color w:val="000000"/>
                <w:kern w:val="0"/>
                <w:sz w:val="24"/>
                <w:szCs w:val="20"/>
              </w:rPr>
              <w:t>t/a</w:t>
            </w:r>
            <w:r>
              <w:rPr>
                <w:rFonts w:hint="eastAsia"/>
                <w:color w:val="000000"/>
                <w:kern w:val="0"/>
                <w:sz w:val="24"/>
                <w:szCs w:val="20"/>
                <w:lang w:eastAsia="zh-CN"/>
              </w:rPr>
              <w:t>，</w:t>
            </w:r>
            <w:r>
              <w:rPr>
                <w:color w:val="000000"/>
                <w:sz w:val="24"/>
              </w:rPr>
              <w:t>按《国家危险废物名录</w:t>
            </w:r>
            <w:r>
              <w:rPr>
                <w:rFonts w:hint="eastAsia"/>
                <w:color w:val="000000"/>
                <w:sz w:val="24"/>
              </w:rPr>
              <w:t>（2021年版）</w:t>
            </w:r>
            <w:r>
              <w:rPr>
                <w:color w:val="000000"/>
                <w:sz w:val="24"/>
              </w:rPr>
              <w:t>》，</w:t>
            </w:r>
            <w:r>
              <w:rPr>
                <w:rFonts w:hint="eastAsia"/>
                <w:color w:val="000000"/>
                <w:sz w:val="24"/>
              </w:rPr>
              <w:t>废桶和废油</w:t>
            </w:r>
            <w:r>
              <w:rPr>
                <w:rFonts w:hint="eastAsia"/>
                <w:color w:val="000000"/>
                <w:sz w:val="24"/>
                <w:lang w:eastAsia="zh-CN"/>
              </w:rPr>
              <w:t>、</w:t>
            </w:r>
            <w:r>
              <w:rPr>
                <w:rFonts w:hint="eastAsia"/>
                <w:color w:val="000000"/>
                <w:sz w:val="24"/>
                <w:lang w:val="en-US" w:eastAsia="zh-CN"/>
              </w:rPr>
              <w:t>废含油手套、抹布</w:t>
            </w:r>
            <w:r>
              <w:rPr>
                <w:color w:val="000000"/>
                <w:sz w:val="24"/>
              </w:rPr>
              <w:t>属于危险</w:t>
            </w:r>
            <w:r>
              <w:rPr>
                <w:rFonts w:hint="eastAsia"/>
                <w:color w:val="000000"/>
                <w:sz w:val="24"/>
              </w:rPr>
              <w:t>废物</w:t>
            </w:r>
            <w:r>
              <w:rPr>
                <w:color w:val="000000"/>
                <w:sz w:val="24"/>
              </w:rPr>
              <w:t>（废物类别</w:t>
            </w:r>
            <w:r>
              <w:rPr>
                <w:rFonts w:hint="eastAsia"/>
                <w:color w:val="000000"/>
                <w:sz w:val="24"/>
              </w:rPr>
              <w:t>HW08</w:t>
            </w:r>
            <w:r>
              <w:rPr>
                <w:color w:val="000000"/>
                <w:sz w:val="24"/>
              </w:rPr>
              <w:t>），由资质单位统一处理。</w:t>
            </w:r>
          </w:p>
          <w:p>
            <w:pPr>
              <w:spacing w:line="360" w:lineRule="auto"/>
              <w:ind w:firstLine="480" w:firstLineChars="200"/>
              <w:rPr>
                <w:color w:val="000000"/>
                <w:sz w:val="24"/>
              </w:rPr>
            </w:pPr>
            <w:r>
              <w:rPr>
                <w:color w:val="000000"/>
                <w:sz w:val="24"/>
              </w:rPr>
              <w:t>本项目固体废物产生与处置情况见下表。</w:t>
            </w:r>
          </w:p>
          <w:p>
            <w:pPr>
              <w:ind w:firstLine="482"/>
              <w:jc w:val="center"/>
              <w:rPr>
                <w:b/>
                <w:color w:val="000000"/>
                <w:sz w:val="24"/>
              </w:rPr>
            </w:pPr>
            <w:r>
              <w:rPr>
                <w:b/>
                <w:color w:val="000000"/>
                <w:sz w:val="24"/>
              </w:rPr>
              <w:t>表4-</w:t>
            </w:r>
            <w:r>
              <w:rPr>
                <w:rFonts w:hint="eastAsia"/>
                <w:b/>
                <w:color w:val="000000"/>
                <w:sz w:val="24"/>
              </w:rPr>
              <w:t>3</w:t>
            </w:r>
            <w:r>
              <w:rPr>
                <w:rFonts w:hint="eastAsia"/>
                <w:b/>
                <w:color w:val="000000"/>
                <w:sz w:val="24"/>
                <w:lang w:val="en-US" w:eastAsia="zh-CN"/>
              </w:rPr>
              <w:t xml:space="preserve">  </w:t>
            </w:r>
            <w:r>
              <w:rPr>
                <w:b/>
                <w:color w:val="000000"/>
                <w:sz w:val="24"/>
              </w:rPr>
              <w:t>项目固体废物产生量及处理方式</w:t>
            </w:r>
          </w:p>
          <w:tbl>
            <w:tblPr>
              <w:tblStyle w:val="26"/>
              <w:tblW w:w="490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89"/>
              <w:gridCol w:w="971"/>
              <w:gridCol w:w="1876"/>
              <w:gridCol w:w="1426"/>
              <w:gridCol w:w="1402"/>
              <w:gridCol w:w="125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789" w:type="dxa"/>
                  <w:tcBorders>
                    <w:top w:val="single" w:color="auto" w:sz="12" w:space="0"/>
                    <w:left w:val="nil"/>
                    <w:bottom w:val="single" w:color="auto" w:sz="4" w:space="0"/>
                    <w:right w:val="single" w:color="auto" w:sz="4" w:space="0"/>
                  </w:tcBorders>
                  <w:vAlign w:val="center"/>
                </w:tcPr>
                <w:p>
                  <w:pPr>
                    <w:spacing w:line="240" w:lineRule="atLeast"/>
                    <w:jc w:val="center"/>
                    <w:rPr>
                      <w:b/>
                      <w:bCs/>
                      <w:color w:val="000000"/>
                      <w:spacing w:val="4"/>
                      <w:kern w:val="18"/>
                      <w:szCs w:val="21"/>
                    </w:rPr>
                  </w:pPr>
                  <w:r>
                    <w:rPr>
                      <w:b/>
                      <w:bCs/>
                      <w:color w:val="000000"/>
                      <w:spacing w:val="4"/>
                      <w:kern w:val="18"/>
                      <w:szCs w:val="21"/>
                    </w:rPr>
                    <w:t>序号</w:t>
                  </w:r>
                </w:p>
              </w:tc>
              <w:tc>
                <w:tcPr>
                  <w:tcW w:w="971" w:type="dxa"/>
                  <w:tcBorders>
                    <w:top w:val="single" w:color="auto" w:sz="12" w:space="0"/>
                    <w:left w:val="single" w:color="auto" w:sz="4" w:space="0"/>
                    <w:bottom w:val="single" w:color="auto" w:sz="4" w:space="0"/>
                    <w:right w:val="single" w:color="auto" w:sz="4" w:space="0"/>
                  </w:tcBorders>
                  <w:vAlign w:val="center"/>
                </w:tcPr>
                <w:p>
                  <w:pPr>
                    <w:spacing w:line="240" w:lineRule="atLeast"/>
                    <w:jc w:val="center"/>
                    <w:rPr>
                      <w:b/>
                      <w:bCs/>
                      <w:color w:val="000000"/>
                      <w:spacing w:val="4"/>
                      <w:kern w:val="18"/>
                      <w:szCs w:val="21"/>
                    </w:rPr>
                  </w:pPr>
                  <w:r>
                    <w:rPr>
                      <w:b/>
                      <w:bCs/>
                      <w:color w:val="000000"/>
                      <w:spacing w:val="4"/>
                      <w:kern w:val="18"/>
                      <w:szCs w:val="21"/>
                    </w:rPr>
                    <w:t>名称</w:t>
                  </w:r>
                </w:p>
              </w:tc>
              <w:tc>
                <w:tcPr>
                  <w:tcW w:w="1876" w:type="dxa"/>
                  <w:tcBorders>
                    <w:top w:val="single" w:color="auto" w:sz="12" w:space="0"/>
                    <w:left w:val="single" w:color="auto" w:sz="4" w:space="0"/>
                    <w:bottom w:val="single" w:color="auto" w:sz="4" w:space="0"/>
                    <w:right w:val="single" w:color="auto" w:sz="4" w:space="0"/>
                  </w:tcBorders>
                  <w:vAlign w:val="center"/>
                </w:tcPr>
                <w:p>
                  <w:pPr>
                    <w:spacing w:line="240" w:lineRule="atLeast"/>
                    <w:jc w:val="center"/>
                    <w:rPr>
                      <w:b/>
                      <w:bCs/>
                      <w:color w:val="000000"/>
                      <w:spacing w:val="4"/>
                      <w:kern w:val="18"/>
                      <w:szCs w:val="21"/>
                    </w:rPr>
                  </w:pPr>
                  <w:r>
                    <w:rPr>
                      <w:b/>
                      <w:bCs/>
                      <w:color w:val="000000"/>
                      <w:spacing w:val="4"/>
                      <w:kern w:val="18"/>
                      <w:szCs w:val="21"/>
                    </w:rPr>
                    <w:t>类别及代码</w:t>
                  </w:r>
                </w:p>
              </w:tc>
              <w:tc>
                <w:tcPr>
                  <w:tcW w:w="1426" w:type="dxa"/>
                  <w:tcBorders>
                    <w:top w:val="single" w:color="auto" w:sz="12" w:space="0"/>
                    <w:left w:val="single" w:color="auto" w:sz="4" w:space="0"/>
                    <w:bottom w:val="single" w:color="auto" w:sz="4" w:space="0"/>
                    <w:right w:val="single" w:color="auto" w:sz="4" w:space="0"/>
                  </w:tcBorders>
                  <w:vAlign w:val="center"/>
                </w:tcPr>
                <w:p>
                  <w:pPr>
                    <w:spacing w:line="240" w:lineRule="atLeast"/>
                    <w:jc w:val="center"/>
                    <w:rPr>
                      <w:b/>
                      <w:bCs/>
                      <w:color w:val="000000"/>
                      <w:spacing w:val="4"/>
                      <w:kern w:val="18"/>
                      <w:szCs w:val="21"/>
                    </w:rPr>
                  </w:pPr>
                  <w:r>
                    <w:rPr>
                      <w:b/>
                      <w:bCs/>
                      <w:color w:val="000000"/>
                      <w:spacing w:val="4"/>
                      <w:kern w:val="18"/>
                      <w:szCs w:val="21"/>
                    </w:rPr>
                    <w:t>产生量（t/a）</w:t>
                  </w:r>
                </w:p>
              </w:tc>
              <w:tc>
                <w:tcPr>
                  <w:tcW w:w="1402" w:type="dxa"/>
                  <w:tcBorders>
                    <w:top w:val="single" w:color="auto" w:sz="12" w:space="0"/>
                    <w:left w:val="single" w:color="auto" w:sz="4" w:space="0"/>
                    <w:bottom w:val="single" w:color="auto" w:sz="4" w:space="0"/>
                    <w:right w:val="single" w:color="auto" w:sz="4" w:space="0"/>
                  </w:tcBorders>
                  <w:vAlign w:val="center"/>
                </w:tcPr>
                <w:p>
                  <w:pPr>
                    <w:spacing w:line="240" w:lineRule="atLeast"/>
                    <w:jc w:val="center"/>
                    <w:rPr>
                      <w:b/>
                      <w:bCs/>
                      <w:color w:val="000000"/>
                      <w:spacing w:val="4"/>
                      <w:kern w:val="18"/>
                      <w:szCs w:val="21"/>
                    </w:rPr>
                  </w:pPr>
                  <w:r>
                    <w:rPr>
                      <w:b/>
                      <w:bCs/>
                      <w:color w:val="000000"/>
                      <w:spacing w:val="4"/>
                      <w:kern w:val="18"/>
                      <w:szCs w:val="21"/>
                    </w:rPr>
                    <w:t>处置方式</w:t>
                  </w:r>
                </w:p>
              </w:tc>
              <w:tc>
                <w:tcPr>
                  <w:tcW w:w="1252" w:type="dxa"/>
                  <w:tcBorders>
                    <w:top w:val="single" w:color="auto" w:sz="12" w:space="0"/>
                    <w:left w:val="single" w:color="auto" w:sz="4" w:space="0"/>
                    <w:bottom w:val="single" w:color="auto" w:sz="4" w:space="0"/>
                    <w:right w:val="nil"/>
                  </w:tcBorders>
                  <w:vAlign w:val="center"/>
                </w:tcPr>
                <w:p>
                  <w:pPr>
                    <w:spacing w:line="240" w:lineRule="atLeast"/>
                    <w:jc w:val="center"/>
                    <w:rPr>
                      <w:b/>
                      <w:bCs/>
                      <w:color w:val="000000"/>
                      <w:spacing w:val="4"/>
                      <w:kern w:val="18"/>
                      <w:szCs w:val="21"/>
                    </w:rPr>
                  </w:pPr>
                  <w:r>
                    <w:rPr>
                      <w:b/>
                      <w:bCs/>
                      <w:color w:val="000000"/>
                      <w:spacing w:val="4"/>
                      <w:kern w:val="18"/>
                      <w:szCs w:val="21"/>
                    </w:rPr>
                    <w:t>排放量（t/a）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789" w:type="dxa"/>
                  <w:tcBorders>
                    <w:top w:val="single" w:color="auto" w:sz="4" w:space="0"/>
                    <w:left w:val="nil"/>
                    <w:bottom w:val="single" w:color="auto" w:sz="4" w:space="0"/>
                    <w:right w:val="single" w:color="auto" w:sz="4" w:space="0"/>
                  </w:tcBorders>
                  <w:vAlign w:val="center"/>
                </w:tcPr>
                <w:p>
                  <w:pPr>
                    <w:spacing w:line="240" w:lineRule="atLeast"/>
                    <w:jc w:val="center"/>
                    <w:rPr>
                      <w:color w:val="000000"/>
                      <w:szCs w:val="21"/>
                    </w:rPr>
                  </w:pPr>
                  <w:r>
                    <w:rPr>
                      <w:rFonts w:hint="eastAsia"/>
                      <w:color w:val="000000"/>
                      <w:szCs w:val="21"/>
                    </w:rPr>
                    <w:t>1</w:t>
                  </w:r>
                </w:p>
              </w:tc>
              <w:tc>
                <w:tcPr>
                  <w:tcW w:w="971"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rFonts w:hint="eastAsia" w:eastAsia="宋体"/>
                      <w:color w:val="000000"/>
                      <w:spacing w:val="4"/>
                      <w:kern w:val="18"/>
                      <w:szCs w:val="21"/>
                      <w:lang w:eastAsia="zh-CN"/>
                    </w:rPr>
                  </w:pPr>
                  <w:r>
                    <w:rPr>
                      <w:rFonts w:hint="eastAsia"/>
                      <w:color w:val="000000"/>
                      <w:spacing w:val="4"/>
                      <w:kern w:val="18"/>
                      <w:szCs w:val="21"/>
                      <w:lang w:val="en-US" w:eastAsia="zh-CN"/>
                    </w:rPr>
                    <w:t>沉渣</w:t>
                  </w:r>
                </w:p>
              </w:tc>
              <w:tc>
                <w:tcPr>
                  <w:tcW w:w="1876"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color w:val="000000"/>
                      <w:spacing w:val="4"/>
                      <w:kern w:val="18"/>
                      <w:szCs w:val="21"/>
                    </w:rPr>
                  </w:pPr>
                  <w:r>
                    <w:rPr>
                      <w:color w:val="000000"/>
                      <w:spacing w:val="4"/>
                      <w:kern w:val="18"/>
                      <w:szCs w:val="21"/>
                    </w:rPr>
                    <w:t>一般工业固废</w:t>
                  </w:r>
                </w:p>
              </w:tc>
              <w:tc>
                <w:tcPr>
                  <w:tcW w:w="1426"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rFonts w:hint="default" w:eastAsia="宋体"/>
                      <w:color w:val="000000"/>
                      <w:spacing w:val="4"/>
                      <w:kern w:val="18"/>
                      <w:szCs w:val="21"/>
                      <w:lang w:val="en-US" w:eastAsia="zh-CN"/>
                    </w:rPr>
                  </w:pPr>
                  <w:r>
                    <w:rPr>
                      <w:rFonts w:hint="eastAsia"/>
                      <w:color w:val="000000"/>
                      <w:spacing w:val="4"/>
                      <w:kern w:val="18"/>
                      <w:szCs w:val="21"/>
                      <w:highlight w:val="none"/>
                      <w:lang w:val="en-US" w:eastAsia="zh-CN"/>
                    </w:rPr>
                    <w:t>14143.6</w:t>
                  </w:r>
                </w:p>
              </w:tc>
              <w:tc>
                <w:tcPr>
                  <w:tcW w:w="1402" w:type="dxa"/>
                  <w:tcBorders>
                    <w:top w:val="single" w:color="auto" w:sz="4" w:space="0"/>
                    <w:left w:val="single" w:color="auto" w:sz="4" w:space="0"/>
                    <w:right w:val="single" w:color="auto" w:sz="4" w:space="0"/>
                  </w:tcBorders>
                  <w:vAlign w:val="center"/>
                </w:tcPr>
                <w:p>
                  <w:pPr>
                    <w:spacing w:line="240" w:lineRule="atLeast"/>
                    <w:jc w:val="center"/>
                    <w:rPr>
                      <w:rFonts w:hint="eastAsia" w:eastAsia="宋体"/>
                      <w:color w:val="000000"/>
                      <w:spacing w:val="4"/>
                      <w:kern w:val="18"/>
                      <w:szCs w:val="21"/>
                      <w:lang w:eastAsia="zh-CN"/>
                    </w:rPr>
                  </w:pPr>
                  <w:r>
                    <w:rPr>
                      <w:rFonts w:hint="eastAsia"/>
                      <w:color w:val="000000"/>
                      <w:spacing w:val="4"/>
                      <w:kern w:val="18"/>
                      <w:szCs w:val="21"/>
                      <w:lang w:val="en-US" w:eastAsia="zh-CN"/>
                    </w:rPr>
                    <w:t>外售</w:t>
                  </w:r>
                </w:p>
              </w:tc>
              <w:tc>
                <w:tcPr>
                  <w:tcW w:w="1252" w:type="dxa"/>
                  <w:tcBorders>
                    <w:top w:val="single" w:color="auto" w:sz="4" w:space="0"/>
                    <w:left w:val="single" w:color="auto" w:sz="4" w:space="0"/>
                    <w:bottom w:val="single" w:color="auto" w:sz="4" w:space="0"/>
                    <w:right w:val="nil"/>
                  </w:tcBorders>
                  <w:vAlign w:val="center"/>
                </w:tcPr>
                <w:p>
                  <w:pPr>
                    <w:spacing w:line="240" w:lineRule="atLeast"/>
                    <w:jc w:val="center"/>
                    <w:rPr>
                      <w:color w:val="000000"/>
                      <w:spacing w:val="4"/>
                      <w:kern w:val="18"/>
                      <w:szCs w:val="21"/>
                    </w:rPr>
                  </w:pPr>
                  <w:r>
                    <w:rPr>
                      <w:color w:val="000000"/>
                      <w:spacing w:val="4"/>
                      <w:kern w:val="18"/>
                      <w:szCs w:val="21"/>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789" w:type="dxa"/>
                  <w:tcBorders>
                    <w:top w:val="single" w:color="auto" w:sz="4" w:space="0"/>
                    <w:left w:val="nil"/>
                    <w:bottom w:val="single" w:color="auto" w:sz="4" w:space="0"/>
                    <w:right w:val="single" w:color="auto" w:sz="4" w:space="0"/>
                  </w:tcBorders>
                  <w:vAlign w:val="center"/>
                </w:tcPr>
                <w:p>
                  <w:pPr>
                    <w:spacing w:line="240" w:lineRule="atLeast"/>
                    <w:jc w:val="center"/>
                    <w:rPr>
                      <w:rFonts w:hint="eastAsia" w:eastAsia="宋体"/>
                      <w:color w:val="000000"/>
                      <w:szCs w:val="21"/>
                      <w:lang w:eastAsia="zh-CN"/>
                    </w:rPr>
                  </w:pPr>
                  <w:r>
                    <w:rPr>
                      <w:rFonts w:hint="eastAsia"/>
                      <w:color w:val="000000"/>
                      <w:szCs w:val="21"/>
                      <w:lang w:eastAsia="zh-CN"/>
                    </w:rPr>
                    <w:t>2</w:t>
                  </w:r>
                </w:p>
              </w:tc>
              <w:tc>
                <w:tcPr>
                  <w:tcW w:w="971"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color w:val="000000"/>
                      <w:spacing w:val="4"/>
                      <w:kern w:val="18"/>
                      <w:szCs w:val="21"/>
                    </w:rPr>
                  </w:pPr>
                  <w:r>
                    <w:rPr>
                      <w:color w:val="000000"/>
                      <w:spacing w:val="4"/>
                      <w:kern w:val="18"/>
                      <w:szCs w:val="21"/>
                    </w:rPr>
                    <w:t>废</w:t>
                  </w:r>
                  <w:r>
                    <w:rPr>
                      <w:rFonts w:hint="eastAsia"/>
                      <w:color w:val="000000"/>
                      <w:spacing w:val="4"/>
                      <w:kern w:val="18"/>
                      <w:szCs w:val="21"/>
                      <w:lang w:val="en-US" w:eastAsia="zh-CN"/>
                    </w:rPr>
                    <w:t>油</w:t>
                  </w:r>
                  <w:r>
                    <w:rPr>
                      <w:color w:val="000000"/>
                      <w:spacing w:val="4"/>
                      <w:kern w:val="18"/>
                      <w:szCs w:val="21"/>
                    </w:rPr>
                    <w:t>桶</w:t>
                  </w:r>
                </w:p>
              </w:tc>
              <w:tc>
                <w:tcPr>
                  <w:tcW w:w="1876" w:type="dxa"/>
                  <w:tcBorders>
                    <w:top w:val="single" w:color="auto" w:sz="4" w:space="0"/>
                    <w:left w:val="single" w:color="auto" w:sz="4" w:space="0"/>
                    <w:bottom w:val="single" w:color="auto" w:sz="4" w:space="0"/>
                    <w:right w:val="single" w:color="auto" w:sz="4" w:space="0"/>
                  </w:tcBorders>
                  <w:vAlign w:val="center"/>
                </w:tcPr>
                <w:p>
                  <w:pPr>
                    <w:spacing w:line="240" w:lineRule="atLeast"/>
                    <w:rPr>
                      <w:color w:val="000000"/>
                      <w:spacing w:val="4"/>
                      <w:kern w:val="18"/>
                      <w:szCs w:val="21"/>
                    </w:rPr>
                  </w:pPr>
                  <w:r>
                    <w:rPr>
                      <w:color w:val="000000"/>
                      <w:spacing w:val="4"/>
                      <w:kern w:val="18"/>
                      <w:szCs w:val="21"/>
                    </w:rPr>
                    <w:t>危险废物（HW08 900-249-08）</w:t>
                  </w:r>
                </w:p>
              </w:tc>
              <w:tc>
                <w:tcPr>
                  <w:tcW w:w="1426"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rFonts w:hint="default" w:eastAsia="宋体"/>
                      <w:color w:val="000000"/>
                      <w:spacing w:val="4"/>
                      <w:kern w:val="18"/>
                      <w:szCs w:val="21"/>
                      <w:lang w:val="en-US" w:eastAsia="zh-CN"/>
                    </w:rPr>
                  </w:pPr>
                  <w:r>
                    <w:rPr>
                      <w:rFonts w:hint="eastAsia"/>
                      <w:color w:val="000000"/>
                      <w:spacing w:val="4"/>
                      <w:kern w:val="18"/>
                      <w:szCs w:val="21"/>
                      <w:lang w:val="en-US" w:eastAsia="zh-CN"/>
                    </w:rPr>
                    <w:t>0.01</w:t>
                  </w:r>
                </w:p>
              </w:tc>
              <w:tc>
                <w:tcPr>
                  <w:tcW w:w="1402" w:type="dxa"/>
                  <w:vMerge w:val="restart"/>
                  <w:tcBorders>
                    <w:top w:val="single" w:color="auto" w:sz="4" w:space="0"/>
                    <w:left w:val="single" w:color="auto" w:sz="4" w:space="0"/>
                    <w:right w:val="single" w:color="auto" w:sz="4" w:space="0"/>
                  </w:tcBorders>
                  <w:vAlign w:val="center"/>
                </w:tcPr>
                <w:p>
                  <w:pPr>
                    <w:spacing w:line="240" w:lineRule="atLeast"/>
                    <w:jc w:val="center"/>
                    <w:rPr>
                      <w:color w:val="000000"/>
                      <w:spacing w:val="4"/>
                      <w:kern w:val="18"/>
                      <w:szCs w:val="21"/>
                    </w:rPr>
                  </w:pPr>
                  <w:r>
                    <w:rPr>
                      <w:color w:val="000000"/>
                      <w:spacing w:val="4"/>
                      <w:kern w:val="18"/>
                      <w:szCs w:val="21"/>
                    </w:rPr>
                    <w:t>交由资质单位处理</w:t>
                  </w:r>
                </w:p>
              </w:tc>
              <w:tc>
                <w:tcPr>
                  <w:tcW w:w="1252" w:type="dxa"/>
                  <w:tcBorders>
                    <w:top w:val="single" w:color="auto" w:sz="4" w:space="0"/>
                    <w:left w:val="single" w:color="auto" w:sz="4" w:space="0"/>
                    <w:bottom w:val="single" w:color="auto" w:sz="4" w:space="0"/>
                    <w:right w:val="nil"/>
                  </w:tcBorders>
                  <w:vAlign w:val="center"/>
                </w:tcPr>
                <w:p>
                  <w:pPr>
                    <w:spacing w:line="240" w:lineRule="atLeast"/>
                    <w:jc w:val="center"/>
                    <w:rPr>
                      <w:color w:val="000000"/>
                      <w:spacing w:val="4"/>
                      <w:kern w:val="18"/>
                      <w:szCs w:val="21"/>
                    </w:rPr>
                  </w:pPr>
                  <w:r>
                    <w:rPr>
                      <w:color w:val="000000"/>
                      <w:spacing w:val="4"/>
                      <w:kern w:val="18"/>
                      <w:szCs w:val="21"/>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89" w:type="dxa"/>
                  <w:tcBorders>
                    <w:top w:val="single" w:color="auto" w:sz="4" w:space="0"/>
                    <w:left w:val="nil"/>
                    <w:bottom w:val="single" w:color="auto" w:sz="4" w:space="0"/>
                    <w:right w:val="single" w:color="auto" w:sz="4" w:space="0"/>
                  </w:tcBorders>
                  <w:vAlign w:val="center"/>
                </w:tcPr>
                <w:p>
                  <w:pPr>
                    <w:spacing w:line="240" w:lineRule="atLeast"/>
                    <w:jc w:val="center"/>
                    <w:rPr>
                      <w:rFonts w:hint="eastAsia" w:eastAsia="宋体"/>
                      <w:color w:val="000000"/>
                      <w:szCs w:val="21"/>
                      <w:lang w:val="en-US" w:eastAsia="zh-CN"/>
                    </w:rPr>
                  </w:pPr>
                  <w:r>
                    <w:rPr>
                      <w:rFonts w:hint="eastAsia"/>
                      <w:color w:val="000000"/>
                      <w:szCs w:val="21"/>
                      <w:lang w:val="en-US" w:eastAsia="zh-CN"/>
                    </w:rPr>
                    <w:t>3</w:t>
                  </w:r>
                </w:p>
              </w:tc>
              <w:tc>
                <w:tcPr>
                  <w:tcW w:w="971"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color w:val="000000"/>
                      <w:spacing w:val="4"/>
                      <w:kern w:val="18"/>
                      <w:szCs w:val="21"/>
                    </w:rPr>
                  </w:pPr>
                  <w:r>
                    <w:rPr>
                      <w:color w:val="000000"/>
                      <w:spacing w:val="4"/>
                      <w:kern w:val="18"/>
                      <w:szCs w:val="21"/>
                    </w:rPr>
                    <w:t>废油</w:t>
                  </w:r>
                </w:p>
              </w:tc>
              <w:tc>
                <w:tcPr>
                  <w:tcW w:w="1876" w:type="dxa"/>
                  <w:tcBorders>
                    <w:top w:val="single" w:color="auto" w:sz="4" w:space="0"/>
                    <w:left w:val="single" w:color="auto" w:sz="4" w:space="0"/>
                    <w:bottom w:val="single" w:color="auto" w:sz="4" w:space="0"/>
                    <w:right w:val="single" w:color="auto" w:sz="4" w:space="0"/>
                  </w:tcBorders>
                  <w:vAlign w:val="center"/>
                </w:tcPr>
                <w:p>
                  <w:pPr>
                    <w:spacing w:line="240" w:lineRule="atLeast"/>
                    <w:rPr>
                      <w:color w:val="000000"/>
                      <w:spacing w:val="4"/>
                      <w:kern w:val="18"/>
                      <w:szCs w:val="21"/>
                    </w:rPr>
                  </w:pPr>
                  <w:r>
                    <w:rPr>
                      <w:color w:val="000000"/>
                      <w:spacing w:val="4"/>
                      <w:kern w:val="18"/>
                      <w:szCs w:val="21"/>
                    </w:rPr>
                    <w:t>危险废物（HW08 900-2</w:t>
                  </w:r>
                  <w:r>
                    <w:rPr>
                      <w:rFonts w:hint="eastAsia"/>
                      <w:color w:val="000000"/>
                      <w:spacing w:val="4"/>
                      <w:kern w:val="18"/>
                      <w:szCs w:val="21"/>
                      <w:lang w:val="en-US" w:eastAsia="zh-CN"/>
                    </w:rPr>
                    <w:t>17</w:t>
                  </w:r>
                  <w:r>
                    <w:rPr>
                      <w:color w:val="000000"/>
                      <w:spacing w:val="4"/>
                      <w:kern w:val="18"/>
                      <w:szCs w:val="21"/>
                    </w:rPr>
                    <w:t>-08）</w:t>
                  </w:r>
                </w:p>
              </w:tc>
              <w:tc>
                <w:tcPr>
                  <w:tcW w:w="1426"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rFonts w:hint="default" w:eastAsia="宋体"/>
                      <w:color w:val="000000"/>
                      <w:spacing w:val="4"/>
                      <w:kern w:val="18"/>
                      <w:szCs w:val="21"/>
                      <w:lang w:val="en-US" w:eastAsia="zh-CN"/>
                    </w:rPr>
                  </w:pPr>
                  <w:r>
                    <w:rPr>
                      <w:color w:val="000000"/>
                      <w:spacing w:val="4"/>
                      <w:kern w:val="18"/>
                      <w:szCs w:val="21"/>
                    </w:rPr>
                    <w:t>0.</w:t>
                  </w:r>
                  <w:r>
                    <w:rPr>
                      <w:rFonts w:hint="eastAsia"/>
                      <w:color w:val="000000"/>
                      <w:spacing w:val="4"/>
                      <w:kern w:val="18"/>
                      <w:szCs w:val="21"/>
                      <w:lang w:val="en-US" w:eastAsia="zh-CN"/>
                    </w:rPr>
                    <w:t>15</w:t>
                  </w:r>
                </w:p>
              </w:tc>
              <w:tc>
                <w:tcPr>
                  <w:tcW w:w="1402" w:type="dxa"/>
                  <w:vMerge w:val="continue"/>
                  <w:tcBorders>
                    <w:left w:val="single" w:color="auto" w:sz="4" w:space="0"/>
                    <w:right w:val="single" w:color="auto" w:sz="4" w:space="0"/>
                  </w:tcBorders>
                  <w:vAlign w:val="center"/>
                </w:tcPr>
                <w:p>
                  <w:pPr>
                    <w:widowControl/>
                    <w:jc w:val="left"/>
                    <w:rPr>
                      <w:color w:val="000000"/>
                      <w:spacing w:val="4"/>
                      <w:kern w:val="18"/>
                      <w:szCs w:val="21"/>
                    </w:rPr>
                  </w:pPr>
                </w:p>
              </w:tc>
              <w:tc>
                <w:tcPr>
                  <w:tcW w:w="1252" w:type="dxa"/>
                  <w:tcBorders>
                    <w:top w:val="single" w:color="auto" w:sz="4" w:space="0"/>
                    <w:left w:val="single" w:color="auto" w:sz="4" w:space="0"/>
                    <w:bottom w:val="single" w:color="auto" w:sz="4" w:space="0"/>
                    <w:right w:val="nil"/>
                  </w:tcBorders>
                  <w:vAlign w:val="center"/>
                </w:tcPr>
                <w:p>
                  <w:pPr>
                    <w:spacing w:line="240" w:lineRule="atLeast"/>
                    <w:jc w:val="center"/>
                    <w:rPr>
                      <w:color w:val="000000"/>
                      <w:spacing w:val="4"/>
                      <w:kern w:val="18"/>
                      <w:szCs w:val="21"/>
                    </w:rPr>
                  </w:pPr>
                  <w:r>
                    <w:rPr>
                      <w:color w:val="000000"/>
                      <w:spacing w:val="4"/>
                      <w:kern w:val="18"/>
                      <w:szCs w:val="21"/>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89" w:type="dxa"/>
                  <w:tcBorders>
                    <w:top w:val="single" w:color="auto" w:sz="4" w:space="0"/>
                    <w:left w:val="nil"/>
                    <w:bottom w:val="single" w:color="auto" w:sz="4" w:space="0"/>
                    <w:right w:val="single" w:color="auto" w:sz="4" w:space="0"/>
                  </w:tcBorders>
                  <w:vAlign w:val="center"/>
                </w:tcPr>
                <w:p>
                  <w:pPr>
                    <w:spacing w:line="240" w:lineRule="atLeast"/>
                    <w:jc w:val="center"/>
                    <w:rPr>
                      <w:rFonts w:hint="default"/>
                      <w:color w:val="000000"/>
                      <w:szCs w:val="21"/>
                      <w:lang w:val="en-US" w:eastAsia="zh-CN"/>
                    </w:rPr>
                  </w:pPr>
                  <w:r>
                    <w:rPr>
                      <w:rFonts w:hint="eastAsia"/>
                      <w:color w:val="000000"/>
                      <w:szCs w:val="21"/>
                      <w:lang w:val="en-US" w:eastAsia="zh-CN"/>
                    </w:rPr>
                    <w:t>4</w:t>
                  </w:r>
                </w:p>
              </w:tc>
              <w:tc>
                <w:tcPr>
                  <w:tcW w:w="971"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color w:val="000000"/>
                      <w:spacing w:val="4"/>
                      <w:kern w:val="18"/>
                      <w:szCs w:val="21"/>
                    </w:rPr>
                  </w:pPr>
                  <w:r>
                    <w:rPr>
                      <w:rFonts w:hint="eastAsia"/>
                      <w:color w:val="000000"/>
                      <w:sz w:val="24"/>
                      <w:lang w:val="en-US" w:eastAsia="zh-CN"/>
                    </w:rPr>
                    <w:t>废含油手套、抹布</w:t>
                  </w:r>
                </w:p>
              </w:tc>
              <w:tc>
                <w:tcPr>
                  <w:tcW w:w="1876" w:type="dxa"/>
                  <w:tcBorders>
                    <w:top w:val="single" w:color="auto" w:sz="4" w:space="0"/>
                    <w:left w:val="single" w:color="auto" w:sz="4" w:space="0"/>
                    <w:bottom w:val="single" w:color="auto" w:sz="4" w:space="0"/>
                    <w:right w:val="single" w:color="auto" w:sz="4" w:space="0"/>
                  </w:tcBorders>
                  <w:vAlign w:val="center"/>
                </w:tcPr>
                <w:p>
                  <w:pPr>
                    <w:spacing w:line="240" w:lineRule="atLeast"/>
                    <w:rPr>
                      <w:color w:val="000000"/>
                      <w:spacing w:val="4"/>
                      <w:kern w:val="18"/>
                      <w:szCs w:val="21"/>
                    </w:rPr>
                  </w:pPr>
                  <w:r>
                    <w:rPr>
                      <w:color w:val="000000"/>
                      <w:spacing w:val="4"/>
                      <w:kern w:val="18"/>
                      <w:szCs w:val="21"/>
                    </w:rPr>
                    <w:t>危险废物（HW</w:t>
                  </w:r>
                  <w:r>
                    <w:rPr>
                      <w:rFonts w:hint="eastAsia"/>
                      <w:color w:val="000000"/>
                      <w:spacing w:val="4"/>
                      <w:kern w:val="18"/>
                      <w:szCs w:val="21"/>
                      <w:lang w:val="en-US" w:eastAsia="zh-CN"/>
                    </w:rPr>
                    <w:t>49</w:t>
                  </w:r>
                  <w:r>
                    <w:rPr>
                      <w:color w:val="000000"/>
                      <w:spacing w:val="4"/>
                      <w:kern w:val="18"/>
                      <w:szCs w:val="21"/>
                    </w:rPr>
                    <w:t xml:space="preserve"> 900-</w:t>
                  </w:r>
                  <w:r>
                    <w:rPr>
                      <w:rFonts w:hint="eastAsia"/>
                      <w:color w:val="000000"/>
                      <w:spacing w:val="4"/>
                      <w:kern w:val="18"/>
                      <w:szCs w:val="21"/>
                      <w:lang w:val="en-US" w:eastAsia="zh-CN"/>
                    </w:rPr>
                    <w:t>041</w:t>
                  </w:r>
                  <w:r>
                    <w:rPr>
                      <w:color w:val="000000"/>
                      <w:spacing w:val="4"/>
                      <w:kern w:val="18"/>
                      <w:szCs w:val="21"/>
                    </w:rPr>
                    <w:t>-</w:t>
                  </w:r>
                  <w:r>
                    <w:rPr>
                      <w:rFonts w:hint="eastAsia"/>
                      <w:color w:val="000000"/>
                      <w:spacing w:val="4"/>
                      <w:kern w:val="18"/>
                      <w:szCs w:val="21"/>
                      <w:lang w:val="en-US" w:eastAsia="zh-CN"/>
                    </w:rPr>
                    <w:t>49</w:t>
                  </w:r>
                  <w:r>
                    <w:rPr>
                      <w:color w:val="000000"/>
                      <w:spacing w:val="4"/>
                      <w:kern w:val="18"/>
                      <w:szCs w:val="21"/>
                    </w:rPr>
                    <w:t>）</w:t>
                  </w:r>
                </w:p>
              </w:tc>
              <w:tc>
                <w:tcPr>
                  <w:tcW w:w="1426"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rFonts w:hint="default" w:eastAsia="宋体"/>
                      <w:color w:val="000000"/>
                      <w:spacing w:val="4"/>
                      <w:kern w:val="18"/>
                      <w:szCs w:val="21"/>
                      <w:lang w:val="en-US" w:eastAsia="zh-CN"/>
                    </w:rPr>
                  </w:pPr>
                  <w:r>
                    <w:rPr>
                      <w:rFonts w:hint="eastAsia"/>
                      <w:color w:val="000000"/>
                      <w:spacing w:val="4"/>
                      <w:kern w:val="18"/>
                      <w:szCs w:val="21"/>
                      <w:lang w:val="en-US" w:eastAsia="zh-CN"/>
                    </w:rPr>
                    <w:t>0.001</w:t>
                  </w:r>
                </w:p>
              </w:tc>
              <w:tc>
                <w:tcPr>
                  <w:tcW w:w="1402" w:type="dxa"/>
                  <w:vMerge w:val="continue"/>
                  <w:tcBorders>
                    <w:left w:val="single" w:color="auto" w:sz="4" w:space="0"/>
                    <w:bottom w:val="single" w:color="auto" w:sz="4" w:space="0"/>
                    <w:right w:val="single" w:color="auto" w:sz="4" w:space="0"/>
                  </w:tcBorders>
                  <w:vAlign w:val="center"/>
                </w:tcPr>
                <w:p>
                  <w:pPr>
                    <w:widowControl/>
                    <w:jc w:val="left"/>
                    <w:rPr>
                      <w:color w:val="000000"/>
                      <w:spacing w:val="4"/>
                      <w:kern w:val="18"/>
                      <w:szCs w:val="21"/>
                    </w:rPr>
                  </w:pPr>
                </w:p>
              </w:tc>
              <w:tc>
                <w:tcPr>
                  <w:tcW w:w="1252" w:type="dxa"/>
                  <w:tcBorders>
                    <w:top w:val="single" w:color="auto" w:sz="4" w:space="0"/>
                    <w:left w:val="single" w:color="auto" w:sz="4" w:space="0"/>
                    <w:bottom w:val="single" w:color="auto" w:sz="4" w:space="0"/>
                    <w:right w:val="nil"/>
                  </w:tcBorders>
                  <w:vAlign w:val="center"/>
                </w:tcPr>
                <w:p>
                  <w:pPr>
                    <w:spacing w:line="240" w:lineRule="atLeast"/>
                    <w:jc w:val="center"/>
                    <w:rPr>
                      <w:rFonts w:hint="eastAsia" w:eastAsia="宋体"/>
                      <w:color w:val="000000"/>
                      <w:spacing w:val="4"/>
                      <w:kern w:val="18"/>
                      <w:szCs w:val="21"/>
                      <w:lang w:val="en-US" w:eastAsia="zh-CN"/>
                    </w:rPr>
                  </w:pPr>
                  <w:r>
                    <w:rPr>
                      <w:rFonts w:hint="eastAsia"/>
                      <w:color w:val="000000"/>
                      <w:spacing w:val="4"/>
                      <w:kern w:val="18"/>
                      <w:szCs w:val="21"/>
                      <w:lang w:val="en-US" w:eastAsia="zh-CN"/>
                    </w:rPr>
                    <w:t>0</w:t>
                  </w:r>
                </w:p>
              </w:tc>
            </w:tr>
          </w:tbl>
          <w:p>
            <w:pPr>
              <w:adjustRightInd w:val="0"/>
              <w:snapToGrid w:val="0"/>
              <w:spacing w:line="360" w:lineRule="auto"/>
              <w:ind w:firstLine="442" w:firstLineChars="200"/>
              <w:rPr>
                <w:rFonts w:cs="宋体"/>
                <w:b/>
                <w:spacing w:val="-10"/>
                <w:sz w:val="24"/>
              </w:rPr>
            </w:pPr>
            <w:r>
              <w:rPr>
                <w:rFonts w:hint="eastAsia" w:cs="宋体"/>
                <w:b/>
                <w:spacing w:val="-10"/>
                <w:sz w:val="24"/>
              </w:rPr>
              <w:t>2、一般固废环境影响分析和保护措施</w:t>
            </w:r>
          </w:p>
          <w:p>
            <w:pPr>
              <w:autoSpaceDE w:val="0"/>
              <w:spacing w:line="360" w:lineRule="auto"/>
              <w:ind w:firstLine="480" w:firstLineChars="200"/>
              <w:rPr>
                <w:rFonts w:ascii="Times New Roman" w:hAnsi="Times New Roman" w:cs="Times New Roman"/>
                <w:color w:val="000000"/>
                <w:sz w:val="24"/>
                <w:szCs w:val="22"/>
              </w:rPr>
            </w:pPr>
            <w:r>
              <w:rPr>
                <w:rFonts w:hint="eastAsia" w:ascii="Times New Roman" w:hAnsi="Times New Roman" w:cs="Times New Roman"/>
                <w:color w:val="000000"/>
                <w:sz w:val="24"/>
                <w:szCs w:val="22"/>
              </w:rPr>
              <w:t>一般工业固废临时堆放场应根据《一般工业固体废物贮存和填埋污染控制标准》（GB18599-2020）中的要求规范化建设，固废临时贮存场应满足如下要求：</w:t>
            </w:r>
          </w:p>
          <w:p>
            <w:pPr>
              <w:autoSpaceDE w:val="0"/>
              <w:spacing w:line="360" w:lineRule="auto"/>
              <w:ind w:firstLine="480" w:firstLineChars="200"/>
              <w:rPr>
                <w:rFonts w:ascii="Times New Roman" w:hAnsi="Times New Roman" w:cs="Times New Roman"/>
                <w:color w:val="000000"/>
                <w:sz w:val="24"/>
                <w:szCs w:val="22"/>
              </w:rPr>
            </w:pPr>
            <w:r>
              <w:rPr>
                <w:rFonts w:hint="eastAsia" w:ascii="Times New Roman" w:hAnsi="Times New Roman" w:cs="Times New Roman"/>
                <w:color w:val="000000"/>
                <w:sz w:val="24"/>
                <w:szCs w:val="22"/>
                <w:lang w:eastAsia="zh-CN"/>
              </w:rPr>
              <w:t>（</w:t>
            </w:r>
            <w:r>
              <w:rPr>
                <w:rFonts w:hint="eastAsia" w:ascii="Times New Roman" w:hAnsi="Times New Roman" w:cs="Times New Roman"/>
                <w:color w:val="000000"/>
                <w:sz w:val="24"/>
                <w:szCs w:val="22"/>
                <w:lang w:val="en-US" w:eastAsia="zh-CN"/>
              </w:rPr>
              <w:t>1</w:t>
            </w:r>
            <w:r>
              <w:rPr>
                <w:rFonts w:hint="eastAsia" w:ascii="Times New Roman" w:hAnsi="Times New Roman" w:cs="Times New Roman"/>
                <w:color w:val="000000"/>
                <w:sz w:val="24"/>
                <w:szCs w:val="22"/>
                <w:lang w:eastAsia="zh-CN"/>
              </w:rPr>
              <w:t>）</w:t>
            </w:r>
            <w:r>
              <w:rPr>
                <w:rFonts w:hint="eastAsia" w:ascii="Times New Roman" w:hAnsi="Times New Roman" w:cs="Times New Roman"/>
                <w:color w:val="000000"/>
                <w:sz w:val="24"/>
                <w:szCs w:val="22"/>
              </w:rPr>
              <w:t>临时堆放场应选在防渗性能好的地基上天然基础层地表距地下水位的距离不得小于1.5m。临时堆放场四周应建有围墙，防止固废流失以及造成粉尘污染。</w:t>
            </w:r>
          </w:p>
          <w:p>
            <w:pPr>
              <w:autoSpaceDE w:val="0"/>
              <w:spacing w:line="360" w:lineRule="auto"/>
              <w:ind w:firstLine="480" w:firstLineChars="200"/>
              <w:rPr>
                <w:rFonts w:ascii="Times New Roman" w:hAnsi="Times New Roman" w:cs="Times New Roman"/>
                <w:color w:val="000000"/>
                <w:sz w:val="24"/>
                <w:szCs w:val="22"/>
              </w:rPr>
            </w:pPr>
            <w:r>
              <w:rPr>
                <w:rFonts w:hint="eastAsia" w:ascii="Times New Roman" w:hAnsi="Times New Roman" w:cs="Times New Roman"/>
                <w:color w:val="000000"/>
                <w:sz w:val="24"/>
                <w:szCs w:val="22"/>
                <w:lang w:eastAsia="zh-CN"/>
              </w:rPr>
              <w:t>（</w:t>
            </w:r>
            <w:r>
              <w:rPr>
                <w:rFonts w:hint="eastAsia" w:ascii="Times New Roman" w:hAnsi="Times New Roman" w:cs="Times New Roman"/>
                <w:color w:val="000000"/>
                <w:sz w:val="24"/>
                <w:szCs w:val="22"/>
                <w:lang w:val="en-US" w:eastAsia="zh-CN"/>
              </w:rPr>
              <w:t>2</w:t>
            </w:r>
            <w:r>
              <w:rPr>
                <w:rFonts w:hint="eastAsia" w:ascii="Times New Roman" w:hAnsi="Times New Roman" w:cs="Times New Roman"/>
                <w:color w:val="000000"/>
                <w:sz w:val="24"/>
                <w:szCs w:val="22"/>
                <w:lang w:eastAsia="zh-CN"/>
              </w:rPr>
              <w:t>）</w:t>
            </w:r>
            <w:r>
              <w:rPr>
                <w:rFonts w:hint="eastAsia" w:ascii="Times New Roman" w:hAnsi="Times New Roman" w:cs="Times New Roman"/>
                <w:color w:val="000000"/>
                <w:sz w:val="24"/>
                <w:szCs w:val="22"/>
              </w:rPr>
              <w:t>临时堆放场应建有防雨淋、防渗透措施。本项目储存在钢结构仓库内，地面进行硬化，可以满足防雨淋、防渗透要求。</w:t>
            </w:r>
          </w:p>
          <w:p>
            <w:pPr>
              <w:autoSpaceDE w:val="0"/>
              <w:spacing w:line="360" w:lineRule="auto"/>
              <w:ind w:firstLine="480" w:firstLineChars="200"/>
              <w:rPr>
                <w:rFonts w:ascii="Times New Roman" w:hAnsi="Times New Roman" w:cs="Times New Roman"/>
                <w:color w:val="000000"/>
                <w:sz w:val="24"/>
                <w:szCs w:val="22"/>
              </w:rPr>
            </w:pPr>
            <w:r>
              <w:rPr>
                <w:rFonts w:hint="eastAsia" w:ascii="Times New Roman" w:hAnsi="Times New Roman" w:cs="Times New Roman"/>
                <w:color w:val="000000"/>
                <w:sz w:val="24"/>
                <w:szCs w:val="22"/>
                <w:lang w:eastAsia="zh-CN"/>
              </w:rPr>
              <w:t>（</w:t>
            </w:r>
            <w:r>
              <w:rPr>
                <w:rFonts w:hint="eastAsia" w:ascii="Times New Roman" w:hAnsi="Times New Roman" w:cs="Times New Roman"/>
                <w:color w:val="000000"/>
                <w:sz w:val="24"/>
                <w:szCs w:val="22"/>
                <w:lang w:val="en-US" w:eastAsia="zh-CN"/>
              </w:rPr>
              <w:t>3</w:t>
            </w:r>
            <w:r>
              <w:rPr>
                <w:rFonts w:hint="eastAsia" w:ascii="Times New Roman" w:hAnsi="Times New Roman" w:cs="Times New Roman"/>
                <w:color w:val="000000"/>
                <w:sz w:val="24"/>
                <w:szCs w:val="22"/>
                <w:lang w:eastAsia="zh-CN"/>
              </w:rPr>
              <w:t>）</w:t>
            </w:r>
            <w:r>
              <w:rPr>
                <w:rFonts w:hint="eastAsia" w:ascii="Times New Roman" w:hAnsi="Times New Roman" w:cs="Times New Roman"/>
                <w:color w:val="000000"/>
                <w:sz w:val="24"/>
                <w:szCs w:val="22"/>
              </w:rPr>
              <w:t>为了便于管理，临时堆放场应《环境保护图形标识—固体废物贮存（处置）场》（按GB15562.2-1995）设置环境保护图形标志。临时堆放的地面与裙角要用竖固、防渗的建筑材料建造，基础必须防渗，应设计建造径流疏导系统，保证能防止暴雨不会流到临时堆放场所。临时堆放场所要防风、防雨、防晒，周围应设置围墙并做好密闭处理，禁止危险废物混入。企业在生产过程中，应加强现有一般固废库的管理，定点收集堆存，并及时处理，不会对环境造成不利影响。</w:t>
            </w:r>
          </w:p>
          <w:p>
            <w:pPr>
              <w:adjustRightInd w:val="0"/>
              <w:snapToGrid w:val="0"/>
              <w:spacing w:line="360" w:lineRule="auto"/>
              <w:ind w:firstLine="442" w:firstLineChars="200"/>
              <w:rPr>
                <w:rFonts w:cs="宋体"/>
                <w:b/>
                <w:spacing w:val="-10"/>
                <w:sz w:val="24"/>
              </w:rPr>
            </w:pPr>
            <w:r>
              <w:rPr>
                <w:rFonts w:hint="eastAsia" w:cs="宋体"/>
                <w:b/>
                <w:spacing w:val="-10"/>
                <w:sz w:val="24"/>
              </w:rPr>
              <w:t>3、危险废物环境影响分析和保护措施</w:t>
            </w:r>
          </w:p>
          <w:p>
            <w:pPr>
              <w:pStyle w:val="79"/>
              <w:adjustRightInd w:val="0"/>
              <w:snapToGrid w:val="0"/>
              <w:spacing w:line="360" w:lineRule="auto"/>
              <w:ind w:firstLine="468" w:firstLineChars="195"/>
              <w:rPr>
                <w:rFonts w:hint="eastAsia" w:ascii="Times New Roman" w:hAnsi="Times New Roman" w:eastAsia="宋体" w:cs="Times New Roman"/>
                <w:color w:val="000000"/>
                <w:kern w:val="2"/>
                <w:sz w:val="24"/>
                <w:szCs w:val="22"/>
                <w:lang w:val="en-US" w:eastAsia="zh-CN" w:bidi="ar-SA"/>
              </w:rPr>
            </w:pPr>
            <w:r>
              <w:rPr>
                <w:rFonts w:hint="eastAsia" w:ascii="Times New Roman" w:hAnsi="Times New Roman" w:eastAsia="宋体" w:cs="Times New Roman"/>
                <w:color w:val="000000"/>
                <w:kern w:val="2"/>
                <w:sz w:val="24"/>
                <w:szCs w:val="22"/>
                <w:lang w:val="en-US" w:eastAsia="zh-CN" w:bidi="ar-SA"/>
              </w:rPr>
              <w:t>危险废物应按照《危险废物贮存污染控制标准》（GB18597-2001）的相关规定，对项目产生的危险废物进行妥善管理和处置。</w:t>
            </w:r>
          </w:p>
          <w:p>
            <w:pPr>
              <w:pStyle w:val="79"/>
              <w:adjustRightInd w:val="0"/>
              <w:snapToGrid w:val="0"/>
              <w:spacing w:line="360" w:lineRule="auto"/>
              <w:ind w:firstLine="468" w:firstLineChars="195"/>
              <w:rPr>
                <w:rFonts w:hint="eastAsia" w:ascii="Times New Roman" w:hAnsi="Times New Roman" w:eastAsia="宋体" w:cs="Times New Roman"/>
                <w:color w:val="000000"/>
                <w:kern w:val="2"/>
                <w:sz w:val="24"/>
                <w:szCs w:val="22"/>
                <w:lang w:val="en-US" w:eastAsia="zh-CN" w:bidi="ar-SA"/>
              </w:rPr>
            </w:pPr>
            <w:r>
              <w:rPr>
                <w:rFonts w:hint="eastAsia" w:ascii="Times New Roman" w:hAnsi="Times New Roman" w:eastAsia="宋体" w:cs="Times New Roman"/>
                <w:color w:val="000000"/>
                <w:kern w:val="2"/>
                <w:sz w:val="24"/>
                <w:szCs w:val="22"/>
                <w:lang w:val="en-US" w:eastAsia="zh-CN" w:bidi="ar-SA"/>
              </w:rPr>
              <w:t>危险废物在收集时，应清楚废物的类别及主要成份，以方便委托处理单位处理，根据危险废物的性质和形态，可采用不同大小和不同材质的容器进行包装，所有包装容器应足够安全，并经过周密检查，严防在装载、搬移或运输途中出现渗漏、溢出、抛洒或挥发等情况。</w:t>
            </w:r>
          </w:p>
          <w:p>
            <w:pPr>
              <w:pStyle w:val="79"/>
              <w:adjustRightInd w:val="0"/>
              <w:snapToGrid w:val="0"/>
              <w:spacing w:line="360" w:lineRule="auto"/>
              <w:ind w:firstLineChars="0"/>
              <w:rPr>
                <w:rFonts w:hint="eastAsia" w:ascii="Times New Roman" w:hAnsi="Times New Roman" w:eastAsia="宋体" w:cs="Times New Roman"/>
                <w:color w:val="000000"/>
                <w:kern w:val="2"/>
                <w:sz w:val="24"/>
                <w:szCs w:val="22"/>
                <w:lang w:val="en-US" w:eastAsia="zh-CN" w:bidi="ar-SA"/>
              </w:rPr>
            </w:pPr>
            <w:r>
              <w:rPr>
                <w:rFonts w:hint="eastAsia" w:ascii="Times New Roman" w:hAnsi="Times New Roman" w:eastAsia="宋体" w:cs="Times New Roman"/>
                <w:color w:val="000000"/>
                <w:kern w:val="2"/>
                <w:sz w:val="24"/>
                <w:szCs w:val="22"/>
                <w:lang w:val="en-US" w:eastAsia="zh-CN" w:bidi="ar-SA"/>
              </w:rPr>
              <w:t>对危险废物的收集、暂存按国家标准有如下要求：</w:t>
            </w:r>
          </w:p>
          <w:p>
            <w:pPr>
              <w:pStyle w:val="79"/>
              <w:adjustRightInd w:val="0"/>
              <w:snapToGrid w:val="0"/>
              <w:spacing w:line="360" w:lineRule="auto"/>
              <w:ind w:left="0" w:leftChars="0" w:firstLine="480" w:firstLineChars="200"/>
              <w:rPr>
                <w:rFonts w:hint="eastAsia" w:ascii="Times New Roman" w:hAnsi="Times New Roman" w:eastAsia="宋体" w:cs="Times New Roman"/>
                <w:color w:val="000000"/>
                <w:kern w:val="2"/>
                <w:sz w:val="24"/>
                <w:szCs w:val="22"/>
                <w:lang w:val="en-US" w:eastAsia="zh-CN" w:bidi="ar-SA"/>
              </w:rPr>
            </w:pPr>
            <w:r>
              <w:rPr>
                <w:rFonts w:hint="eastAsia" w:ascii="Times New Roman" w:hAnsi="Times New Roman" w:eastAsia="宋体" w:cs="Times New Roman"/>
                <w:color w:val="000000"/>
                <w:kern w:val="2"/>
                <w:sz w:val="24"/>
                <w:szCs w:val="22"/>
                <w:lang w:val="en-US" w:eastAsia="zh-CN" w:bidi="ar-SA"/>
              </w:rPr>
              <w:t>（1）危险废物的收集包装</w:t>
            </w:r>
          </w:p>
          <w:p>
            <w:pPr>
              <w:pStyle w:val="79"/>
              <w:adjustRightInd w:val="0"/>
              <w:snapToGrid w:val="0"/>
              <w:spacing w:line="360" w:lineRule="auto"/>
              <w:ind w:firstLine="482" w:firstLineChars="0"/>
              <w:rPr>
                <w:rFonts w:hint="eastAsia" w:ascii="Times New Roman" w:hAnsi="Times New Roman" w:eastAsia="宋体" w:cs="Times New Roman"/>
                <w:color w:val="000000"/>
                <w:kern w:val="2"/>
                <w:sz w:val="24"/>
                <w:szCs w:val="22"/>
                <w:lang w:val="en-US" w:eastAsia="zh-CN" w:bidi="ar-SA"/>
              </w:rPr>
            </w:pPr>
            <w:r>
              <w:rPr>
                <w:rFonts w:hint="eastAsia" w:ascii="Times New Roman" w:hAnsi="Times New Roman" w:eastAsia="宋体" w:cs="Times New Roman"/>
                <w:color w:val="000000"/>
                <w:kern w:val="2"/>
                <w:sz w:val="24"/>
                <w:szCs w:val="22"/>
                <w:lang w:val="en-US" w:eastAsia="zh-CN" w:bidi="ar-SA"/>
              </w:rPr>
              <w:t>①有符合要求的包装容器、收集人员的个人防护设备；</w:t>
            </w:r>
          </w:p>
          <w:p>
            <w:pPr>
              <w:pStyle w:val="79"/>
              <w:adjustRightInd w:val="0"/>
              <w:snapToGrid w:val="0"/>
              <w:spacing w:line="360" w:lineRule="auto"/>
              <w:ind w:firstLine="482" w:firstLineChars="0"/>
              <w:rPr>
                <w:rFonts w:hint="eastAsia" w:ascii="Times New Roman" w:hAnsi="Times New Roman" w:eastAsia="宋体" w:cs="Times New Roman"/>
                <w:color w:val="000000"/>
                <w:kern w:val="2"/>
                <w:sz w:val="24"/>
                <w:szCs w:val="22"/>
                <w:lang w:val="en-US" w:eastAsia="zh-CN" w:bidi="ar-SA"/>
              </w:rPr>
            </w:pPr>
            <w:r>
              <w:rPr>
                <w:rFonts w:hint="eastAsia" w:ascii="Times New Roman" w:hAnsi="Times New Roman" w:eastAsia="宋体" w:cs="Times New Roman"/>
                <w:color w:val="000000"/>
                <w:kern w:val="2"/>
                <w:sz w:val="24"/>
                <w:szCs w:val="22"/>
                <w:lang w:val="en-US" w:eastAsia="zh-CN" w:bidi="ar-SA"/>
              </w:rPr>
              <w:t>②危险废物的收集容器应在醒目位置贴有危险废物标签，在收集场所醒目的地方设置危险废物警告标识。所有收集容器必须密闭。</w:t>
            </w:r>
          </w:p>
          <w:p>
            <w:pPr>
              <w:pStyle w:val="79"/>
              <w:adjustRightInd w:val="0"/>
              <w:snapToGrid w:val="0"/>
              <w:spacing w:line="360" w:lineRule="auto"/>
              <w:ind w:firstLine="482" w:firstLineChars="0"/>
              <w:rPr>
                <w:rFonts w:hint="eastAsia" w:ascii="Times New Roman" w:hAnsi="Times New Roman" w:eastAsia="宋体" w:cs="Times New Roman"/>
                <w:color w:val="000000"/>
                <w:kern w:val="2"/>
                <w:sz w:val="24"/>
                <w:szCs w:val="22"/>
                <w:lang w:val="en-US" w:eastAsia="zh-CN" w:bidi="ar-SA"/>
              </w:rPr>
            </w:pPr>
            <w:r>
              <w:rPr>
                <w:rFonts w:hint="eastAsia" w:ascii="Times New Roman" w:hAnsi="Times New Roman" w:eastAsia="宋体" w:cs="Times New Roman"/>
                <w:color w:val="000000"/>
                <w:kern w:val="2"/>
                <w:sz w:val="24"/>
                <w:szCs w:val="22"/>
                <w:lang w:val="en-US" w:eastAsia="zh-CN" w:bidi="ar-SA"/>
              </w:rPr>
              <w:t>③危险废物标签应标明以下信息：主要化学成分或危险废物名称、数量、物理形态、危险类别、安全措施以及危险废物产生单位名称、地址、联系人及电话。</w:t>
            </w:r>
          </w:p>
          <w:p>
            <w:pPr>
              <w:pStyle w:val="79"/>
              <w:adjustRightInd w:val="0"/>
              <w:snapToGrid w:val="0"/>
              <w:spacing w:line="360" w:lineRule="auto"/>
              <w:ind w:firstLine="482" w:firstLineChars="0"/>
              <w:rPr>
                <w:rFonts w:hint="eastAsia" w:ascii="Times New Roman" w:hAnsi="Times New Roman" w:eastAsia="宋体" w:cs="Times New Roman"/>
                <w:color w:val="000000"/>
                <w:kern w:val="2"/>
                <w:sz w:val="24"/>
                <w:szCs w:val="22"/>
                <w:lang w:val="en-US" w:eastAsia="zh-CN" w:bidi="ar-SA"/>
              </w:rPr>
            </w:pPr>
            <w:r>
              <w:rPr>
                <w:rFonts w:hint="eastAsia" w:ascii="Times New Roman" w:hAnsi="Times New Roman" w:eastAsia="宋体" w:cs="Times New Roman"/>
                <w:color w:val="000000"/>
                <w:kern w:val="2"/>
                <w:sz w:val="24"/>
                <w:szCs w:val="22"/>
                <w:lang w:val="en-US" w:eastAsia="zh-CN" w:bidi="ar-SA"/>
              </w:rPr>
              <w:t>（2）危险废物的暂存要求</w:t>
            </w:r>
          </w:p>
          <w:p>
            <w:pPr>
              <w:pStyle w:val="79"/>
              <w:adjustRightInd w:val="0"/>
              <w:snapToGrid w:val="0"/>
              <w:spacing w:line="360" w:lineRule="auto"/>
              <w:ind w:firstLine="482" w:firstLineChars="0"/>
              <w:rPr>
                <w:rFonts w:hint="eastAsia" w:ascii="Times New Roman" w:hAnsi="Times New Roman" w:eastAsia="宋体" w:cs="Times New Roman"/>
                <w:color w:val="000000"/>
                <w:kern w:val="2"/>
                <w:sz w:val="24"/>
                <w:szCs w:val="22"/>
                <w:lang w:val="en-US" w:eastAsia="zh-CN" w:bidi="ar-SA"/>
              </w:rPr>
            </w:pPr>
            <w:r>
              <w:rPr>
                <w:rFonts w:hint="eastAsia" w:ascii="Times New Roman" w:hAnsi="Times New Roman" w:eastAsia="宋体" w:cs="Times New Roman"/>
                <w:color w:val="000000"/>
                <w:kern w:val="2"/>
                <w:sz w:val="24"/>
                <w:szCs w:val="22"/>
                <w:lang w:val="en-US" w:eastAsia="zh-CN" w:bidi="ar-SA"/>
              </w:rPr>
              <w:t>危险废物堆放场应满足GB18597-2001《危险废物贮存污染控制标准》有关规定：</w:t>
            </w:r>
          </w:p>
          <w:p>
            <w:pPr>
              <w:pStyle w:val="79"/>
              <w:adjustRightInd w:val="0"/>
              <w:snapToGrid w:val="0"/>
              <w:spacing w:line="360" w:lineRule="auto"/>
              <w:ind w:firstLine="482" w:firstLineChars="0"/>
              <w:rPr>
                <w:rFonts w:hint="eastAsia" w:ascii="Times New Roman" w:hAnsi="Times New Roman" w:eastAsia="宋体" w:cs="Times New Roman"/>
                <w:color w:val="000000"/>
                <w:kern w:val="2"/>
                <w:sz w:val="24"/>
                <w:szCs w:val="22"/>
                <w:lang w:val="en-US" w:eastAsia="zh-CN" w:bidi="ar-SA"/>
              </w:rPr>
            </w:pPr>
            <w:r>
              <w:rPr>
                <w:rFonts w:hint="eastAsia" w:ascii="Times New Roman" w:hAnsi="Times New Roman" w:eastAsia="宋体" w:cs="Times New Roman"/>
                <w:color w:val="000000"/>
                <w:kern w:val="2"/>
                <w:sz w:val="24"/>
                <w:szCs w:val="22"/>
                <w:lang w:val="en-US" w:eastAsia="zh-CN" w:bidi="ar-SA"/>
              </w:rPr>
              <w:t>①按GB15562.2《环境保护图形标识－固体废物贮存（处置）场》设置警示标志。</w:t>
            </w:r>
          </w:p>
          <w:p>
            <w:pPr>
              <w:pStyle w:val="79"/>
              <w:adjustRightInd w:val="0"/>
              <w:snapToGrid w:val="0"/>
              <w:spacing w:line="360" w:lineRule="auto"/>
              <w:ind w:firstLine="482" w:firstLineChars="0"/>
              <w:rPr>
                <w:rFonts w:hint="eastAsia" w:ascii="Times New Roman" w:hAnsi="Times New Roman" w:eastAsia="宋体" w:cs="Times New Roman"/>
                <w:color w:val="000000"/>
                <w:kern w:val="2"/>
                <w:sz w:val="24"/>
                <w:szCs w:val="22"/>
                <w:lang w:val="en-US" w:eastAsia="zh-CN" w:bidi="ar-SA"/>
              </w:rPr>
            </w:pPr>
            <w:r>
              <w:rPr>
                <w:rFonts w:hint="eastAsia" w:ascii="Times New Roman" w:hAnsi="Times New Roman" w:eastAsia="宋体" w:cs="Times New Roman"/>
                <w:color w:val="000000"/>
                <w:kern w:val="2"/>
                <w:sz w:val="24"/>
                <w:szCs w:val="22"/>
                <w:lang w:val="en-US" w:eastAsia="zh-CN" w:bidi="ar-SA"/>
              </w:rPr>
              <w:t>②必须有耐腐蚀的硬化地面和基础防渗层，地面无裂隙；设施底部必须高于地下水最高水位。</w:t>
            </w:r>
          </w:p>
          <w:p>
            <w:pPr>
              <w:pStyle w:val="79"/>
              <w:adjustRightInd w:val="0"/>
              <w:snapToGrid w:val="0"/>
              <w:spacing w:line="360" w:lineRule="auto"/>
              <w:ind w:firstLine="482" w:firstLineChars="0"/>
              <w:rPr>
                <w:rFonts w:hint="eastAsia" w:ascii="Times New Roman" w:hAnsi="Times New Roman" w:eastAsia="宋体" w:cs="Times New Roman"/>
                <w:color w:val="000000"/>
                <w:kern w:val="2"/>
                <w:sz w:val="24"/>
                <w:szCs w:val="22"/>
                <w:lang w:val="en-US" w:eastAsia="zh-CN" w:bidi="ar-SA"/>
              </w:rPr>
            </w:pPr>
            <w:r>
              <w:rPr>
                <w:rFonts w:hint="eastAsia" w:ascii="Times New Roman" w:hAnsi="Times New Roman" w:eastAsia="宋体" w:cs="Times New Roman"/>
                <w:color w:val="000000"/>
                <w:kern w:val="2"/>
                <w:sz w:val="24"/>
                <w:szCs w:val="22"/>
                <w:lang w:val="en-US" w:eastAsia="zh-CN" w:bidi="ar-SA"/>
              </w:rPr>
              <w:t>③要求必要的防风、防雨、防晒措施。</w:t>
            </w:r>
          </w:p>
          <w:p>
            <w:pPr>
              <w:pStyle w:val="79"/>
              <w:adjustRightInd w:val="0"/>
              <w:snapToGrid w:val="0"/>
              <w:spacing w:line="360" w:lineRule="auto"/>
              <w:ind w:firstLine="482" w:firstLineChars="0"/>
              <w:rPr>
                <w:rFonts w:hint="eastAsia" w:ascii="Times New Roman" w:hAnsi="Times New Roman" w:eastAsia="宋体" w:cs="Times New Roman"/>
                <w:color w:val="000000"/>
                <w:kern w:val="2"/>
                <w:sz w:val="24"/>
                <w:szCs w:val="22"/>
                <w:lang w:val="en-US" w:eastAsia="zh-CN" w:bidi="ar-SA"/>
              </w:rPr>
            </w:pPr>
            <w:r>
              <w:rPr>
                <w:rFonts w:hint="eastAsia" w:ascii="Times New Roman" w:hAnsi="Times New Roman" w:eastAsia="宋体" w:cs="Times New Roman"/>
                <w:color w:val="000000"/>
                <w:kern w:val="2"/>
                <w:sz w:val="24"/>
                <w:szCs w:val="22"/>
                <w:lang w:val="en-US" w:eastAsia="zh-CN" w:bidi="ar-SA"/>
              </w:rPr>
              <w:t>④要有隔离设施或其它防护栅栏。</w:t>
            </w:r>
          </w:p>
          <w:p>
            <w:pPr>
              <w:pStyle w:val="79"/>
              <w:adjustRightInd w:val="0"/>
              <w:snapToGrid w:val="0"/>
              <w:spacing w:line="360" w:lineRule="auto"/>
              <w:ind w:firstLine="482" w:firstLineChars="0"/>
              <w:rPr>
                <w:rFonts w:hint="eastAsia" w:ascii="Times New Roman" w:hAnsi="Times New Roman" w:eastAsia="宋体" w:cs="Times New Roman"/>
                <w:color w:val="000000"/>
                <w:kern w:val="2"/>
                <w:sz w:val="24"/>
                <w:szCs w:val="22"/>
                <w:lang w:val="en-US" w:eastAsia="zh-CN" w:bidi="ar-SA"/>
              </w:rPr>
            </w:pPr>
            <w:r>
              <w:rPr>
                <w:rFonts w:hint="eastAsia" w:ascii="Times New Roman" w:hAnsi="Times New Roman" w:eastAsia="宋体" w:cs="Times New Roman"/>
                <w:color w:val="000000"/>
                <w:kern w:val="2"/>
                <w:sz w:val="24"/>
                <w:szCs w:val="22"/>
                <w:lang w:val="en-US" w:eastAsia="zh-CN" w:bidi="ar-SA"/>
              </w:rPr>
              <w:t>⑤应配备通讯设备、照明设施、安全防护服装及共聚，并设有报警装置和应急防护设施。</w:t>
            </w:r>
          </w:p>
          <w:p>
            <w:pPr>
              <w:pStyle w:val="79"/>
              <w:adjustRightInd w:val="0"/>
              <w:snapToGrid w:val="0"/>
              <w:spacing w:line="360" w:lineRule="auto"/>
              <w:ind w:firstLine="482" w:firstLineChars="0"/>
              <w:rPr>
                <w:rFonts w:hint="eastAsia" w:ascii="Times New Roman" w:hAnsi="Times New Roman" w:eastAsia="宋体" w:cs="Times New Roman"/>
                <w:color w:val="000000"/>
                <w:kern w:val="2"/>
                <w:sz w:val="24"/>
                <w:szCs w:val="22"/>
                <w:lang w:val="en-US" w:eastAsia="zh-CN" w:bidi="ar-SA"/>
              </w:rPr>
            </w:pPr>
            <w:r>
              <w:rPr>
                <w:rFonts w:hint="eastAsia" w:ascii="Times New Roman" w:hAnsi="Times New Roman" w:eastAsia="宋体" w:cs="Times New Roman"/>
                <w:color w:val="000000"/>
                <w:kern w:val="2"/>
                <w:sz w:val="24"/>
                <w:szCs w:val="22"/>
                <w:lang w:val="en-US" w:eastAsia="zh-CN" w:bidi="ar-SA"/>
              </w:rPr>
              <w:t>（3）危险废物的运输要求</w:t>
            </w:r>
          </w:p>
          <w:p>
            <w:pPr>
              <w:pStyle w:val="79"/>
              <w:adjustRightInd w:val="0"/>
              <w:snapToGrid w:val="0"/>
              <w:spacing w:line="360" w:lineRule="auto"/>
              <w:ind w:firstLine="482" w:firstLineChars="0"/>
              <w:rPr>
                <w:rFonts w:hint="eastAsia" w:ascii="Times New Roman" w:hAnsi="Times New Roman" w:eastAsia="宋体" w:cs="Times New Roman"/>
                <w:color w:val="000000"/>
                <w:kern w:val="2"/>
                <w:sz w:val="24"/>
                <w:szCs w:val="22"/>
                <w:lang w:val="en-US" w:eastAsia="zh-CN" w:bidi="ar-SA"/>
              </w:rPr>
            </w:pPr>
            <w:r>
              <w:rPr>
                <w:rFonts w:hint="eastAsia" w:ascii="Times New Roman" w:hAnsi="Times New Roman" w:eastAsia="宋体" w:cs="Times New Roman"/>
                <w:color w:val="000000"/>
                <w:kern w:val="2"/>
                <w:sz w:val="24"/>
                <w:szCs w:val="22"/>
                <w:lang w:val="en-US" w:eastAsia="zh-CN" w:bidi="ar-SA"/>
              </w:rPr>
              <w:t>危险废物运输中应做到以下几点：</w:t>
            </w:r>
          </w:p>
          <w:p>
            <w:pPr>
              <w:pStyle w:val="79"/>
              <w:adjustRightInd w:val="0"/>
              <w:snapToGrid w:val="0"/>
              <w:spacing w:line="360" w:lineRule="auto"/>
              <w:ind w:firstLine="482" w:firstLineChars="0"/>
              <w:rPr>
                <w:rFonts w:hint="eastAsia" w:ascii="Times New Roman" w:hAnsi="Times New Roman" w:eastAsia="宋体" w:cs="Times New Roman"/>
                <w:color w:val="000000"/>
                <w:kern w:val="2"/>
                <w:sz w:val="24"/>
                <w:szCs w:val="22"/>
                <w:lang w:val="en-US" w:eastAsia="zh-CN" w:bidi="ar-SA"/>
              </w:rPr>
            </w:pPr>
            <w:r>
              <w:rPr>
                <w:rFonts w:hint="eastAsia" w:ascii="Times New Roman" w:hAnsi="Times New Roman" w:eastAsia="宋体" w:cs="Times New Roman"/>
                <w:color w:val="000000"/>
                <w:kern w:val="2"/>
                <w:sz w:val="24"/>
                <w:szCs w:val="22"/>
                <w:lang w:val="en-US" w:eastAsia="zh-CN" w:bidi="ar-SA"/>
              </w:rPr>
              <w:t>①危险废物的运输车辆须经主管单位检查，并持有有关单位签发的许可证，负责运输的司机应通过培训，持有证明文件。</w:t>
            </w:r>
          </w:p>
          <w:p>
            <w:pPr>
              <w:pStyle w:val="79"/>
              <w:adjustRightInd w:val="0"/>
              <w:snapToGrid w:val="0"/>
              <w:spacing w:line="360" w:lineRule="auto"/>
              <w:ind w:firstLine="500"/>
              <w:rPr>
                <w:rFonts w:hint="eastAsia" w:ascii="Times New Roman" w:hAnsi="Times New Roman" w:eastAsia="宋体" w:cs="Times New Roman"/>
                <w:color w:val="000000"/>
                <w:kern w:val="2"/>
                <w:sz w:val="24"/>
                <w:szCs w:val="22"/>
                <w:lang w:val="en-US" w:eastAsia="zh-CN" w:bidi="ar-SA"/>
              </w:rPr>
            </w:pPr>
            <w:r>
              <w:rPr>
                <w:rFonts w:hint="eastAsia" w:ascii="Times New Roman" w:hAnsi="Times New Roman" w:eastAsia="宋体" w:cs="Times New Roman"/>
                <w:color w:val="000000"/>
                <w:kern w:val="2"/>
                <w:sz w:val="24"/>
                <w:szCs w:val="22"/>
                <w:lang w:val="en-US" w:eastAsia="zh-CN" w:bidi="ar-SA"/>
              </w:rPr>
              <w:t>②承载危险废物的车辆须有明显的标志或适当的危险符号，以引起注意。载有危险废物的车辆在公路上行驶时，需持有运输许可证，其上应注明废物来源、性质和运往地点。</w:t>
            </w:r>
          </w:p>
          <w:p>
            <w:pPr>
              <w:pStyle w:val="80"/>
              <w:adjustRightInd w:val="0"/>
              <w:snapToGrid w:val="0"/>
              <w:spacing w:line="360" w:lineRule="auto"/>
              <w:ind w:firstLine="480" w:firstLineChars="200"/>
              <w:rPr>
                <w:rFonts w:hint="eastAsia" w:ascii="Times New Roman" w:hAnsi="Times New Roman" w:eastAsia="宋体" w:cs="Times New Roman"/>
                <w:color w:val="000000"/>
                <w:kern w:val="2"/>
                <w:sz w:val="24"/>
                <w:szCs w:val="22"/>
                <w:lang w:val="en-US" w:eastAsia="zh-CN" w:bidi="ar-SA"/>
              </w:rPr>
            </w:pPr>
            <w:r>
              <w:rPr>
                <w:rFonts w:hint="eastAsia" w:ascii="Times New Roman" w:hAnsi="Times New Roman" w:eastAsia="宋体" w:cs="Times New Roman"/>
                <w:color w:val="000000"/>
                <w:kern w:val="2"/>
                <w:sz w:val="24"/>
                <w:szCs w:val="22"/>
                <w:lang w:val="en-US" w:eastAsia="zh-CN" w:bidi="ar-SA"/>
              </w:rPr>
              <w:t>③组织危险废物的运输单位，在事先需作出周密的运输计划和行驶路线，其中包括有效的废物泄漏情况下的应急措施。</w:t>
            </w:r>
          </w:p>
          <w:p>
            <w:pPr>
              <w:pStyle w:val="80"/>
              <w:numPr>
                <w:ilvl w:val="0"/>
                <w:numId w:val="4"/>
              </w:numPr>
              <w:adjustRightInd w:val="0"/>
              <w:snapToGrid w:val="0"/>
              <w:spacing w:line="360" w:lineRule="auto"/>
              <w:ind w:left="0" w:leftChars="0" w:firstLine="480" w:firstLineChars="200"/>
              <w:rPr>
                <w:rFonts w:hint="eastAsia" w:ascii="Times New Roman" w:hAnsi="Times New Roman" w:eastAsia="宋体" w:cs="Times New Roman"/>
                <w:color w:val="000000"/>
                <w:kern w:val="2"/>
                <w:sz w:val="24"/>
                <w:szCs w:val="22"/>
                <w:lang w:val="en-US" w:eastAsia="zh-CN" w:bidi="ar-SA"/>
              </w:rPr>
            </w:pPr>
            <w:r>
              <w:rPr>
                <w:rFonts w:hint="eastAsia" w:ascii="Times New Roman" w:hAnsi="Times New Roman" w:eastAsia="宋体" w:cs="Times New Roman"/>
                <w:color w:val="000000"/>
                <w:kern w:val="2"/>
                <w:sz w:val="24"/>
                <w:szCs w:val="22"/>
                <w:lang w:val="en-US" w:eastAsia="zh-CN" w:bidi="ar-SA"/>
              </w:rPr>
              <w:t>签订委托处置协议</w:t>
            </w:r>
          </w:p>
          <w:p>
            <w:pPr>
              <w:autoSpaceDE w:val="0"/>
              <w:autoSpaceDN w:val="0"/>
              <w:adjustRightInd w:val="0"/>
              <w:spacing w:line="360" w:lineRule="auto"/>
              <w:ind w:firstLine="480" w:firstLineChars="200"/>
              <w:jc w:val="left"/>
              <w:rPr>
                <w:color w:val="0D0D0D" w:themeColor="text1" w:themeTint="F2"/>
                <w:kern w:val="0"/>
                <w:sz w:val="24"/>
                <w14:textFill>
                  <w14:solidFill>
                    <w14:schemeClr w14:val="tx1">
                      <w14:lumMod w14:val="95000"/>
                      <w14:lumOff w14:val="5000"/>
                    </w14:schemeClr>
                  </w14:solidFill>
                </w14:textFill>
              </w:rPr>
            </w:pPr>
            <w:r>
              <w:rPr>
                <w:rFonts w:hint="eastAsia"/>
                <w:color w:val="0D0D0D" w:themeColor="text1" w:themeTint="F2"/>
                <w:kern w:val="0"/>
                <w:sz w:val="24"/>
                <w14:textFill>
                  <w14:solidFill>
                    <w14:schemeClr w14:val="tx1">
                      <w14:lumMod w14:val="95000"/>
                      <w14:lumOff w14:val="5000"/>
                    </w14:schemeClr>
                  </w14:solidFill>
                </w14:textFill>
              </w:rPr>
              <w:t>根据安徽省环境保护厅公布的《安徽省危险废物经营许可证汇总统计表》，本次评价分析项目产生的危险废物</w:t>
            </w:r>
            <w:r>
              <w:rPr>
                <w:rFonts w:hint="eastAsia"/>
                <w:color w:val="000000"/>
                <w:kern w:val="0"/>
                <w:sz w:val="24"/>
              </w:rPr>
              <w:t>废油、废油桶（</w:t>
            </w:r>
            <w:r>
              <w:rPr>
                <w:color w:val="000000"/>
                <w:sz w:val="24"/>
              </w:rPr>
              <w:t>HW</w:t>
            </w:r>
            <w:r>
              <w:rPr>
                <w:rFonts w:hint="eastAsia"/>
                <w:color w:val="000000"/>
                <w:sz w:val="24"/>
                <w:lang w:val="en-US" w:eastAsia="zh-CN"/>
              </w:rPr>
              <w:t>08</w:t>
            </w:r>
            <w:r>
              <w:rPr>
                <w:rFonts w:hint="eastAsia"/>
                <w:color w:val="000000"/>
                <w:kern w:val="0"/>
                <w:sz w:val="24"/>
              </w:rPr>
              <w:t>）及</w:t>
            </w:r>
            <w:r>
              <w:rPr>
                <w:rFonts w:hint="eastAsia"/>
                <w:color w:val="0D0D0D" w:themeColor="text1" w:themeTint="F2"/>
                <w:kern w:val="0"/>
                <w:sz w:val="24"/>
                <w14:textFill>
                  <w14:solidFill>
                    <w14:schemeClr w14:val="tx1">
                      <w14:lumMod w14:val="95000"/>
                      <w14:lumOff w14:val="5000"/>
                    </w14:schemeClr>
                  </w14:solidFill>
                </w14:textFill>
              </w:rPr>
              <w:t>废含油手套、抹布</w:t>
            </w:r>
            <w:r>
              <w:rPr>
                <w:rFonts w:hint="eastAsia"/>
                <w:color w:val="000000"/>
                <w:kern w:val="0"/>
                <w:sz w:val="24"/>
              </w:rPr>
              <w:t>（</w:t>
            </w:r>
            <w:r>
              <w:rPr>
                <w:color w:val="000000"/>
                <w:sz w:val="24"/>
              </w:rPr>
              <w:t>HW</w:t>
            </w:r>
            <w:r>
              <w:rPr>
                <w:rFonts w:hint="eastAsia"/>
                <w:color w:val="000000"/>
                <w:sz w:val="24"/>
              </w:rPr>
              <w:t>49</w:t>
            </w:r>
            <w:r>
              <w:rPr>
                <w:rFonts w:hint="eastAsia"/>
                <w:color w:val="000000"/>
                <w:kern w:val="0"/>
                <w:sz w:val="24"/>
              </w:rPr>
              <w:t>）</w:t>
            </w:r>
            <w:r>
              <w:rPr>
                <w:rFonts w:hint="eastAsia"/>
                <w:color w:val="0D0D0D" w:themeColor="text1" w:themeTint="F2"/>
                <w:kern w:val="0"/>
                <w:sz w:val="24"/>
                <w14:textFill>
                  <w14:solidFill>
                    <w14:schemeClr w14:val="tx1">
                      <w14:lumMod w14:val="95000"/>
                      <w14:lumOff w14:val="5000"/>
                    </w14:schemeClr>
                  </w14:solidFill>
                </w14:textFill>
              </w:rPr>
              <w:t>有资质单位有能力接纳并利用、处置的部分单位如下：</w:t>
            </w:r>
          </w:p>
          <w:p>
            <w:pPr>
              <w:jc w:val="center"/>
              <w:rPr>
                <w:b/>
                <w:color w:val="000000"/>
                <w:sz w:val="24"/>
              </w:rPr>
            </w:pPr>
            <w:r>
              <w:rPr>
                <w:rFonts w:hint="eastAsia"/>
                <w:b/>
                <w:color w:val="000000"/>
                <w:sz w:val="24"/>
              </w:rPr>
              <w:t>表4-</w:t>
            </w:r>
            <w:r>
              <w:rPr>
                <w:rFonts w:hint="eastAsia"/>
                <w:b/>
                <w:color w:val="000000"/>
                <w:sz w:val="24"/>
                <w:lang w:val="en-US" w:eastAsia="zh-CN"/>
              </w:rPr>
              <w:t>4</w:t>
            </w:r>
            <w:r>
              <w:rPr>
                <w:rFonts w:hint="eastAsia"/>
                <w:b/>
                <w:color w:val="000000"/>
                <w:sz w:val="24"/>
              </w:rPr>
              <w:t xml:space="preserve"> 危险废物处置单位一览表</w:t>
            </w:r>
          </w:p>
          <w:tbl>
            <w:tblPr>
              <w:tblStyle w:val="26"/>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87"/>
              <w:gridCol w:w="1495"/>
              <w:gridCol w:w="1128"/>
              <w:gridCol w:w="508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687" w:type="dxa"/>
                  <w:shd w:val="clear" w:color="auto" w:fill="auto"/>
                  <w:vAlign w:val="center"/>
                </w:tcPr>
                <w:p>
                  <w:pPr>
                    <w:pStyle w:val="97"/>
                    <w:widowControl w:val="0"/>
                    <w:adjustRightInd w:val="0"/>
                    <w:snapToGrid w:val="0"/>
                    <w:ind w:left="-63" w:leftChars="-30" w:right="-63" w:rightChars="-30" w:firstLine="0" w:firstLineChars="0"/>
                    <w:jc w:val="center"/>
                    <w:rPr>
                      <w:b/>
                      <w:bCs/>
                      <w:sz w:val="21"/>
                      <w:szCs w:val="21"/>
                    </w:rPr>
                  </w:pPr>
                  <w:r>
                    <w:rPr>
                      <w:rFonts w:hint="eastAsia"/>
                      <w:b/>
                      <w:bCs/>
                      <w:sz w:val="21"/>
                      <w:szCs w:val="21"/>
                    </w:rPr>
                    <w:t>市县</w:t>
                  </w:r>
                </w:p>
              </w:tc>
              <w:tc>
                <w:tcPr>
                  <w:tcW w:w="1495" w:type="dxa"/>
                  <w:shd w:val="clear" w:color="auto" w:fill="auto"/>
                  <w:vAlign w:val="center"/>
                </w:tcPr>
                <w:p>
                  <w:pPr>
                    <w:pStyle w:val="97"/>
                    <w:widowControl w:val="0"/>
                    <w:adjustRightInd w:val="0"/>
                    <w:snapToGrid w:val="0"/>
                    <w:ind w:left="-63" w:leftChars="-30" w:right="-63" w:rightChars="-30" w:firstLine="0" w:firstLineChars="0"/>
                    <w:jc w:val="center"/>
                    <w:rPr>
                      <w:b/>
                      <w:bCs/>
                      <w:sz w:val="21"/>
                      <w:szCs w:val="21"/>
                    </w:rPr>
                  </w:pPr>
                  <w:r>
                    <w:rPr>
                      <w:rFonts w:hint="eastAsia"/>
                      <w:b/>
                      <w:bCs/>
                      <w:sz w:val="21"/>
                      <w:szCs w:val="21"/>
                    </w:rPr>
                    <w:t>企业名称</w:t>
                  </w:r>
                </w:p>
              </w:tc>
              <w:tc>
                <w:tcPr>
                  <w:tcW w:w="1128" w:type="dxa"/>
                  <w:shd w:val="clear" w:color="auto" w:fill="auto"/>
                  <w:vAlign w:val="center"/>
                </w:tcPr>
                <w:p>
                  <w:pPr>
                    <w:pStyle w:val="97"/>
                    <w:widowControl w:val="0"/>
                    <w:adjustRightInd w:val="0"/>
                    <w:snapToGrid w:val="0"/>
                    <w:ind w:left="-63" w:leftChars="-30" w:right="-63" w:rightChars="-30" w:firstLine="0" w:firstLineChars="0"/>
                    <w:jc w:val="center"/>
                    <w:rPr>
                      <w:b/>
                      <w:bCs/>
                      <w:sz w:val="21"/>
                      <w:szCs w:val="21"/>
                    </w:rPr>
                  </w:pPr>
                  <w:r>
                    <w:rPr>
                      <w:rFonts w:hint="eastAsia"/>
                      <w:b/>
                      <w:bCs/>
                      <w:sz w:val="21"/>
                      <w:szCs w:val="21"/>
                    </w:rPr>
                    <w:t>许可证编号</w:t>
                  </w:r>
                </w:p>
              </w:tc>
              <w:tc>
                <w:tcPr>
                  <w:tcW w:w="5080" w:type="dxa"/>
                  <w:shd w:val="clear" w:color="auto" w:fill="auto"/>
                  <w:vAlign w:val="center"/>
                </w:tcPr>
                <w:p>
                  <w:pPr>
                    <w:pStyle w:val="97"/>
                    <w:widowControl w:val="0"/>
                    <w:adjustRightInd w:val="0"/>
                    <w:snapToGrid w:val="0"/>
                    <w:ind w:left="-63" w:leftChars="-30" w:right="-63" w:rightChars="-30" w:firstLine="0" w:firstLineChars="0"/>
                    <w:jc w:val="center"/>
                    <w:rPr>
                      <w:b/>
                      <w:bCs/>
                      <w:sz w:val="21"/>
                      <w:szCs w:val="21"/>
                    </w:rPr>
                  </w:pPr>
                  <w:r>
                    <w:rPr>
                      <w:rFonts w:hint="eastAsia"/>
                      <w:b/>
                      <w:bCs/>
                      <w:sz w:val="21"/>
                      <w:szCs w:val="21"/>
                    </w:rPr>
                    <w:t>核准经营范围、类别</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687" w:type="dxa"/>
                  <w:shd w:val="clear" w:color="auto" w:fill="auto"/>
                  <w:vAlign w:val="center"/>
                </w:tcPr>
                <w:p>
                  <w:pPr>
                    <w:pStyle w:val="97"/>
                    <w:widowControl w:val="0"/>
                    <w:adjustRightInd w:val="0"/>
                    <w:snapToGrid w:val="0"/>
                    <w:ind w:left="-63" w:leftChars="-30" w:right="-63" w:rightChars="-30" w:firstLine="0" w:firstLineChars="0"/>
                    <w:jc w:val="center"/>
                    <w:rPr>
                      <w:sz w:val="21"/>
                      <w:szCs w:val="21"/>
                    </w:rPr>
                  </w:pPr>
                  <w:r>
                    <w:rPr>
                      <w:rFonts w:hint="eastAsia"/>
                      <w:sz w:val="21"/>
                      <w:szCs w:val="21"/>
                    </w:rPr>
                    <w:t>芜湖市</w:t>
                  </w:r>
                </w:p>
              </w:tc>
              <w:tc>
                <w:tcPr>
                  <w:tcW w:w="1495" w:type="dxa"/>
                  <w:shd w:val="clear" w:color="auto" w:fill="auto"/>
                  <w:vAlign w:val="center"/>
                </w:tcPr>
                <w:p>
                  <w:pPr>
                    <w:pStyle w:val="97"/>
                    <w:widowControl w:val="0"/>
                    <w:adjustRightInd w:val="0"/>
                    <w:snapToGrid w:val="0"/>
                    <w:ind w:left="-63" w:leftChars="-30" w:right="-63" w:rightChars="-30" w:firstLine="0" w:firstLineChars="0"/>
                    <w:jc w:val="center"/>
                    <w:rPr>
                      <w:sz w:val="21"/>
                      <w:szCs w:val="21"/>
                    </w:rPr>
                  </w:pPr>
                  <w:r>
                    <w:rPr>
                      <w:rFonts w:hint="eastAsia"/>
                      <w:sz w:val="21"/>
                      <w:szCs w:val="21"/>
                    </w:rPr>
                    <w:t>芜湖致源环保科技有限公司</w:t>
                  </w:r>
                </w:p>
              </w:tc>
              <w:tc>
                <w:tcPr>
                  <w:tcW w:w="1128" w:type="dxa"/>
                  <w:shd w:val="clear" w:color="auto" w:fill="auto"/>
                  <w:vAlign w:val="center"/>
                </w:tcPr>
                <w:p>
                  <w:pPr>
                    <w:pStyle w:val="97"/>
                    <w:widowControl w:val="0"/>
                    <w:adjustRightInd w:val="0"/>
                    <w:snapToGrid w:val="0"/>
                    <w:ind w:left="-63" w:leftChars="-30" w:right="-63" w:rightChars="-30" w:firstLine="0" w:firstLineChars="0"/>
                    <w:jc w:val="center"/>
                    <w:rPr>
                      <w:sz w:val="21"/>
                      <w:szCs w:val="21"/>
                    </w:rPr>
                  </w:pPr>
                  <w:r>
                    <w:rPr>
                      <w:sz w:val="21"/>
                      <w:szCs w:val="21"/>
                    </w:rPr>
                    <w:t>340203002</w:t>
                  </w:r>
                </w:p>
              </w:tc>
              <w:tc>
                <w:tcPr>
                  <w:tcW w:w="5080" w:type="dxa"/>
                  <w:shd w:val="clear" w:color="auto" w:fill="auto"/>
                  <w:vAlign w:val="center"/>
                </w:tcPr>
                <w:p>
                  <w:pPr>
                    <w:pStyle w:val="97"/>
                    <w:widowControl w:val="0"/>
                    <w:adjustRightInd w:val="0"/>
                    <w:snapToGrid w:val="0"/>
                    <w:ind w:left="-63" w:leftChars="-30" w:right="-63" w:rightChars="-30" w:firstLine="0" w:firstLineChars="0"/>
                    <w:jc w:val="center"/>
                    <w:rPr>
                      <w:sz w:val="21"/>
                      <w:szCs w:val="21"/>
                    </w:rPr>
                  </w:pPr>
                  <w:r>
                    <w:rPr>
                      <w:rFonts w:hint="eastAsia"/>
                      <w:sz w:val="21"/>
                      <w:szCs w:val="21"/>
                    </w:rPr>
                    <w:t>HW08废矿物油与含矿物油废物、HW09油水烃水混合物或乳化液，HW12染料涂料废物，HW17表面处理废物，HW49其他废物。</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687" w:type="dxa"/>
                  <w:shd w:val="clear" w:color="auto" w:fill="auto"/>
                  <w:vAlign w:val="center"/>
                </w:tcPr>
                <w:p>
                  <w:pPr>
                    <w:pStyle w:val="97"/>
                    <w:widowControl w:val="0"/>
                    <w:adjustRightInd w:val="0"/>
                    <w:snapToGrid w:val="0"/>
                    <w:ind w:left="-63" w:leftChars="-30" w:right="-63" w:rightChars="-30" w:firstLine="0" w:firstLineChars="0"/>
                    <w:jc w:val="center"/>
                    <w:rPr>
                      <w:sz w:val="21"/>
                      <w:szCs w:val="21"/>
                    </w:rPr>
                  </w:pPr>
                  <w:r>
                    <w:rPr>
                      <w:rFonts w:hint="eastAsia"/>
                      <w:sz w:val="21"/>
                      <w:szCs w:val="21"/>
                    </w:rPr>
                    <w:t>芜湖市</w:t>
                  </w:r>
                </w:p>
              </w:tc>
              <w:tc>
                <w:tcPr>
                  <w:tcW w:w="1495" w:type="dxa"/>
                  <w:shd w:val="clear" w:color="auto" w:fill="auto"/>
                  <w:vAlign w:val="center"/>
                </w:tcPr>
                <w:p>
                  <w:pPr>
                    <w:pStyle w:val="97"/>
                    <w:widowControl w:val="0"/>
                    <w:adjustRightInd w:val="0"/>
                    <w:snapToGrid w:val="0"/>
                    <w:ind w:left="-63" w:leftChars="-30" w:right="-63" w:rightChars="-30" w:firstLine="0" w:firstLineChars="0"/>
                    <w:jc w:val="center"/>
                    <w:rPr>
                      <w:sz w:val="21"/>
                      <w:szCs w:val="21"/>
                    </w:rPr>
                  </w:pPr>
                  <w:r>
                    <w:rPr>
                      <w:rFonts w:hint="eastAsia"/>
                      <w:sz w:val="21"/>
                      <w:szCs w:val="21"/>
                    </w:rPr>
                    <w:t>芜湖海创环保科技有限责任公司</w:t>
                  </w:r>
                </w:p>
              </w:tc>
              <w:tc>
                <w:tcPr>
                  <w:tcW w:w="1128" w:type="dxa"/>
                  <w:shd w:val="clear" w:color="auto" w:fill="auto"/>
                  <w:vAlign w:val="center"/>
                </w:tcPr>
                <w:p>
                  <w:pPr>
                    <w:pStyle w:val="97"/>
                    <w:widowControl w:val="0"/>
                    <w:adjustRightInd w:val="0"/>
                    <w:snapToGrid w:val="0"/>
                    <w:ind w:left="-63" w:leftChars="-30" w:right="-63" w:rightChars="-30" w:firstLine="0" w:firstLineChars="0"/>
                    <w:jc w:val="center"/>
                    <w:rPr>
                      <w:sz w:val="21"/>
                      <w:szCs w:val="21"/>
                    </w:rPr>
                  </w:pPr>
                  <w:r>
                    <w:rPr>
                      <w:sz w:val="21"/>
                      <w:szCs w:val="21"/>
                    </w:rPr>
                    <w:t>340222002</w:t>
                  </w:r>
                </w:p>
              </w:tc>
              <w:tc>
                <w:tcPr>
                  <w:tcW w:w="5080" w:type="dxa"/>
                  <w:shd w:val="clear" w:color="auto" w:fill="auto"/>
                  <w:vAlign w:val="center"/>
                </w:tcPr>
                <w:p>
                  <w:pPr>
                    <w:pStyle w:val="97"/>
                    <w:widowControl w:val="0"/>
                    <w:adjustRightInd w:val="0"/>
                    <w:snapToGrid w:val="0"/>
                    <w:ind w:left="-63" w:leftChars="-30" w:right="-63" w:rightChars="-30" w:firstLine="0" w:firstLineChars="0"/>
                    <w:jc w:val="center"/>
                    <w:rPr>
                      <w:sz w:val="21"/>
                      <w:szCs w:val="21"/>
                    </w:rPr>
                  </w:pPr>
                  <w:r>
                    <w:rPr>
                      <w:rFonts w:hint="eastAsia"/>
                      <w:sz w:val="21"/>
                      <w:szCs w:val="21"/>
                    </w:rPr>
                    <w:t>HW02、HW04、HW06、HW08、HW09、HW11、HW12、HW13、HW17、HW18、HW22 、HW31、HW34、HW39、HW45、HW48、HW49等17大类，283小类。</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687" w:type="dxa"/>
                  <w:shd w:val="clear" w:color="auto" w:fill="auto"/>
                  <w:vAlign w:val="center"/>
                </w:tcPr>
                <w:p>
                  <w:pPr>
                    <w:pStyle w:val="97"/>
                    <w:widowControl w:val="0"/>
                    <w:adjustRightInd w:val="0"/>
                    <w:snapToGrid w:val="0"/>
                    <w:ind w:left="-63" w:leftChars="-30" w:right="-63" w:rightChars="-30" w:firstLine="0" w:firstLineChars="0"/>
                    <w:jc w:val="center"/>
                    <w:rPr>
                      <w:sz w:val="21"/>
                      <w:szCs w:val="21"/>
                    </w:rPr>
                  </w:pPr>
                  <w:r>
                    <w:rPr>
                      <w:rFonts w:hint="eastAsia"/>
                      <w:sz w:val="21"/>
                      <w:szCs w:val="21"/>
                    </w:rPr>
                    <w:t>芜湖市</w:t>
                  </w:r>
                </w:p>
              </w:tc>
              <w:tc>
                <w:tcPr>
                  <w:tcW w:w="1495" w:type="dxa"/>
                  <w:shd w:val="clear" w:color="auto" w:fill="auto"/>
                  <w:vAlign w:val="center"/>
                </w:tcPr>
                <w:p>
                  <w:pPr>
                    <w:pStyle w:val="97"/>
                    <w:widowControl w:val="0"/>
                    <w:adjustRightInd w:val="0"/>
                    <w:snapToGrid w:val="0"/>
                    <w:ind w:left="-63" w:leftChars="-30" w:right="-63" w:rightChars="-30" w:firstLine="0" w:firstLineChars="0"/>
                    <w:jc w:val="center"/>
                    <w:rPr>
                      <w:sz w:val="21"/>
                      <w:szCs w:val="21"/>
                    </w:rPr>
                  </w:pPr>
                  <w:r>
                    <w:rPr>
                      <w:rFonts w:hint="eastAsia"/>
                      <w:sz w:val="21"/>
                      <w:szCs w:val="21"/>
                    </w:rPr>
                    <w:t>安徽优环再生资源利用有限公司</w:t>
                  </w:r>
                </w:p>
              </w:tc>
              <w:tc>
                <w:tcPr>
                  <w:tcW w:w="1128" w:type="dxa"/>
                  <w:shd w:val="clear" w:color="auto" w:fill="auto"/>
                  <w:vAlign w:val="center"/>
                </w:tcPr>
                <w:p>
                  <w:pPr>
                    <w:pStyle w:val="97"/>
                    <w:widowControl w:val="0"/>
                    <w:adjustRightInd w:val="0"/>
                    <w:snapToGrid w:val="0"/>
                    <w:ind w:left="-63" w:leftChars="-30" w:right="-63" w:rightChars="-30" w:firstLine="0" w:firstLineChars="0"/>
                    <w:jc w:val="center"/>
                    <w:rPr>
                      <w:sz w:val="21"/>
                      <w:szCs w:val="21"/>
                    </w:rPr>
                  </w:pPr>
                  <w:r>
                    <w:rPr>
                      <w:sz w:val="21"/>
                      <w:szCs w:val="21"/>
                    </w:rPr>
                    <w:t>340271001</w:t>
                  </w:r>
                </w:p>
              </w:tc>
              <w:tc>
                <w:tcPr>
                  <w:tcW w:w="5080" w:type="dxa"/>
                  <w:shd w:val="clear" w:color="auto" w:fill="auto"/>
                  <w:vAlign w:val="center"/>
                </w:tcPr>
                <w:p>
                  <w:pPr>
                    <w:pStyle w:val="97"/>
                    <w:widowControl w:val="0"/>
                    <w:adjustRightInd w:val="0"/>
                    <w:snapToGrid w:val="0"/>
                    <w:ind w:left="-63" w:leftChars="-30" w:right="-63" w:rightChars="-30" w:firstLine="0" w:firstLineChars="0"/>
                    <w:jc w:val="center"/>
                    <w:rPr>
                      <w:sz w:val="21"/>
                      <w:szCs w:val="21"/>
                    </w:rPr>
                  </w:pPr>
                  <w:r>
                    <w:rPr>
                      <w:rFonts w:hint="eastAsia"/>
                      <w:sz w:val="21"/>
                      <w:szCs w:val="21"/>
                    </w:rPr>
                    <w:t>HW06、HW08、HW09、HW11、HW12、HW13、HW16、HW17、HW18、HW22、HW32 、HW34、HW35、HW48、HW49、HW50等16大类、108小类。</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687" w:type="dxa"/>
                  <w:shd w:val="clear" w:color="auto" w:fill="auto"/>
                  <w:vAlign w:val="center"/>
                </w:tcPr>
                <w:p>
                  <w:pPr>
                    <w:pStyle w:val="97"/>
                    <w:widowControl w:val="0"/>
                    <w:adjustRightInd w:val="0"/>
                    <w:snapToGrid w:val="0"/>
                    <w:ind w:left="-63" w:leftChars="-30" w:right="-63" w:rightChars="-30" w:firstLine="0" w:firstLineChars="0"/>
                    <w:jc w:val="center"/>
                    <w:rPr>
                      <w:sz w:val="21"/>
                      <w:szCs w:val="21"/>
                    </w:rPr>
                  </w:pPr>
                  <w:r>
                    <w:rPr>
                      <w:rFonts w:hint="eastAsia"/>
                      <w:sz w:val="21"/>
                      <w:szCs w:val="21"/>
                    </w:rPr>
                    <w:t>马鞍山市</w:t>
                  </w:r>
                </w:p>
              </w:tc>
              <w:tc>
                <w:tcPr>
                  <w:tcW w:w="1495" w:type="dxa"/>
                  <w:shd w:val="clear" w:color="auto" w:fill="auto"/>
                  <w:vAlign w:val="center"/>
                </w:tcPr>
                <w:p>
                  <w:pPr>
                    <w:pStyle w:val="97"/>
                    <w:widowControl w:val="0"/>
                    <w:adjustRightInd w:val="0"/>
                    <w:snapToGrid w:val="0"/>
                    <w:ind w:left="-63" w:leftChars="-30" w:right="-63" w:rightChars="-30" w:firstLine="0" w:firstLineChars="0"/>
                    <w:jc w:val="center"/>
                    <w:rPr>
                      <w:sz w:val="21"/>
                      <w:szCs w:val="21"/>
                    </w:rPr>
                  </w:pPr>
                  <w:r>
                    <w:rPr>
                      <w:rFonts w:hint="eastAsia"/>
                      <w:sz w:val="21"/>
                      <w:szCs w:val="21"/>
                    </w:rPr>
                    <w:t>马鞍山澳新环保科技有限公司</w:t>
                  </w:r>
                </w:p>
              </w:tc>
              <w:tc>
                <w:tcPr>
                  <w:tcW w:w="1128" w:type="dxa"/>
                  <w:shd w:val="clear" w:color="auto" w:fill="auto"/>
                  <w:vAlign w:val="center"/>
                </w:tcPr>
                <w:p>
                  <w:pPr>
                    <w:pStyle w:val="97"/>
                    <w:widowControl w:val="0"/>
                    <w:adjustRightInd w:val="0"/>
                    <w:snapToGrid w:val="0"/>
                    <w:ind w:left="-63" w:leftChars="-30" w:right="-63" w:rightChars="-30" w:firstLine="0" w:firstLineChars="0"/>
                    <w:jc w:val="center"/>
                    <w:rPr>
                      <w:sz w:val="21"/>
                      <w:szCs w:val="21"/>
                    </w:rPr>
                  </w:pPr>
                  <w:r>
                    <w:rPr>
                      <w:sz w:val="21"/>
                      <w:szCs w:val="21"/>
                    </w:rPr>
                    <w:t>340504001</w:t>
                  </w:r>
                </w:p>
              </w:tc>
              <w:tc>
                <w:tcPr>
                  <w:tcW w:w="5080" w:type="dxa"/>
                  <w:shd w:val="clear" w:color="auto" w:fill="auto"/>
                  <w:vAlign w:val="center"/>
                </w:tcPr>
                <w:p>
                  <w:pPr>
                    <w:pStyle w:val="97"/>
                    <w:widowControl w:val="0"/>
                    <w:adjustRightInd w:val="0"/>
                    <w:snapToGrid w:val="0"/>
                    <w:ind w:left="-63" w:leftChars="-30" w:right="-63" w:rightChars="-30" w:firstLine="412"/>
                    <w:jc w:val="center"/>
                    <w:rPr>
                      <w:sz w:val="21"/>
                      <w:szCs w:val="21"/>
                    </w:rPr>
                  </w:pPr>
                  <w:r>
                    <w:rPr>
                      <w:rFonts w:hint="eastAsia"/>
                      <w:sz w:val="21"/>
                      <w:szCs w:val="21"/>
                    </w:rPr>
                    <w:t>HW01-HW06、HW08、HW09、HW11-HW14、HW16-HW18、HW21-HW23、HW29、 HW31-HW40、HW45、HW46、HW48-HW50焚烧10000吨/年（含医疗废物1000吨）、物化处理13000吨/年、固化、稳定化及安全填埋10100吨/年。</w:t>
                  </w:r>
                </w:p>
              </w:tc>
            </w:tr>
          </w:tbl>
          <w:p>
            <w:pPr>
              <w:autoSpaceDE w:val="0"/>
              <w:autoSpaceDN w:val="0"/>
              <w:adjustRightInd w:val="0"/>
              <w:spacing w:line="360" w:lineRule="auto"/>
              <w:ind w:firstLine="480" w:firstLineChars="200"/>
              <w:jc w:val="left"/>
              <w:rPr>
                <w:color w:val="000000"/>
                <w:kern w:val="0"/>
                <w:sz w:val="24"/>
              </w:rPr>
            </w:pPr>
          </w:p>
          <w:p>
            <w:pPr>
              <w:autoSpaceDE w:val="0"/>
              <w:autoSpaceDN w:val="0"/>
              <w:adjustRightInd w:val="0"/>
              <w:spacing w:line="360" w:lineRule="auto"/>
              <w:ind w:firstLine="480" w:firstLineChars="200"/>
              <w:jc w:val="left"/>
              <w:rPr>
                <w:color w:val="000000"/>
                <w:kern w:val="0"/>
                <w:sz w:val="24"/>
              </w:rPr>
            </w:pPr>
            <w:r>
              <w:rPr>
                <w:rFonts w:hint="eastAsia"/>
                <w:color w:val="000000"/>
                <w:kern w:val="0"/>
                <w:sz w:val="24"/>
              </w:rPr>
              <w:t>从上表可以看出，建设单位产生的危险废物在安徽省内有多家适合的资质单位进行处理处置。</w:t>
            </w:r>
          </w:p>
          <w:p>
            <w:pPr>
              <w:pStyle w:val="80"/>
              <w:adjustRightInd w:val="0"/>
              <w:snapToGrid w:val="0"/>
              <w:spacing w:line="440" w:lineRule="exact"/>
              <w:ind w:firstLine="480" w:firstLineChars="200"/>
              <w:rPr>
                <w:rFonts w:ascii="Times New Roman" w:hAnsi="Times New Roman" w:eastAsia="宋体"/>
                <w:color w:val="000000"/>
                <w:sz w:val="24"/>
                <w:szCs w:val="24"/>
              </w:rPr>
            </w:pPr>
            <w:r>
              <w:rPr>
                <w:rFonts w:hint="eastAsia" w:ascii="Times New Roman" w:hAnsi="Times New Roman" w:eastAsia="宋体"/>
                <w:color w:val="000000"/>
                <w:sz w:val="24"/>
                <w:szCs w:val="24"/>
              </w:rPr>
              <w:t>综上所述，建设单位需做好强化管理，一般固废、生活垃圾的收集、贮存和清运工作，危险废物的收集、暂存，并采取安全处置方法，经处置后固体废弃物不会对周围环境产生明显的不利影响。</w:t>
            </w:r>
          </w:p>
          <w:p>
            <w:pPr>
              <w:spacing w:line="460" w:lineRule="exact"/>
              <w:ind w:firstLine="482"/>
              <w:rPr>
                <w:b/>
                <w:color w:val="000000"/>
                <w:sz w:val="24"/>
              </w:rPr>
            </w:pPr>
            <w:r>
              <w:rPr>
                <w:rFonts w:hint="eastAsia"/>
                <w:b/>
                <w:color w:val="000000"/>
                <w:sz w:val="24"/>
              </w:rPr>
              <w:t>五、土壤环境影响分析</w:t>
            </w:r>
          </w:p>
          <w:p>
            <w:pPr>
              <w:autoSpaceDE w:val="0"/>
              <w:spacing w:line="360" w:lineRule="auto"/>
              <w:ind w:firstLine="480" w:firstLineChars="200"/>
              <w:rPr>
                <w:rFonts w:hint="eastAsia" w:ascii="Times New Roman" w:hAnsi="Times New Roman" w:cs="Times New Roman"/>
                <w:color w:val="000000"/>
                <w:sz w:val="24"/>
                <w:szCs w:val="22"/>
              </w:rPr>
            </w:pPr>
            <w:r>
              <w:rPr>
                <w:rFonts w:hint="eastAsia" w:ascii="Times New Roman" w:hAnsi="Times New Roman" w:cs="Times New Roman"/>
                <w:color w:val="000000"/>
                <w:sz w:val="24"/>
                <w:szCs w:val="22"/>
              </w:rPr>
              <w:t>根据《环境影响评价技术导则土壤环境（试行）》（HJ964-2018）中附录A土壤环境影响评价项目类别可知，本项目为其他非金属矿物制品制造，属于附录A中制造业—</w:t>
            </w:r>
            <w:r>
              <w:rPr>
                <w:rFonts w:hint="eastAsia" w:ascii="Times New Roman" w:hAnsi="Times New Roman" w:cs="Times New Roman"/>
                <w:color w:val="000000"/>
                <w:sz w:val="24"/>
                <w:szCs w:val="22"/>
                <w:lang w:val="zh-CN"/>
              </w:rPr>
              <w:t>金属冶炼和压延却工及非金属矿物制品</w:t>
            </w:r>
            <w:r>
              <w:rPr>
                <w:rFonts w:hint="eastAsia" w:ascii="Times New Roman" w:hAnsi="Times New Roman" w:cs="Times New Roman"/>
                <w:color w:val="000000"/>
                <w:sz w:val="24"/>
                <w:szCs w:val="22"/>
              </w:rPr>
              <w:t>—其他。土壤环境影响评价项目类别为Ⅲ类。</w:t>
            </w:r>
          </w:p>
          <w:p>
            <w:pPr>
              <w:widowControl/>
              <w:spacing w:line="360" w:lineRule="auto"/>
              <w:ind w:firstLine="480" w:firstLineChars="200"/>
              <w:rPr>
                <w:sz w:val="24"/>
                <w:szCs w:val="22"/>
              </w:rPr>
            </w:pPr>
            <w:r>
              <w:rPr>
                <w:sz w:val="24"/>
                <w:szCs w:val="22"/>
              </w:rPr>
              <w:t>（1）占地规模划分</w:t>
            </w:r>
          </w:p>
          <w:p>
            <w:pPr>
              <w:widowControl/>
              <w:spacing w:line="360" w:lineRule="auto"/>
              <w:ind w:firstLine="480" w:firstLineChars="200"/>
              <w:rPr>
                <w:sz w:val="24"/>
                <w:szCs w:val="22"/>
              </w:rPr>
            </w:pPr>
            <w:r>
              <w:rPr>
                <w:sz w:val="24"/>
                <w:szCs w:val="22"/>
              </w:rPr>
              <w:t>根据《环境影响评价技术导则土壤环境（试行）》（HJ964-2018）中6.2.2.1条，将建设项目占地规模分为大型（≥50hm</w:t>
            </w:r>
            <w:r>
              <w:rPr>
                <w:sz w:val="24"/>
                <w:szCs w:val="22"/>
                <w:vertAlign w:val="superscript"/>
              </w:rPr>
              <w:t>2</w:t>
            </w:r>
            <w:r>
              <w:rPr>
                <w:sz w:val="24"/>
                <w:szCs w:val="22"/>
              </w:rPr>
              <w:t>）、中型（5-50hm</w:t>
            </w:r>
            <w:r>
              <w:rPr>
                <w:sz w:val="24"/>
                <w:szCs w:val="22"/>
                <w:vertAlign w:val="superscript"/>
              </w:rPr>
              <w:t>2</w:t>
            </w:r>
            <w:r>
              <w:rPr>
                <w:sz w:val="24"/>
                <w:szCs w:val="22"/>
              </w:rPr>
              <w:t>）、小型（≤5hm</w:t>
            </w:r>
            <w:r>
              <w:rPr>
                <w:sz w:val="24"/>
                <w:szCs w:val="22"/>
                <w:vertAlign w:val="superscript"/>
              </w:rPr>
              <w:t>2</w:t>
            </w:r>
            <w:r>
              <w:rPr>
                <w:sz w:val="24"/>
                <w:szCs w:val="22"/>
              </w:rPr>
              <w:t>），建设项目占地主要永久占地。</w:t>
            </w:r>
          </w:p>
          <w:p>
            <w:pPr>
              <w:widowControl/>
              <w:spacing w:line="360" w:lineRule="auto"/>
              <w:ind w:firstLine="480" w:firstLineChars="200"/>
              <w:rPr>
                <w:sz w:val="24"/>
                <w:szCs w:val="22"/>
              </w:rPr>
            </w:pPr>
            <w:r>
              <w:rPr>
                <w:sz w:val="24"/>
                <w:szCs w:val="22"/>
              </w:rPr>
              <w:t>本项目永久占地面积≤5hm</w:t>
            </w:r>
            <w:r>
              <w:rPr>
                <w:sz w:val="24"/>
                <w:szCs w:val="22"/>
                <w:vertAlign w:val="superscript"/>
              </w:rPr>
              <w:t>2</w:t>
            </w:r>
            <w:r>
              <w:rPr>
                <w:sz w:val="24"/>
                <w:szCs w:val="22"/>
              </w:rPr>
              <w:t>，占地规模属于小型。</w:t>
            </w:r>
          </w:p>
          <w:p>
            <w:pPr>
              <w:widowControl/>
              <w:spacing w:line="360" w:lineRule="auto"/>
              <w:ind w:firstLine="480" w:firstLineChars="200"/>
              <w:rPr>
                <w:sz w:val="24"/>
                <w:szCs w:val="22"/>
              </w:rPr>
            </w:pPr>
            <w:r>
              <w:rPr>
                <w:sz w:val="24"/>
                <w:szCs w:val="22"/>
              </w:rPr>
              <w:t>（2）敏感程度划分</w:t>
            </w:r>
          </w:p>
          <w:p>
            <w:pPr>
              <w:widowControl/>
              <w:spacing w:line="360" w:lineRule="auto"/>
              <w:ind w:firstLine="480" w:firstLineChars="200"/>
              <w:rPr>
                <w:sz w:val="24"/>
                <w:szCs w:val="22"/>
              </w:rPr>
            </w:pPr>
            <w:r>
              <w:rPr>
                <w:sz w:val="24"/>
                <w:szCs w:val="22"/>
              </w:rPr>
              <w:t>根据《环境影响评价技术导则土壤环境（试行）》（HJ964-2018）中6.2.2.2条，建设项目所在地周边的土壤环境敏感程度分为敏感、较敏感、不敏感，判断依据见下表。</w:t>
            </w:r>
          </w:p>
          <w:p>
            <w:pPr>
              <w:spacing w:line="360" w:lineRule="auto"/>
              <w:jc w:val="center"/>
              <w:rPr>
                <w:rFonts w:ascii="Times New Roman" w:hAnsi="Times New Roman"/>
                <w:b/>
                <w:sz w:val="24"/>
                <w:szCs w:val="24"/>
              </w:rPr>
            </w:pPr>
            <w:r>
              <w:rPr>
                <w:rFonts w:ascii="Times New Roman" w:hAnsi="Times New Roman"/>
                <w:b/>
                <w:sz w:val="24"/>
                <w:szCs w:val="24"/>
              </w:rPr>
              <w:t>表</w:t>
            </w:r>
            <w:r>
              <w:rPr>
                <w:rFonts w:hint="eastAsia"/>
                <w:b/>
                <w:sz w:val="24"/>
                <w:szCs w:val="24"/>
                <w:lang w:val="en-US" w:eastAsia="zh-CN"/>
              </w:rPr>
              <w:t>4-5</w:t>
            </w:r>
            <w:r>
              <w:rPr>
                <w:rFonts w:ascii="Times New Roman" w:hAnsi="Times New Roman"/>
                <w:b/>
                <w:sz w:val="24"/>
                <w:szCs w:val="24"/>
              </w:rPr>
              <w:t xml:space="preserve">  污染影响型敏感程度分级表</w:t>
            </w:r>
          </w:p>
          <w:tbl>
            <w:tblPr>
              <w:tblStyle w:val="26"/>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756"/>
              <w:gridCol w:w="6102"/>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1707" w:type="dxa"/>
                  <w:noWrap w:val="0"/>
                  <w:vAlign w:val="center"/>
                </w:tcPr>
                <w:p>
                  <w:pPr>
                    <w:spacing w:line="240" w:lineRule="atLeast"/>
                    <w:jc w:val="center"/>
                    <w:rPr>
                      <w:rFonts w:ascii="Times New Roman" w:hAnsi="Times New Roman"/>
                      <w:b/>
                      <w:bCs/>
                      <w:szCs w:val="21"/>
                    </w:rPr>
                  </w:pPr>
                  <w:r>
                    <w:rPr>
                      <w:rFonts w:ascii="Times New Roman" w:hAnsi="Times New Roman"/>
                      <w:b/>
                      <w:bCs/>
                      <w:szCs w:val="21"/>
                    </w:rPr>
                    <w:t>敏感程度</w:t>
                  </w:r>
                </w:p>
              </w:tc>
              <w:tc>
                <w:tcPr>
                  <w:tcW w:w="5932" w:type="dxa"/>
                  <w:noWrap w:val="0"/>
                  <w:vAlign w:val="center"/>
                </w:tcPr>
                <w:p>
                  <w:pPr>
                    <w:jc w:val="center"/>
                    <w:rPr>
                      <w:rFonts w:ascii="Times New Roman" w:hAnsi="Times New Roman"/>
                      <w:b/>
                      <w:bCs/>
                      <w:szCs w:val="21"/>
                    </w:rPr>
                  </w:pPr>
                  <w:r>
                    <w:rPr>
                      <w:rFonts w:ascii="Times New Roman" w:hAnsi="Times New Roman"/>
                      <w:b/>
                      <w:bCs/>
                      <w:szCs w:val="21"/>
                    </w:rPr>
                    <w:t>判定依据</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1" w:hRule="atLeast"/>
                <w:tblHeader/>
                <w:jc w:val="center"/>
              </w:trPr>
              <w:tc>
                <w:tcPr>
                  <w:tcW w:w="1707" w:type="dxa"/>
                  <w:noWrap w:val="0"/>
                  <w:vAlign w:val="center"/>
                </w:tcPr>
                <w:p>
                  <w:pPr>
                    <w:spacing w:line="240" w:lineRule="atLeast"/>
                    <w:jc w:val="center"/>
                    <w:rPr>
                      <w:rFonts w:ascii="Times New Roman" w:hAnsi="Times New Roman"/>
                      <w:szCs w:val="21"/>
                    </w:rPr>
                  </w:pPr>
                  <w:r>
                    <w:rPr>
                      <w:rFonts w:ascii="Times New Roman" w:hAnsi="Times New Roman"/>
                      <w:szCs w:val="21"/>
                    </w:rPr>
                    <w:t>敏感</w:t>
                  </w:r>
                </w:p>
              </w:tc>
              <w:tc>
                <w:tcPr>
                  <w:tcW w:w="5932" w:type="dxa"/>
                  <w:noWrap w:val="0"/>
                  <w:vAlign w:val="center"/>
                </w:tcPr>
                <w:p>
                  <w:pPr>
                    <w:jc w:val="center"/>
                    <w:rPr>
                      <w:rFonts w:ascii="Times New Roman" w:hAnsi="Times New Roman"/>
                      <w:szCs w:val="21"/>
                    </w:rPr>
                  </w:pPr>
                  <w:r>
                    <w:rPr>
                      <w:rFonts w:ascii="Times New Roman" w:hAnsi="Times New Roman"/>
                      <w:szCs w:val="21"/>
                    </w:rPr>
                    <w:t>建设项目周边存在耕地、园地、牧草地、饮用水水源地或居民区、学校、医院、疗养院、养老院等土壤环境敏感目标的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1707" w:type="dxa"/>
                  <w:noWrap w:val="0"/>
                  <w:vAlign w:val="center"/>
                </w:tcPr>
                <w:p>
                  <w:pPr>
                    <w:spacing w:line="240" w:lineRule="atLeast"/>
                    <w:jc w:val="center"/>
                    <w:rPr>
                      <w:rFonts w:ascii="Times New Roman" w:hAnsi="Times New Roman"/>
                      <w:szCs w:val="21"/>
                    </w:rPr>
                  </w:pPr>
                  <w:r>
                    <w:rPr>
                      <w:rFonts w:ascii="Times New Roman" w:hAnsi="Times New Roman"/>
                      <w:szCs w:val="21"/>
                    </w:rPr>
                    <w:t>较敏感</w:t>
                  </w:r>
                </w:p>
              </w:tc>
              <w:tc>
                <w:tcPr>
                  <w:tcW w:w="5932" w:type="dxa"/>
                  <w:noWrap w:val="0"/>
                  <w:vAlign w:val="center"/>
                </w:tcPr>
                <w:p>
                  <w:pPr>
                    <w:jc w:val="center"/>
                    <w:rPr>
                      <w:rFonts w:ascii="Times New Roman" w:hAnsi="Times New Roman"/>
                      <w:szCs w:val="21"/>
                    </w:rPr>
                  </w:pPr>
                  <w:r>
                    <w:rPr>
                      <w:rFonts w:ascii="Times New Roman" w:hAnsi="Times New Roman"/>
                      <w:szCs w:val="21"/>
                    </w:rPr>
                    <w:t>建设项目周边存在其他土壤环境敏感目标的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7" w:hRule="atLeast"/>
                <w:tblHeader/>
                <w:jc w:val="center"/>
              </w:trPr>
              <w:tc>
                <w:tcPr>
                  <w:tcW w:w="1707" w:type="dxa"/>
                  <w:noWrap w:val="0"/>
                  <w:vAlign w:val="center"/>
                </w:tcPr>
                <w:p>
                  <w:pPr>
                    <w:spacing w:line="240" w:lineRule="atLeast"/>
                    <w:jc w:val="center"/>
                    <w:rPr>
                      <w:rFonts w:ascii="Times New Roman" w:hAnsi="Times New Roman"/>
                      <w:szCs w:val="21"/>
                    </w:rPr>
                  </w:pPr>
                  <w:r>
                    <w:rPr>
                      <w:rFonts w:ascii="Times New Roman" w:hAnsi="Times New Roman"/>
                      <w:szCs w:val="21"/>
                    </w:rPr>
                    <w:t>不敏感</w:t>
                  </w:r>
                </w:p>
              </w:tc>
              <w:tc>
                <w:tcPr>
                  <w:tcW w:w="5932" w:type="dxa"/>
                  <w:noWrap w:val="0"/>
                  <w:vAlign w:val="center"/>
                </w:tcPr>
                <w:p>
                  <w:pPr>
                    <w:jc w:val="center"/>
                    <w:rPr>
                      <w:rFonts w:ascii="Times New Roman" w:hAnsi="Times New Roman"/>
                      <w:szCs w:val="21"/>
                    </w:rPr>
                  </w:pPr>
                  <w:r>
                    <w:rPr>
                      <w:rFonts w:ascii="Times New Roman" w:hAnsi="Times New Roman"/>
                      <w:szCs w:val="21"/>
                    </w:rPr>
                    <w:t>其他情况</w:t>
                  </w:r>
                </w:p>
              </w:tc>
            </w:tr>
          </w:tbl>
          <w:p>
            <w:pPr>
              <w:widowControl/>
              <w:spacing w:line="360" w:lineRule="auto"/>
              <w:ind w:firstLine="480" w:firstLineChars="200"/>
              <w:rPr>
                <w:rFonts w:ascii="Times New Roman" w:hAnsi="Times New Roman"/>
                <w:sz w:val="24"/>
                <w:szCs w:val="22"/>
              </w:rPr>
            </w:pPr>
            <w:r>
              <w:rPr>
                <w:rFonts w:hint="eastAsia"/>
                <w:color w:val="000000"/>
                <w:sz w:val="24"/>
              </w:rPr>
              <w:t>项目的土壤环境敏感程度为不敏感</w:t>
            </w:r>
            <w:r>
              <w:rPr>
                <w:rFonts w:ascii="Times New Roman" w:hAnsi="Times New Roman"/>
                <w:sz w:val="24"/>
                <w:szCs w:val="22"/>
              </w:rPr>
              <w:t>。</w:t>
            </w:r>
          </w:p>
          <w:p>
            <w:pPr>
              <w:widowControl/>
              <w:spacing w:line="360" w:lineRule="auto"/>
              <w:ind w:firstLine="480" w:firstLineChars="200"/>
              <w:rPr>
                <w:rFonts w:ascii="Times New Roman" w:hAnsi="Times New Roman"/>
                <w:sz w:val="24"/>
                <w:szCs w:val="22"/>
              </w:rPr>
            </w:pPr>
            <w:r>
              <w:rPr>
                <w:rFonts w:ascii="Times New Roman" w:hAnsi="Times New Roman"/>
                <w:sz w:val="24"/>
                <w:szCs w:val="22"/>
              </w:rPr>
              <w:t>（3）评价等级判定</w:t>
            </w:r>
          </w:p>
          <w:p>
            <w:pPr>
              <w:widowControl/>
              <w:spacing w:line="360" w:lineRule="auto"/>
              <w:ind w:firstLine="480" w:firstLineChars="200"/>
              <w:rPr>
                <w:rFonts w:ascii="Times New Roman" w:hAnsi="Times New Roman"/>
                <w:sz w:val="24"/>
                <w:szCs w:val="22"/>
              </w:rPr>
            </w:pPr>
            <w:r>
              <w:rPr>
                <w:rFonts w:ascii="Times New Roman" w:hAnsi="Times New Roman"/>
                <w:sz w:val="24"/>
                <w:szCs w:val="22"/>
              </w:rPr>
              <w:t>本项目属于污染影响型项目，土壤环境影响评价工作等级划分为一级、二级、三级。</w:t>
            </w:r>
          </w:p>
          <w:p>
            <w:pPr>
              <w:widowControl/>
              <w:spacing w:line="360" w:lineRule="auto"/>
              <w:ind w:firstLine="480" w:firstLineChars="200"/>
              <w:rPr>
                <w:rFonts w:ascii="Times New Roman" w:hAnsi="Times New Roman"/>
                <w:sz w:val="24"/>
                <w:szCs w:val="22"/>
              </w:rPr>
            </w:pPr>
            <w:r>
              <w:rPr>
                <w:rFonts w:ascii="Times New Roman" w:hAnsi="Times New Roman"/>
                <w:sz w:val="24"/>
                <w:szCs w:val="22"/>
              </w:rPr>
              <w:t>根据《环境影响评价技术导则土壤环境（试行）》（HJ964-2018）中6.2.2.3条，根据土城环境影响评价项目类别、占地规模与敏感程度划分评价工作等级，详见下表。</w:t>
            </w:r>
          </w:p>
          <w:p>
            <w:pPr>
              <w:spacing w:line="360" w:lineRule="auto"/>
              <w:jc w:val="center"/>
              <w:rPr>
                <w:rFonts w:ascii="Times New Roman" w:hAnsi="Times New Roman"/>
                <w:b/>
                <w:sz w:val="24"/>
                <w:szCs w:val="24"/>
              </w:rPr>
            </w:pPr>
            <w:r>
              <w:rPr>
                <w:rFonts w:ascii="Times New Roman" w:hAnsi="Times New Roman"/>
                <w:b/>
                <w:sz w:val="24"/>
                <w:szCs w:val="24"/>
              </w:rPr>
              <w:t>表</w:t>
            </w:r>
            <w:r>
              <w:rPr>
                <w:rFonts w:hint="eastAsia"/>
                <w:b/>
                <w:sz w:val="24"/>
                <w:szCs w:val="24"/>
                <w:lang w:val="en-US" w:eastAsia="zh-CN"/>
              </w:rPr>
              <w:t>4</w:t>
            </w:r>
            <w:r>
              <w:rPr>
                <w:rFonts w:ascii="Times New Roman" w:hAnsi="Times New Roman"/>
                <w:b/>
                <w:sz w:val="24"/>
                <w:szCs w:val="24"/>
              </w:rPr>
              <w:t>-</w:t>
            </w:r>
            <w:r>
              <w:rPr>
                <w:rFonts w:hint="eastAsia"/>
                <w:b/>
                <w:sz w:val="24"/>
                <w:szCs w:val="24"/>
                <w:lang w:val="en-US" w:eastAsia="zh-CN"/>
              </w:rPr>
              <w:t>6</w:t>
            </w:r>
            <w:r>
              <w:rPr>
                <w:rFonts w:ascii="Times New Roman" w:hAnsi="Times New Roman"/>
                <w:b/>
                <w:sz w:val="24"/>
                <w:szCs w:val="24"/>
              </w:rPr>
              <w:t xml:space="preserve">  污染影响型敏感程度分级表</w:t>
            </w:r>
          </w:p>
          <w:tbl>
            <w:tblPr>
              <w:tblStyle w:val="26"/>
              <w:tblW w:w="4815"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691"/>
              <w:gridCol w:w="702"/>
              <w:gridCol w:w="683"/>
              <w:gridCol w:w="644"/>
              <w:gridCol w:w="683"/>
              <w:gridCol w:w="656"/>
              <w:gridCol w:w="629"/>
              <w:gridCol w:w="670"/>
              <w:gridCol w:w="641"/>
              <w:gridCol w:w="570"/>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3" w:hRule="atLeast"/>
                <w:tblHeader/>
                <w:jc w:val="center"/>
              </w:trPr>
              <w:tc>
                <w:tcPr>
                  <w:tcW w:w="1689" w:type="dxa"/>
                  <w:vMerge w:val="restart"/>
                  <w:noWrap w:val="0"/>
                  <w:vAlign w:val="center"/>
                </w:tcPr>
                <w:p>
                  <w:pPr>
                    <w:spacing w:line="240" w:lineRule="atLeast"/>
                    <w:jc w:val="center"/>
                    <w:rPr>
                      <w:rFonts w:ascii="Times New Roman" w:hAnsi="Times New Roman"/>
                      <w:szCs w:val="21"/>
                    </w:rPr>
                  </w:pPr>
                  <w:r>
                    <w:rPr>
                      <w:rFonts w:ascii="Times New Roman" w:hAnsi="Times New Roman"/>
                      <w:sz w:val="24"/>
                    </w:rPr>
                    <mc:AlternateContent>
                      <mc:Choice Requires="wps">
                        <w:drawing>
                          <wp:anchor distT="0" distB="0" distL="114300" distR="114300" simplePos="0" relativeHeight="251661312" behindDoc="0" locked="0" layoutInCell="1" allowOverlap="1">
                            <wp:simplePos x="0" y="0"/>
                            <wp:positionH relativeFrom="column">
                              <wp:posOffset>553085</wp:posOffset>
                            </wp:positionH>
                            <wp:positionV relativeFrom="paragraph">
                              <wp:posOffset>4445</wp:posOffset>
                            </wp:positionV>
                            <wp:extent cx="963295" cy="46482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963295" cy="464820"/>
                                    </a:xfrm>
                                    <a:prstGeom prst="rect">
                                      <a:avLst/>
                                    </a:prstGeom>
                                    <a:noFill/>
                                    <a:ln>
                                      <a:noFill/>
                                    </a:ln>
                                  </wps:spPr>
                                  <wps:txbx>
                                    <w:txbxContent>
                                      <w:p>
                                        <w:pPr>
                                          <w:rPr>
                                            <w:rFonts w:hint="eastAsia"/>
                                          </w:rPr>
                                        </w:pPr>
                                        <w:r>
                                          <w:rPr>
                                            <w:rFonts w:hint="eastAsia"/>
                                          </w:rPr>
                                          <w:t>占地</w:t>
                                        </w:r>
                                      </w:p>
                                      <w:p>
                                        <w:r>
                                          <w:rPr>
                                            <w:rFonts w:hint="eastAsia"/>
                                          </w:rPr>
                                          <w:t>规模</w:t>
                                        </w:r>
                                      </w:p>
                                    </w:txbxContent>
                                  </wps:txbx>
                                  <wps:bodyPr upright="1"/>
                                </wps:wsp>
                              </a:graphicData>
                            </a:graphic>
                          </wp:anchor>
                        </w:drawing>
                      </mc:Choice>
                      <mc:Fallback>
                        <w:pict>
                          <v:shape id="_x0000_s1026" o:spid="_x0000_s1026" o:spt="202" type="#_x0000_t202" style="position:absolute;left:0pt;margin-left:43.55pt;margin-top:0.35pt;height:36.6pt;width:75.85pt;z-index:251661312;mso-width-relative:page;mso-height-relative:page;" filled="f" stroked="f" coordsize="21600,21600" o:gfxdata="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A6iIGx1AAAAAYB&#10;AAAPAAAAAAAAAAEAIAAAACIAAABkcnMvZG93bnJldi54bWxQSwECFAAUAAAACACHTuJAuaMnn60B&#10;AABPAwAADgAAAAAAAAABACAAAAAjAQAAZHJzL2Uyb0RvYy54bWxQSwUGAAAAAAYABgBZAQAAQgUA&#10;AAAA&#10;">
                            <v:fill on="f" focussize="0,0"/>
                            <v:stroke on="f"/>
                            <v:imagedata o:title=""/>
                            <o:lock v:ext="edit" aspectratio="f"/>
                            <v:textbox>
                              <w:txbxContent>
                                <w:p>
                                  <w:pPr>
                                    <w:rPr>
                                      <w:rFonts w:hint="eastAsia"/>
                                    </w:rPr>
                                  </w:pPr>
                                  <w:r>
                                    <w:rPr>
                                      <w:rFonts w:hint="eastAsia"/>
                                    </w:rPr>
                                    <w:t>占地</w:t>
                                  </w:r>
                                </w:p>
                                <w:p>
                                  <w:r>
                                    <w:rPr>
                                      <w:rFonts w:hint="eastAsia"/>
                                    </w:rPr>
                                    <w:t>规模</w:t>
                                  </w:r>
                                </w:p>
                              </w:txbxContent>
                            </v:textbox>
                          </v:shape>
                        </w:pict>
                      </mc:Fallback>
                    </mc:AlternateContent>
                  </w:r>
                  <w:r>
                    <w:rPr>
                      <w:rFonts w:ascii="Times New Roman" w:hAnsi="Times New Roman"/>
                      <w:sz w:val="24"/>
                    </w:rPr>
                    <mc:AlternateContent>
                      <mc:Choice Requires="wps">
                        <w:drawing>
                          <wp:anchor distT="0" distB="0" distL="114300" distR="114300" simplePos="0" relativeHeight="251663360" behindDoc="0" locked="0" layoutInCell="1" allowOverlap="1">
                            <wp:simplePos x="0" y="0"/>
                            <wp:positionH relativeFrom="column">
                              <wp:posOffset>-142875</wp:posOffset>
                            </wp:positionH>
                            <wp:positionV relativeFrom="paragraph">
                              <wp:posOffset>544195</wp:posOffset>
                            </wp:positionV>
                            <wp:extent cx="963295" cy="46482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963295" cy="464820"/>
                                    </a:xfrm>
                                    <a:prstGeom prst="rect">
                                      <a:avLst/>
                                    </a:prstGeom>
                                    <a:noFill/>
                                    <a:ln>
                                      <a:noFill/>
                                    </a:ln>
                                  </wps:spPr>
                                  <wps:txbx>
                                    <w:txbxContent>
                                      <w:p>
                                        <w:r>
                                          <w:rPr>
                                            <w:rFonts w:hint="eastAsia"/>
                                          </w:rPr>
                                          <w:t>敏感程度</w:t>
                                        </w:r>
                                      </w:p>
                                    </w:txbxContent>
                                  </wps:txbx>
                                  <wps:bodyPr upright="1"/>
                                </wps:wsp>
                              </a:graphicData>
                            </a:graphic>
                          </wp:anchor>
                        </w:drawing>
                      </mc:Choice>
                      <mc:Fallback>
                        <w:pict>
                          <v:shape id="_x0000_s1026" o:spid="_x0000_s1026" o:spt="202" type="#_x0000_t202" style="position:absolute;left:0pt;margin-left:-11.25pt;margin-top:42.85pt;height:36.6pt;width:75.85pt;z-index:251663360;mso-width-relative:page;mso-height-relative:page;" filled="f" stroked="f" coordsize="21600,21600" o:gfxdata="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Bxa9IdcA&#10;AAAKAQAADwAAAAAAAAABACAAAAAiAAAAZHJzL2Rvd25yZXYueG1sUEsBAhQAFAAAAAgAh07iQI31&#10;n0uuAQAATwMAAA4AAAAAAAAAAQAgAAAAJgEAAGRycy9lMm9Eb2MueG1sUEsFBgAAAAAGAAYAWQEA&#10;AEYFAAAAAA==&#10;">
                            <v:fill on="f" focussize="0,0"/>
                            <v:stroke on="f"/>
                            <v:imagedata o:title=""/>
                            <o:lock v:ext="edit" aspectratio="f"/>
                            <v:textbox>
                              <w:txbxContent>
                                <w:p>
                                  <w:r>
                                    <w:rPr>
                                      <w:rFonts w:hint="eastAsia"/>
                                    </w:rPr>
                                    <w:t>敏感程度</w:t>
                                  </w:r>
                                </w:p>
                              </w:txbxContent>
                            </v:textbox>
                          </v:shape>
                        </w:pict>
                      </mc:Fallback>
                    </mc:AlternateContent>
                  </w:r>
                  <w:r>
                    <w:rPr>
                      <w:rFonts w:ascii="Times New Roman" w:hAnsi="Times New Roman"/>
                      <w:sz w:val="24"/>
                    </w:rPr>
                    <mc:AlternateContent>
                      <mc:Choice Requires="wps">
                        <w:drawing>
                          <wp:anchor distT="0" distB="0" distL="114300" distR="114300" simplePos="0" relativeHeight="251662336" behindDoc="0" locked="0" layoutInCell="1" allowOverlap="1">
                            <wp:simplePos x="0" y="0"/>
                            <wp:positionH relativeFrom="column">
                              <wp:posOffset>-154940</wp:posOffset>
                            </wp:positionH>
                            <wp:positionV relativeFrom="paragraph">
                              <wp:posOffset>-5715</wp:posOffset>
                            </wp:positionV>
                            <wp:extent cx="963295" cy="46482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963295" cy="464820"/>
                                    </a:xfrm>
                                    <a:prstGeom prst="rect">
                                      <a:avLst/>
                                    </a:prstGeom>
                                    <a:noFill/>
                                    <a:ln>
                                      <a:noFill/>
                                    </a:ln>
                                  </wps:spPr>
                                  <wps:txbx>
                                    <w:txbxContent>
                                      <w:p>
                                        <w:pPr>
                                          <w:rPr>
                                            <w:rFonts w:hint="eastAsia"/>
                                          </w:rPr>
                                        </w:pPr>
                                        <w:r>
                                          <w:rPr>
                                            <w:rFonts w:hint="eastAsia"/>
                                          </w:rPr>
                                          <w:t>评价工作</w:t>
                                        </w:r>
                                      </w:p>
                                      <w:p>
                                        <w:r>
                                          <w:rPr>
                                            <w:rFonts w:hint="eastAsia"/>
                                          </w:rPr>
                                          <w:t>等级</w:t>
                                        </w:r>
                                      </w:p>
                                    </w:txbxContent>
                                  </wps:txbx>
                                  <wps:bodyPr upright="1"/>
                                </wps:wsp>
                              </a:graphicData>
                            </a:graphic>
                          </wp:anchor>
                        </w:drawing>
                      </mc:Choice>
                      <mc:Fallback>
                        <w:pict>
                          <v:shape id="_x0000_s1026" o:spid="_x0000_s1026" o:spt="202" type="#_x0000_t202" style="position:absolute;left:0pt;margin-left:-12.2pt;margin-top:-0.45pt;height:36.6pt;width:75.85pt;z-index:251662336;mso-width-relative:page;mso-height-relative:page;" filled="f" stroked="f" coordsize="21600,21600" o:gfxdata="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Cq7AC81gAA&#10;AAgBAAAPAAAAAAAAAAEAIAAAACIAAABkcnMvZG93bnJldi54bWxQSwECFAAUAAAACACHTuJAkAkm&#10;7a4BAABPAwAADgAAAAAAAAABACAAAAAlAQAAZHJzL2Uyb0RvYy54bWxQSwUGAAAAAAYABgBZAQAA&#10;RQUAAAAA&#10;">
                            <v:fill on="f" focussize="0,0"/>
                            <v:stroke on="f"/>
                            <v:imagedata o:title=""/>
                            <o:lock v:ext="edit" aspectratio="f"/>
                            <v:textbox>
                              <w:txbxContent>
                                <w:p>
                                  <w:pPr>
                                    <w:rPr>
                                      <w:rFonts w:hint="eastAsia"/>
                                    </w:rPr>
                                  </w:pPr>
                                  <w:r>
                                    <w:rPr>
                                      <w:rFonts w:hint="eastAsia"/>
                                    </w:rPr>
                                    <w:t>评价工作</w:t>
                                  </w:r>
                                </w:p>
                                <w:p>
                                  <w:r>
                                    <w:rPr>
                                      <w:rFonts w:hint="eastAsia"/>
                                    </w:rPr>
                                    <w:t>等级</w:t>
                                  </w:r>
                                </w:p>
                              </w:txbxContent>
                            </v:textbox>
                          </v:shape>
                        </w:pict>
                      </mc:Fallback>
                    </mc:AlternateContent>
                  </w:r>
                  <w:r>
                    <w:rPr>
                      <w:rFonts w:ascii="Times New Roman" w:hAnsi="Times New Roman"/>
                      <w:sz w:val="24"/>
                    </w:rPr>
                    <mc:AlternateContent>
                      <mc:Choice Requires="wps">
                        <w:drawing>
                          <wp:anchor distT="0" distB="0" distL="114300" distR="114300" simplePos="0" relativeHeight="251660288" behindDoc="0" locked="0" layoutInCell="1" allowOverlap="1">
                            <wp:simplePos x="0" y="0"/>
                            <wp:positionH relativeFrom="column">
                              <wp:posOffset>363855</wp:posOffset>
                            </wp:positionH>
                            <wp:positionV relativeFrom="paragraph">
                              <wp:posOffset>3810</wp:posOffset>
                            </wp:positionV>
                            <wp:extent cx="803910" cy="803275"/>
                            <wp:effectExtent l="3175" t="3175" r="12065" b="12700"/>
                            <wp:wrapNone/>
                            <wp:docPr id="11" name="直接连接符 11"/>
                            <wp:cNvGraphicFramePr/>
                            <a:graphic xmlns:a="http://schemas.openxmlformats.org/drawingml/2006/main">
                              <a:graphicData uri="http://schemas.microsoft.com/office/word/2010/wordprocessingShape">
                                <wps:wsp>
                                  <wps:cNvCnPr/>
                                  <wps:spPr>
                                    <a:xfrm>
                                      <a:off x="0" y="0"/>
                                      <a:ext cx="803910" cy="80327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28.65pt;margin-top:0.3pt;height:63.25pt;width:63.3pt;z-index:251660288;mso-width-relative:page;mso-height-relative:page;" filled="f" stroked="t" coordsize="21600,21600" o:gfxdata="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BxIrVPVAAAABwEAAA8AAAAAAAAAAQAgAAAAIgAAAGRycy9kb3ducmV2LnhtbFBLAQIU&#10;ABQAAAAIAIdO4kAsB3OI9gEAAOoDAAAOAAAAAAAAAAEAIAAAACQBAABkcnMvZTJvRG9jLnhtbFBL&#10;BQYAAAAABgAGAFkBAACMBQAAAAA=&#10;">
                            <v:fill on="f" focussize="0,0"/>
                            <v:stroke color="#00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1659264" behindDoc="0" locked="0" layoutInCell="1" allowOverlap="1">
                            <wp:simplePos x="0" y="0"/>
                            <wp:positionH relativeFrom="column">
                              <wp:posOffset>-59055</wp:posOffset>
                            </wp:positionH>
                            <wp:positionV relativeFrom="paragraph">
                              <wp:posOffset>398145</wp:posOffset>
                            </wp:positionV>
                            <wp:extent cx="1270000" cy="433070"/>
                            <wp:effectExtent l="1270" t="4445" r="5080" b="19685"/>
                            <wp:wrapNone/>
                            <wp:docPr id="13" name="直接连接符 13"/>
                            <wp:cNvGraphicFramePr/>
                            <a:graphic xmlns:a="http://schemas.openxmlformats.org/drawingml/2006/main">
                              <a:graphicData uri="http://schemas.microsoft.com/office/word/2010/wordprocessingShape">
                                <wps:wsp>
                                  <wps:cNvCnPr/>
                                  <wps:spPr>
                                    <a:xfrm>
                                      <a:off x="0" y="0"/>
                                      <a:ext cx="1270000" cy="43307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4.65pt;margin-top:31.35pt;height:34.1pt;width:100pt;z-index:251659264;mso-width-relative:page;mso-height-relative:page;" filled="f" stroked="t" coordsize="21600,21600" o:gfxdata="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3y6Fg1wAAAAkBAAAPAAAAAAAAAAEAIAAAACIAAABkcnMvZG93bnJldi54&#10;bWxQSwECFAAUAAAACACHTuJA6rUcUvsBAADrAwAADgAAAAAAAAABACAAAAAmAQAAZHJzL2Uyb0Rv&#10;Yy54bWxQSwUGAAAAAAYABgBZAQAAkwUAAAAA&#10;">
                            <v:fill on="f" focussize="0,0"/>
                            <v:stroke color="#000000" joinstyle="round"/>
                            <v:imagedata o:title=""/>
                            <o:lock v:ext="edit" aspectratio="f"/>
                          </v:line>
                        </w:pict>
                      </mc:Fallback>
                    </mc:AlternateContent>
                  </w:r>
                </w:p>
              </w:tc>
              <w:tc>
                <w:tcPr>
                  <w:tcW w:w="2026" w:type="dxa"/>
                  <w:gridSpan w:val="3"/>
                  <w:noWrap w:val="0"/>
                  <w:vAlign w:val="center"/>
                </w:tcPr>
                <w:p>
                  <w:pPr>
                    <w:jc w:val="center"/>
                    <w:rPr>
                      <w:rFonts w:ascii="Times New Roman" w:hAnsi="Times New Roman"/>
                      <w:szCs w:val="21"/>
                    </w:rPr>
                  </w:pPr>
                  <w:r>
                    <w:rPr>
                      <w:rFonts w:ascii="Times New Roman" w:hAnsi="Times New Roman"/>
                      <w:szCs w:val="21"/>
                    </w:rPr>
                    <w:t>Ⅰ</w:t>
                  </w:r>
                </w:p>
              </w:tc>
              <w:tc>
                <w:tcPr>
                  <w:tcW w:w="1965" w:type="dxa"/>
                  <w:gridSpan w:val="3"/>
                  <w:noWrap w:val="0"/>
                  <w:vAlign w:val="center"/>
                </w:tcPr>
                <w:p>
                  <w:pPr>
                    <w:jc w:val="center"/>
                    <w:rPr>
                      <w:rFonts w:ascii="Times New Roman" w:hAnsi="Times New Roman"/>
                      <w:szCs w:val="21"/>
                    </w:rPr>
                  </w:pPr>
                  <w:r>
                    <w:rPr>
                      <w:rFonts w:ascii="Times New Roman" w:hAnsi="Times New Roman"/>
                      <w:szCs w:val="21"/>
                    </w:rPr>
                    <w:t>Ⅱ</w:t>
                  </w:r>
                </w:p>
              </w:tc>
              <w:tc>
                <w:tcPr>
                  <w:tcW w:w="1878" w:type="dxa"/>
                  <w:gridSpan w:val="3"/>
                  <w:noWrap w:val="0"/>
                  <w:vAlign w:val="center"/>
                </w:tcPr>
                <w:p>
                  <w:pPr>
                    <w:jc w:val="center"/>
                    <w:rPr>
                      <w:rFonts w:ascii="Times New Roman" w:hAnsi="Times New Roman"/>
                      <w:szCs w:val="21"/>
                    </w:rPr>
                  </w:pPr>
                  <w:r>
                    <w:rPr>
                      <w:rFonts w:ascii="Times New Roman" w:hAnsi="Times New Roman"/>
                      <w:szCs w:val="21"/>
                    </w:rPr>
                    <w:t>Ⅲ</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45" w:hRule="atLeast"/>
                <w:tblHeader/>
                <w:jc w:val="center"/>
              </w:trPr>
              <w:tc>
                <w:tcPr>
                  <w:tcW w:w="1689" w:type="dxa"/>
                  <w:vMerge w:val="continue"/>
                  <w:noWrap w:val="0"/>
                  <w:vAlign w:val="center"/>
                </w:tcPr>
                <w:p>
                  <w:pPr>
                    <w:spacing w:line="240" w:lineRule="atLeast"/>
                    <w:jc w:val="center"/>
                    <w:rPr>
                      <w:rFonts w:ascii="Times New Roman" w:hAnsi="Times New Roman"/>
                      <w:szCs w:val="21"/>
                    </w:rPr>
                  </w:pPr>
                </w:p>
              </w:tc>
              <w:tc>
                <w:tcPr>
                  <w:tcW w:w="701" w:type="dxa"/>
                  <w:noWrap w:val="0"/>
                  <w:vAlign w:val="center"/>
                </w:tcPr>
                <w:p>
                  <w:pPr>
                    <w:jc w:val="center"/>
                    <w:rPr>
                      <w:rFonts w:ascii="Times New Roman" w:hAnsi="Times New Roman"/>
                      <w:szCs w:val="21"/>
                    </w:rPr>
                  </w:pPr>
                  <w:r>
                    <w:rPr>
                      <w:rFonts w:ascii="Times New Roman" w:hAnsi="Times New Roman"/>
                      <w:szCs w:val="21"/>
                    </w:rPr>
                    <w:t>大</w:t>
                  </w:r>
                </w:p>
              </w:tc>
              <w:tc>
                <w:tcPr>
                  <w:tcW w:w="682" w:type="dxa"/>
                  <w:noWrap w:val="0"/>
                  <w:vAlign w:val="center"/>
                </w:tcPr>
                <w:p>
                  <w:pPr>
                    <w:jc w:val="center"/>
                    <w:rPr>
                      <w:rFonts w:ascii="Times New Roman" w:hAnsi="Times New Roman"/>
                      <w:szCs w:val="21"/>
                    </w:rPr>
                  </w:pPr>
                  <w:r>
                    <w:rPr>
                      <w:rFonts w:ascii="Times New Roman" w:hAnsi="Times New Roman"/>
                      <w:szCs w:val="21"/>
                    </w:rPr>
                    <w:t>中</w:t>
                  </w:r>
                </w:p>
              </w:tc>
              <w:tc>
                <w:tcPr>
                  <w:tcW w:w="643" w:type="dxa"/>
                  <w:noWrap w:val="0"/>
                  <w:vAlign w:val="center"/>
                </w:tcPr>
                <w:p>
                  <w:pPr>
                    <w:jc w:val="center"/>
                    <w:rPr>
                      <w:rFonts w:ascii="Times New Roman" w:hAnsi="Times New Roman"/>
                      <w:szCs w:val="21"/>
                    </w:rPr>
                  </w:pPr>
                  <w:r>
                    <w:rPr>
                      <w:rFonts w:ascii="Times New Roman" w:hAnsi="Times New Roman"/>
                      <w:szCs w:val="21"/>
                    </w:rPr>
                    <w:t>小</w:t>
                  </w:r>
                </w:p>
              </w:tc>
              <w:tc>
                <w:tcPr>
                  <w:tcW w:w="682" w:type="dxa"/>
                  <w:noWrap w:val="0"/>
                  <w:vAlign w:val="center"/>
                </w:tcPr>
                <w:p>
                  <w:pPr>
                    <w:jc w:val="center"/>
                    <w:rPr>
                      <w:rFonts w:ascii="Times New Roman" w:hAnsi="Times New Roman"/>
                      <w:szCs w:val="21"/>
                    </w:rPr>
                  </w:pPr>
                  <w:r>
                    <w:rPr>
                      <w:rFonts w:ascii="Times New Roman" w:hAnsi="Times New Roman"/>
                      <w:szCs w:val="21"/>
                    </w:rPr>
                    <w:t>大</w:t>
                  </w:r>
                </w:p>
              </w:tc>
              <w:tc>
                <w:tcPr>
                  <w:tcW w:w="655" w:type="dxa"/>
                  <w:noWrap w:val="0"/>
                  <w:vAlign w:val="center"/>
                </w:tcPr>
                <w:p>
                  <w:pPr>
                    <w:jc w:val="center"/>
                    <w:rPr>
                      <w:rFonts w:ascii="Times New Roman" w:hAnsi="Times New Roman"/>
                      <w:szCs w:val="21"/>
                    </w:rPr>
                  </w:pPr>
                  <w:r>
                    <w:rPr>
                      <w:rFonts w:ascii="Times New Roman" w:hAnsi="Times New Roman"/>
                      <w:szCs w:val="21"/>
                    </w:rPr>
                    <w:t>中</w:t>
                  </w:r>
                </w:p>
              </w:tc>
              <w:tc>
                <w:tcPr>
                  <w:tcW w:w="628" w:type="dxa"/>
                  <w:noWrap w:val="0"/>
                  <w:vAlign w:val="center"/>
                </w:tcPr>
                <w:p>
                  <w:pPr>
                    <w:jc w:val="center"/>
                    <w:rPr>
                      <w:rFonts w:ascii="Times New Roman" w:hAnsi="Times New Roman"/>
                      <w:szCs w:val="21"/>
                    </w:rPr>
                  </w:pPr>
                  <w:r>
                    <w:rPr>
                      <w:rFonts w:ascii="Times New Roman" w:hAnsi="Times New Roman"/>
                      <w:szCs w:val="21"/>
                    </w:rPr>
                    <w:t>小</w:t>
                  </w:r>
                </w:p>
              </w:tc>
              <w:tc>
                <w:tcPr>
                  <w:tcW w:w="669" w:type="dxa"/>
                  <w:noWrap w:val="0"/>
                  <w:vAlign w:val="center"/>
                </w:tcPr>
                <w:p>
                  <w:pPr>
                    <w:jc w:val="center"/>
                    <w:rPr>
                      <w:rFonts w:ascii="Times New Roman" w:hAnsi="Times New Roman"/>
                      <w:szCs w:val="21"/>
                    </w:rPr>
                  </w:pPr>
                  <w:r>
                    <w:rPr>
                      <w:rFonts w:ascii="Times New Roman" w:hAnsi="Times New Roman"/>
                      <w:szCs w:val="21"/>
                    </w:rPr>
                    <w:t>大</w:t>
                  </w:r>
                </w:p>
              </w:tc>
              <w:tc>
                <w:tcPr>
                  <w:tcW w:w="640" w:type="dxa"/>
                  <w:noWrap w:val="0"/>
                  <w:vAlign w:val="center"/>
                </w:tcPr>
                <w:p>
                  <w:pPr>
                    <w:jc w:val="center"/>
                    <w:rPr>
                      <w:rFonts w:ascii="Times New Roman" w:hAnsi="Times New Roman"/>
                      <w:szCs w:val="21"/>
                    </w:rPr>
                  </w:pPr>
                  <w:r>
                    <w:rPr>
                      <w:rFonts w:ascii="Times New Roman" w:hAnsi="Times New Roman"/>
                      <w:szCs w:val="21"/>
                    </w:rPr>
                    <w:t>中</w:t>
                  </w:r>
                </w:p>
              </w:tc>
              <w:tc>
                <w:tcPr>
                  <w:tcW w:w="569" w:type="dxa"/>
                  <w:noWrap w:val="0"/>
                  <w:vAlign w:val="center"/>
                </w:tcPr>
                <w:p>
                  <w:pPr>
                    <w:jc w:val="center"/>
                    <w:rPr>
                      <w:rFonts w:ascii="Times New Roman" w:hAnsi="Times New Roman"/>
                      <w:szCs w:val="21"/>
                    </w:rPr>
                  </w:pPr>
                  <w:r>
                    <w:rPr>
                      <w:rFonts w:ascii="Times New Roman" w:hAnsi="Times New Roman"/>
                      <w:szCs w:val="21"/>
                    </w:rPr>
                    <w:t>小</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2" w:hRule="atLeast"/>
                <w:tblHeader/>
                <w:jc w:val="center"/>
              </w:trPr>
              <w:tc>
                <w:tcPr>
                  <w:tcW w:w="1689" w:type="dxa"/>
                  <w:noWrap w:val="0"/>
                  <w:vAlign w:val="center"/>
                </w:tcPr>
                <w:p>
                  <w:pPr>
                    <w:spacing w:line="240" w:lineRule="atLeast"/>
                    <w:jc w:val="center"/>
                    <w:rPr>
                      <w:rFonts w:ascii="Times New Roman" w:hAnsi="Times New Roman"/>
                      <w:szCs w:val="21"/>
                    </w:rPr>
                  </w:pPr>
                  <w:r>
                    <w:rPr>
                      <w:rFonts w:ascii="Times New Roman" w:hAnsi="Times New Roman"/>
                      <w:szCs w:val="21"/>
                    </w:rPr>
                    <w:t>敏感</w:t>
                  </w:r>
                </w:p>
              </w:tc>
              <w:tc>
                <w:tcPr>
                  <w:tcW w:w="701" w:type="dxa"/>
                  <w:noWrap w:val="0"/>
                  <w:vAlign w:val="center"/>
                </w:tcPr>
                <w:p>
                  <w:pPr>
                    <w:jc w:val="center"/>
                    <w:rPr>
                      <w:rFonts w:ascii="Times New Roman" w:hAnsi="Times New Roman"/>
                      <w:szCs w:val="21"/>
                    </w:rPr>
                  </w:pPr>
                  <w:r>
                    <w:rPr>
                      <w:rFonts w:ascii="Times New Roman" w:hAnsi="Times New Roman"/>
                      <w:szCs w:val="21"/>
                    </w:rPr>
                    <w:t>一级</w:t>
                  </w:r>
                </w:p>
              </w:tc>
              <w:tc>
                <w:tcPr>
                  <w:tcW w:w="682" w:type="dxa"/>
                  <w:noWrap w:val="0"/>
                  <w:vAlign w:val="center"/>
                </w:tcPr>
                <w:p>
                  <w:pPr>
                    <w:jc w:val="center"/>
                    <w:rPr>
                      <w:rFonts w:ascii="Times New Roman" w:hAnsi="Times New Roman"/>
                      <w:szCs w:val="21"/>
                    </w:rPr>
                  </w:pPr>
                  <w:r>
                    <w:rPr>
                      <w:rFonts w:ascii="Times New Roman" w:hAnsi="Times New Roman"/>
                      <w:szCs w:val="21"/>
                    </w:rPr>
                    <w:t>一级</w:t>
                  </w:r>
                </w:p>
              </w:tc>
              <w:tc>
                <w:tcPr>
                  <w:tcW w:w="643" w:type="dxa"/>
                  <w:noWrap w:val="0"/>
                  <w:vAlign w:val="center"/>
                </w:tcPr>
                <w:p>
                  <w:pPr>
                    <w:jc w:val="center"/>
                    <w:rPr>
                      <w:rFonts w:ascii="Times New Roman" w:hAnsi="Times New Roman"/>
                      <w:szCs w:val="21"/>
                    </w:rPr>
                  </w:pPr>
                  <w:r>
                    <w:rPr>
                      <w:rFonts w:ascii="Times New Roman" w:hAnsi="Times New Roman"/>
                      <w:szCs w:val="21"/>
                    </w:rPr>
                    <w:t>一级</w:t>
                  </w:r>
                </w:p>
              </w:tc>
              <w:tc>
                <w:tcPr>
                  <w:tcW w:w="682" w:type="dxa"/>
                  <w:noWrap w:val="0"/>
                  <w:vAlign w:val="center"/>
                </w:tcPr>
                <w:p>
                  <w:pPr>
                    <w:jc w:val="center"/>
                    <w:rPr>
                      <w:rFonts w:ascii="Times New Roman" w:hAnsi="Times New Roman"/>
                      <w:szCs w:val="21"/>
                    </w:rPr>
                  </w:pPr>
                  <w:r>
                    <w:rPr>
                      <w:rFonts w:ascii="Times New Roman" w:hAnsi="Times New Roman"/>
                      <w:szCs w:val="21"/>
                    </w:rPr>
                    <w:t>二级</w:t>
                  </w:r>
                </w:p>
              </w:tc>
              <w:tc>
                <w:tcPr>
                  <w:tcW w:w="655" w:type="dxa"/>
                  <w:noWrap w:val="0"/>
                  <w:vAlign w:val="center"/>
                </w:tcPr>
                <w:p>
                  <w:pPr>
                    <w:jc w:val="center"/>
                    <w:rPr>
                      <w:rFonts w:ascii="Times New Roman" w:hAnsi="Times New Roman"/>
                      <w:szCs w:val="21"/>
                    </w:rPr>
                  </w:pPr>
                  <w:r>
                    <w:rPr>
                      <w:rFonts w:ascii="Times New Roman" w:hAnsi="Times New Roman"/>
                      <w:szCs w:val="21"/>
                    </w:rPr>
                    <w:t>二级</w:t>
                  </w:r>
                </w:p>
              </w:tc>
              <w:tc>
                <w:tcPr>
                  <w:tcW w:w="628" w:type="dxa"/>
                  <w:noWrap w:val="0"/>
                  <w:vAlign w:val="center"/>
                </w:tcPr>
                <w:p>
                  <w:pPr>
                    <w:jc w:val="center"/>
                    <w:rPr>
                      <w:rFonts w:ascii="Times New Roman" w:hAnsi="Times New Roman"/>
                      <w:szCs w:val="21"/>
                    </w:rPr>
                  </w:pPr>
                  <w:r>
                    <w:rPr>
                      <w:rFonts w:ascii="Times New Roman" w:hAnsi="Times New Roman"/>
                      <w:szCs w:val="21"/>
                    </w:rPr>
                    <w:t>二级</w:t>
                  </w:r>
                </w:p>
              </w:tc>
              <w:tc>
                <w:tcPr>
                  <w:tcW w:w="669" w:type="dxa"/>
                  <w:noWrap w:val="0"/>
                  <w:vAlign w:val="center"/>
                </w:tcPr>
                <w:p>
                  <w:pPr>
                    <w:jc w:val="center"/>
                    <w:rPr>
                      <w:rFonts w:ascii="Times New Roman" w:hAnsi="Times New Roman"/>
                      <w:szCs w:val="21"/>
                    </w:rPr>
                  </w:pPr>
                  <w:r>
                    <w:rPr>
                      <w:rFonts w:ascii="Times New Roman" w:hAnsi="Times New Roman"/>
                      <w:szCs w:val="21"/>
                    </w:rPr>
                    <w:t>三级</w:t>
                  </w:r>
                </w:p>
              </w:tc>
              <w:tc>
                <w:tcPr>
                  <w:tcW w:w="640" w:type="dxa"/>
                  <w:noWrap w:val="0"/>
                  <w:vAlign w:val="center"/>
                </w:tcPr>
                <w:p>
                  <w:pPr>
                    <w:jc w:val="center"/>
                    <w:rPr>
                      <w:rFonts w:ascii="Times New Roman" w:hAnsi="Times New Roman"/>
                      <w:szCs w:val="21"/>
                    </w:rPr>
                  </w:pPr>
                  <w:r>
                    <w:rPr>
                      <w:rFonts w:ascii="Times New Roman" w:hAnsi="Times New Roman"/>
                      <w:szCs w:val="21"/>
                    </w:rPr>
                    <w:t>三级</w:t>
                  </w:r>
                </w:p>
              </w:tc>
              <w:tc>
                <w:tcPr>
                  <w:tcW w:w="569" w:type="dxa"/>
                  <w:noWrap w:val="0"/>
                  <w:vAlign w:val="center"/>
                </w:tcPr>
                <w:p>
                  <w:pPr>
                    <w:jc w:val="center"/>
                    <w:rPr>
                      <w:rFonts w:ascii="Times New Roman" w:hAnsi="Times New Roman"/>
                      <w:szCs w:val="21"/>
                    </w:rPr>
                  </w:pPr>
                  <w:r>
                    <w:rPr>
                      <w:rFonts w:ascii="Times New Roman" w:hAnsi="Times New Roman"/>
                      <w:szCs w:val="21"/>
                    </w:rPr>
                    <w:t>三级</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7" w:hRule="atLeast"/>
                <w:tblHeader/>
                <w:jc w:val="center"/>
              </w:trPr>
              <w:tc>
                <w:tcPr>
                  <w:tcW w:w="1689" w:type="dxa"/>
                  <w:noWrap w:val="0"/>
                  <w:vAlign w:val="center"/>
                </w:tcPr>
                <w:p>
                  <w:pPr>
                    <w:spacing w:line="240" w:lineRule="atLeast"/>
                    <w:jc w:val="center"/>
                    <w:rPr>
                      <w:szCs w:val="21"/>
                    </w:rPr>
                  </w:pPr>
                  <w:r>
                    <w:rPr>
                      <w:szCs w:val="21"/>
                    </w:rPr>
                    <w:t>较敏感</w:t>
                  </w:r>
                </w:p>
              </w:tc>
              <w:tc>
                <w:tcPr>
                  <w:tcW w:w="701" w:type="dxa"/>
                  <w:noWrap w:val="0"/>
                  <w:vAlign w:val="center"/>
                </w:tcPr>
                <w:p>
                  <w:pPr>
                    <w:jc w:val="center"/>
                    <w:rPr>
                      <w:szCs w:val="21"/>
                    </w:rPr>
                  </w:pPr>
                  <w:r>
                    <w:rPr>
                      <w:szCs w:val="21"/>
                    </w:rPr>
                    <w:t>一级</w:t>
                  </w:r>
                </w:p>
              </w:tc>
              <w:tc>
                <w:tcPr>
                  <w:tcW w:w="682" w:type="dxa"/>
                  <w:noWrap w:val="0"/>
                  <w:vAlign w:val="center"/>
                </w:tcPr>
                <w:p>
                  <w:pPr>
                    <w:jc w:val="center"/>
                    <w:rPr>
                      <w:szCs w:val="21"/>
                    </w:rPr>
                  </w:pPr>
                  <w:r>
                    <w:rPr>
                      <w:szCs w:val="21"/>
                    </w:rPr>
                    <w:t>一级</w:t>
                  </w:r>
                </w:p>
              </w:tc>
              <w:tc>
                <w:tcPr>
                  <w:tcW w:w="643" w:type="dxa"/>
                  <w:noWrap w:val="0"/>
                  <w:vAlign w:val="center"/>
                </w:tcPr>
                <w:p>
                  <w:pPr>
                    <w:jc w:val="center"/>
                    <w:rPr>
                      <w:szCs w:val="21"/>
                    </w:rPr>
                  </w:pPr>
                  <w:r>
                    <w:rPr>
                      <w:szCs w:val="21"/>
                    </w:rPr>
                    <w:t>二级</w:t>
                  </w:r>
                </w:p>
              </w:tc>
              <w:tc>
                <w:tcPr>
                  <w:tcW w:w="682" w:type="dxa"/>
                  <w:noWrap w:val="0"/>
                  <w:vAlign w:val="center"/>
                </w:tcPr>
                <w:p>
                  <w:pPr>
                    <w:jc w:val="center"/>
                    <w:rPr>
                      <w:szCs w:val="21"/>
                    </w:rPr>
                  </w:pPr>
                  <w:r>
                    <w:rPr>
                      <w:szCs w:val="21"/>
                    </w:rPr>
                    <w:t>二级</w:t>
                  </w:r>
                </w:p>
              </w:tc>
              <w:tc>
                <w:tcPr>
                  <w:tcW w:w="655" w:type="dxa"/>
                  <w:noWrap w:val="0"/>
                  <w:vAlign w:val="center"/>
                </w:tcPr>
                <w:p>
                  <w:pPr>
                    <w:jc w:val="center"/>
                    <w:rPr>
                      <w:szCs w:val="21"/>
                    </w:rPr>
                  </w:pPr>
                  <w:r>
                    <w:rPr>
                      <w:szCs w:val="21"/>
                    </w:rPr>
                    <w:t>二级</w:t>
                  </w:r>
                </w:p>
              </w:tc>
              <w:tc>
                <w:tcPr>
                  <w:tcW w:w="628" w:type="dxa"/>
                  <w:noWrap w:val="0"/>
                  <w:vAlign w:val="center"/>
                </w:tcPr>
                <w:p>
                  <w:pPr>
                    <w:jc w:val="center"/>
                    <w:rPr>
                      <w:szCs w:val="21"/>
                    </w:rPr>
                  </w:pPr>
                  <w:r>
                    <w:rPr>
                      <w:szCs w:val="21"/>
                    </w:rPr>
                    <w:t>三级</w:t>
                  </w:r>
                </w:p>
              </w:tc>
              <w:tc>
                <w:tcPr>
                  <w:tcW w:w="669" w:type="dxa"/>
                  <w:noWrap w:val="0"/>
                  <w:vAlign w:val="center"/>
                </w:tcPr>
                <w:p>
                  <w:pPr>
                    <w:jc w:val="center"/>
                    <w:rPr>
                      <w:szCs w:val="21"/>
                    </w:rPr>
                  </w:pPr>
                  <w:r>
                    <w:rPr>
                      <w:szCs w:val="21"/>
                    </w:rPr>
                    <w:t>三级</w:t>
                  </w:r>
                </w:p>
              </w:tc>
              <w:tc>
                <w:tcPr>
                  <w:tcW w:w="640" w:type="dxa"/>
                  <w:noWrap w:val="0"/>
                  <w:vAlign w:val="center"/>
                </w:tcPr>
                <w:p>
                  <w:pPr>
                    <w:jc w:val="center"/>
                    <w:rPr>
                      <w:szCs w:val="21"/>
                    </w:rPr>
                  </w:pPr>
                  <w:r>
                    <w:rPr>
                      <w:szCs w:val="21"/>
                    </w:rPr>
                    <w:t>三级</w:t>
                  </w:r>
                </w:p>
              </w:tc>
              <w:tc>
                <w:tcPr>
                  <w:tcW w:w="569" w:type="dxa"/>
                  <w:noWrap w:val="0"/>
                  <w:vAlign w:val="center"/>
                </w:tcPr>
                <w:p>
                  <w:pPr>
                    <w:jc w:val="center"/>
                    <w:rPr>
                      <w:szCs w:val="21"/>
                    </w:rPr>
                  </w:pPr>
                  <w:r>
                    <w:rPr>
                      <w:szCs w:val="21"/>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7" w:hRule="atLeast"/>
                <w:tblHeader/>
                <w:jc w:val="center"/>
              </w:trPr>
              <w:tc>
                <w:tcPr>
                  <w:tcW w:w="1689" w:type="dxa"/>
                  <w:noWrap w:val="0"/>
                  <w:vAlign w:val="center"/>
                </w:tcPr>
                <w:p>
                  <w:pPr>
                    <w:spacing w:line="240" w:lineRule="atLeast"/>
                    <w:jc w:val="center"/>
                    <w:rPr>
                      <w:szCs w:val="21"/>
                    </w:rPr>
                  </w:pPr>
                  <w:r>
                    <w:rPr>
                      <w:szCs w:val="21"/>
                    </w:rPr>
                    <w:t>不敏感</w:t>
                  </w:r>
                </w:p>
              </w:tc>
              <w:tc>
                <w:tcPr>
                  <w:tcW w:w="701" w:type="dxa"/>
                  <w:noWrap w:val="0"/>
                  <w:vAlign w:val="center"/>
                </w:tcPr>
                <w:p>
                  <w:pPr>
                    <w:jc w:val="center"/>
                    <w:rPr>
                      <w:szCs w:val="21"/>
                    </w:rPr>
                  </w:pPr>
                  <w:r>
                    <w:rPr>
                      <w:szCs w:val="21"/>
                    </w:rPr>
                    <w:t>一级</w:t>
                  </w:r>
                </w:p>
              </w:tc>
              <w:tc>
                <w:tcPr>
                  <w:tcW w:w="682" w:type="dxa"/>
                  <w:noWrap w:val="0"/>
                  <w:vAlign w:val="center"/>
                </w:tcPr>
                <w:p>
                  <w:pPr>
                    <w:jc w:val="center"/>
                    <w:rPr>
                      <w:szCs w:val="21"/>
                    </w:rPr>
                  </w:pPr>
                  <w:r>
                    <w:rPr>
                      <w:szCs w:val="21"/>
                    </w:rPr>
                    <w:t>二级</w:t>
                  </w:r>
                </w:p>
              </w:tc>
              <w:tc>
                <w:tcPr>
                  <w:tcW w:w="643" w:type="dxa"/>
                  <w:noWrap w:val="0"/>
                  <w:vAlign w:val="center"/>
                </w:tcPr>
                <w:p>
                  <w:pPr>
                    <w:jc w:val="center"/>
                    <w:rPr>
                      <w:szCs w:val="21"/>
                    </w:rPr>
                  </w:pPr>
                  <w:r>
                    <w:rPr>
                      <w:szCs w:val="21"/>
                    </w:rPr>
                    <w:t>二级</w:t>
                  </w:r>
                </w:p>
              </w:tc>
              <w:tc>
                <w:tcPr>
                  <w:tcW w:w="682" w:type="dxa"/>
                  <w:noWrap w:val="0"/>
                  <w:vAlign w:val="center"/>
                </w:tcPr>
                <w:p>
                  <w:pPr>
                    <w:jc w:val="center"/>
                    <w:rPr>
                      <w:szCs w:val="21"/>
                    </w:rPr>
                  </w:pPr>
                  <w:r>
                    <w:rPr>
                      <w:szCs w:val="21"/>
                    </w:rPr>
                    <w:t>二级</w:t>
                  </w:r>
                </w:p>
              </w:tc>
              <w:tc>
                <w:tcPr>
                  <w:tcW w:w="655" w:type="dxa"/>
                  <w:noWrap w:val="0"/>
                  <w:vAlign w:val="center"/>
                </w:tcPr>
                <w:p>
                  <w:pPr>
                    <w:jc w:val="center"/>
                    <w:rPr>
                      <w:szCs w:val="21"/>
                    </w:rPr>
                  </w:pPr>
                  <w:r>
                    <w:rPr>
                      <w:szCs w:val="21"/>
                    </w:rPr>
                    <w:t>三级</w:t>
                  </w:r>
                </w:p>
              </w:tc>
              <w:tc>
                <w:tcPr>
                  <w:tcW w:w="628" w:type="dxa"/>
                  <w:noWrap w:val="0"/>
                  <w:vAlign w:val="center"/>
                </w:tcPr>
                <w:p>
                  <w:pPr>
                    <w:jc w:val="center"/>
                    <w:rPr>
                      <w:szCs w:val="21"/>
                    </w:rPr>
                  </w:pPr>
                  <w:r>
                    <w:rPr>
                      <w:szCs w:val="21"/>
                    </w:rPr>
                    <w:t>三级</w:t>
                  </w:r>
                </w:p>
              </w:tc>
              <w:tc>
                <w:tcPr>
                  <w:tcW w:w="669" w:type="dxa"/>
                  <w:noWrap w:val="0"/>
                  <w:vAlign w:val="center"/>
                </w:tcPr>
                <w:p>
                  <w:pPr>
                    <w:jc w:val="center"/>
                    <w:rPr>
                      <w:szCs w:val="21"/>
                    </w:rPr>
                  </w:pPr>
                  <w:r>
                    <w:rPr>
                      <w:szCs w:val="21"/>
                    </w:rPr>
                    <w:t>三级</w:t>
                  </w:r>
                </w:p>
              </w:tc>
              <w:tc>
                <w:tcPr>
                  <w:tcW w:w="640" w:type="dxa"/>
                  <w:noWrap w:val="0"/>
                  <w:vAlign w:val="center"/>
                </w:tcPr>
                <w:p>
                  <w:pPr>
                    <w:jc w:val="center"/>
                    <w:rPr>
                      <w:szCs w:val="21"/>
                    </w:rPr>
                  </w:pPr>
                  <w:r>
                    <w:rPr>
                      <w:szCs w:val="21"/>
                    </w:rPr>
                    <w:t>—</w:t>
                  </w:r>
                </w:p>
              </w:tc>
              <w:tc>
                <w:tcPr>
                  <w:tcW w:w="569" w:type="dxa"/>
                  <w:noWrap w:val="0"/>
                  <w:vAlign w:val="center"/>
                </w:tcPr>
                <w:p>
                  <w:pPr>
                    <w:jc w:val="center"/>
                    <w:rPr>
                      <w:szCs w:val="21"/>
                    </w:rPr>
                  </w:pPr>
                  <w:r>
                    <w:rPr>
                      <w:szCs w:val="21"/>
                      <w:highlight w:val="darkGray"/>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6" w:hRule="atLeast"/>
                <w:tblHeader/>
                <w:jc w:val="center"/>
              </w:trPr>
              <w:tc>
                <w:tcPr>
                  <w:tcW w:w="1689" w:type="dxa"/>
                  <w:noWrap w:val="0"/>
                  <w:vAlign w:val="center"/>
                </w:tcPr>
                <w:p>
                  <w:pPr>
                    <w:spacing w:line="240" w:lineRule="atLeast"/>
                    <w:jc w:val="center"/>
                    <w:rPr>
                      <w:szCs w:val="21"/>
                    </w:rPr>
                  </w:pPr>
                </w:p>
              </w:tc>
              <w:tc>
                <w:tcPr>
                  <w:tcW w:w="5869" w:type="dxa"/>
                  <w:gridSpan w:val="9"/>
                  <w:noWrap w:val="0"/>
                  <w:vAlign w:val="center"/>
                </w:tcPr>
                <w:p>
                  <w:pPr>
                    <w:jc w:val="center"/>
                    <w:rPr>
                      <w:szCs w:val="21"/>
                    </w:rPr>
                  </w:pPr>
                </w:p>
              </w:tc>
            </w:tr>
          </w:tbl>
          <w:p>
            <w:pPr>
              <w:spacing w:line="360" w:lineRule="auto"/>
              <w:ind w:firstLine="480" w:firstLineChars="200"/>
              <w:rPr>
                <w:rFonts w:ascii="Times New Roman" w:hAnsi="Times New Roman"/>
                <w:color w:val="000000"/>
                <w:sz w:val="24"/>
                <w:szCs w:val="24"/>
              </w:rPr>
            </w:pPr>
            <w:r>
              <w:rPr>
                <w:sz w:val="24"/>
                <w:szCs w:val="22"/>
              </w:rPr>
              <w:t>根据上表可知，本项目可不开展土壤环境影响评价。</w:t>
            </w:r>
          </w:p>
          <w:p>
            <w:pPr>
              <w:spacing w:line="360" w:lineRule="auto"/>
              <w:ind w:firstLine="482" w:firstLineChars="200"/>
              <w:rPr>
                <w:b/>
                <w:bCs/>
                <w:color w:val="000000"/>
                <w:sz w:val="24"/>
              </w:rPr>
            </w:pPr>
            <w:r>
              <w:rPr>
                <w:rFonts w:hint="eastAsia"/>
                <w:b/>
                <w:color w:val="000000"/>
                <w:kern w:val="0"/>
                <w:sz w:val="24"/>
              </w:rPr>
              <w:t>六</w:t>
            </w:r>
            <w:r>
              <w:rPr>
                <w:b/>
                <w:color w:val="000000"/>
                <w:kern w:val="0"/>
                <w:sz w:val="24"/>
              </w:rPr>
              <w:t>、</w:t>
            </w:r>
            <w:r>
              <w:rPr>
                <w:b/>
                <w:bCs/>
                <w:color w:val="000000"/>
                <w:sz w:val="24"/>
              </w:rPr>
              <w:t>地下水影响分析及防范措施</w:t>
            </w:r>
          </w:p>
          <w:p>
            <w:pPr>
              <w:autoSpaceDE w:val="0"/>
              <w:autoSpaceDN w:val="0"/>
              <w:adjustRightInd w:val="0"/>
              <w:spacing w:line="360" w:lineRule="auto"/>
              <w:ind w:firstLine="480" w:firstLineChars="200"/>
              <w:rPr>
                <w:rFonts w:ascii="Times New Roman" w:hAnsi="Times New Roman"/>
                <w:color w:val="000000"/>
                <w:sz w:val="24"/>
                <w:szCs w:val="22"/>
              </w:rPr>
            </w:pPr>
            <w:r>
              <w:rPr>
                <w:rFonts w:hint="eastAsia" w:ascii="Times New Roman" w:hAnsi="Times New Roman"/>
                <w:color w:val="000000"/>
                <w:sz w:val="24"/>
                <w:szCs w:val="22"/>
                <w:lang w:val="en-US" w:eastAsia="zh-CN"/>
              </w:rPr>
              <w:t>1、</w:t>
            </w:r>
            <w:r>
              <w:rPr>
                <w:rFonts w:ascii="Times New Roman" w:hAnsi="Times New Roman"/>
                <w:color w:val="000000"/>
                <w:sz w:val="24"/>
                <w:szCs w:val="22"/>
              </w:rPr>
              <w:t>为防止项目对地下水的影响，本项目必须采取一定的防渗措施。项目厂址地下水防渗参照执行下列标准：</w:t>
            </w:r>
          </w:p>
          <w:p>
            <w:pPr>
              <w:autoSpaceDE w:val="0"/>
              <w:autoSpaceDN w:val="0"/>
              <w:adjustRightInd w:val="0"/>
              <w:spacing w:line="360" w:lineRule="auto"/>
              <w:ind w:firstLine="480" w:firstLineChars="200"/>
              <w:rPr>
                <w:rFonts w:ascii="Times New Roman" w:hAnsi="Times New Roman"/>
                <w:color w:val="000000"/>
                <w:sz w:val="24"/>
                <w:szCs w:val="22"/>
              </w:rPr>
            </w:pPr>
            <w:r>
              <w:rPr>
                <w:rFonts w:ascii="Times New Roman" w:hAnsi="Times New Roman"/>
                <w:color w:val="000000"/>
                <w:sz w:val="24"/>
                <w:szCs w:val="22"/>
              </w:rPr>
              <w:t>（1）《危险废物污染防治技术政策》（环发［2001］199号）；</w:t>
            </w:r>
          </w:p>
          <w:p>
            <w:pPr>
              <w:autoSpaceDE w:val="0"/>
              <w:autoSpaceDN w:val="0"/>
              <w:adjustRightInd w:val="0"/>
              <w:spacing w:line="360" w:lineRule="auto"/>
              <w:ind w:firstLine="480" w:firstLineChars="200"/>
              <w:rPr>
                <w:rFonts w:ascii="Times New Roman" w:hAnsi="Times New Roman"/>
                <w:color w:val="000000"/>
                <w:sz w:val="24"/>
                <w:szCs w:val="22"/>
              </w:rPr>
            </w:pPr>
            <w:r>
              <w:rPr>
                <w:rFonts w:ascii="Times New Roman" w:hAnsi="Times New Roman"/>
                <w:color w:val="000000"/>
                <w:sz w:val="24"/>
                <w:szCs w:val="22"/>
              </w:rPr>
              <w:t>（2）《危险废物填埋污染控制标准》（GB18598-2001）；</w:t>
            </w:r>
          </w:p>
          <w:p>
            <w:pPr>
              <w:autoSpaceDE w:val="0"/>
              <w:autoSpaceDN w:val="0"/>
              <w:adjustRightInd w:val="0"/>
              <w:spacing w:line="360" w:lineRule="auto"/>
              <w:ind w:firstLine="480" w:firstLineChars="200"/>
              <w:rPr>
                <w:rFonts w:ascii="Times New Roman" w:hAnsi="Times New Roman"/>
                <w:color w:val="000000"/>
                <w:sz w:val="24"/>
                <w:szCs w:val="22"/>
              </w:rPr>
            </w:pPr>
            <w:r>
              <w:rPr>
                <w:rFonts w:ascii="Times New Roman" w:hAnsi="Times New Roman"/>
                <w:color w:val="000000"/>
                <w:sz w:val="24"/>
                <w:szCs w:val="22"/>
              </w:rPr>
              <w:t>（3）《危险废物填埋处置工程建设技术要求》。</w:t>
            </w:r>
          </w:p>
          <w:p>
            <w:pPr>
              <w:autoSpaceDE w:val="0"/>
              <w:autoSpaceDN w:val="0"/>
              <w:adjustRightInd w:val="0"/>
              <w:spacing w:line="360" w:lineRule="auto"/>
              <w:ind w:firstLine="480" w:firstLineChars="200"/>
              <w:rPr>
                <w:rFonts w:ascii="Times New Roman" w:hAnsi="Times New Roman"/>
                <w:color w:val="000000"/>
                <w:sz w:val="24"/>
                <w:szCs w:val="22"/>
              </w:rPr>
            </w:pPr>
            <w:r>
              <w:rPr>
                <w:rFonts w:hint="eastAsia" w:ascii="Times New Roman" w:hAnsi="Times New Roman"/>
                <w:color w:val="000000"/>
                <w:sz w:val="24"/>
                <w:szCs w:val="22"/>
                <w:lang w:val="en-US" w:eastAsia="zh-CN"/>
              </w:rPr>
              <w:t>2、</w:t>
            </w:r>
            <w:r>
              <w:rPr>
                <w:rFonts w:ascii="Times New Roman" w:hAnsi="Times New Roman"/>
                <w:color w:val="000000"/>
                <w:sz w:val="24"/>
                <w:szCs w:val="22"/>
              </w:rPr>
              <w:t>地下水污染防治措施总原则为“地上污染地上治，地下污染地下防”；坚持源头控制、末端防治、污染监控、应急响应相结合的原则。</w:t>
            </w:r>
          </w:p>
          <w:p>
            <w:pPr>
              <w:autoSpaceDE w:val="0"/>
              <w:autoSpaceDN w:val="0"/>
              <w:adjustRightInd w:val="0"/>
              <w:spacing w:line="360" w:lineRule="auto"/>
              <w:ind w:firstLine="480" w:firstLineChars="200"/>
              <w:rPr>
                <w:rFonts w:ascii="Times New Roman" w:hAnsi="Times New Roman"/>
                <w:color w:val="000000"/>
                <w:sz w:val="24"/>
                <w:szCs w:val="22"/>
              </w:rPr>
            </w:pPr>
            <w:r>
              <w:rPr>
                <w:rFonts w:ascii="Times New Roman" w:hAnsi="Times New Roman"/>
                <w:color w:val="000000"/>
                <w:sz w:val="24"/>
                <w:szCs w:val="22"/>
              </w:rPr>
              <w:t>（1）源头各种控制措施主要包括在工艺、管道、设备、污水储存及处理构筑物采取相应措施，将污染物泄漏、渗漏污染地下水的环境风险降到最低程度。</w:t>
            </w:r>
          </w:p>
          <w:p>
            <w:pPr>
              <w:autoSpaceDE w:val="0"/>
              <w:autoSpaceDN w:val="0"/>
              <w:adjustRightInd w:val="0"/>
              <w:spacing w:line="360" w:lineRule="auto"/>
              <w:ind w:firstLine="480" w:firstLineChars="200"/>
              <w:rPr>
                <w:rFonts w:ascii="Times New Roman" w:hAnsi="Times New Roman"/>
                <w:color w:val="000000"/>
                <w:sz w:val="24"/>
                <w:szCs w:val="22"/>
              </w:rPr>
            </w:pPr>
            <w:r>
              <w:rPr>
                <w:rFonts w:ascii="Times New Roman" w:hAnsi="Times New Roman"/>
                <w:color w:val="000000"/>
                <w:sz w:val="24"/>
                <w:szCs w:val="22"/>
              </w:rPr>
              <w:t>积极开展废水的回收利用，尽量减少废水排放；各类地下设施，包括污水处理设施的水池等全部进行防渗处理，特别是埋置地下的污水输送管道，需建立混凝土防渗基础，并布设土工膜。</w:t>
            </w:r>
          </w:p>
          <w:p>
            <w:pPr>
              <w:autoSpaceDE w:val="0"/>
              <w:autoSpaceDN w:val="0"/>
              <w:adjustRightInd w:val="0"/>
              <w:spacing w:line="360" w:lineRule="auto"/>
              <w:ind w:firstLine="480" w:firstLineChars="200"/>
              <w:rPr>
                <w:rFonts w:ascii="Times New Roman" w:hAnsi="Times New Roman"/>
                <w:color w:val="000000"/>
                <w:sz w:val="24"/>
                <w:szCs w:val="22"/>
              </w:rPr>
            </w:pPr>
            <w:r>
              <w:rPr>
                <w:rFonts w:ascii="Times New Roman" w:hAnsi="Times New Roman"/>
                <w:color w:val="000000"/>
                <w:sz w:val="24"/>
                <w:szCs w:val="22"/>
              </w:rPr>
              <w:t>（2）末端控制措施主要包括厂区防渗措施和泄漏、渗漏污染物收集措施，防止洒落地面的污染物渗入地下，同时对渗入地下的污染物及时收集，从而防止污染地下水。</w:t>
            </w:r>
          </w:p>
          <w:p>
            <w:pPr>
              <w:autoSpaceDE w:val="0"/>
              <w:autoSpaceDN w:val="0"/>
              <w:adjustRightInd w:val="0"/>
              <w:spacing w:line="360" w:lineRule="auto"/>
              <w:ind w:firstLine="480" w:firstLineChars="200"/>
              <w:rPr>
                <w:rFonts w:ascii="Times New Roman" w:hAnsi="Times New Roman"/>
                <w:color w:val="000000"/>
                <w:sz w:val="24"/>
                <w:szCs w:val="22"/>
              </w:rPr>
            </w:pPr>
            <w:r>
              <w:rPr>
                <w:rFonts w:ascii="Times New Roman" w:hAnsi="Times New Roman"/>
                <w:color w:val="000000"/>
                <w:sz w:val="24"/>
                <w:szCs w:val="22"/>
              </w:rPr>
              <w:t>（3）地下水污染监控措施包括建立完善的监测制度、配备先进的检测仪器和设备、科学并合理设置地下水污染监控井；</w:t>
            </w:r>
          </w:p>
          <w:p>
            <w:pPr>
              <w:autoSpaceDE w:val="0"/>
              <w:autoSpaceDN w:val="0"/>
              <w:adjustRightInd w:val="0"/>
              <w:spacing w:line="360" w:lineRule="auto"/>
              <w:ind w:firstLine="480" w:firstLineChars="200"/>
              <w:rPr>
                <w:rFonts w:ascii="Times New Roman" w:hAnsi="Times New Roman"/>
                <w:color w:val="000000"/>
                <w:sz w:val="24"/>
                <w:szCs w:val="22"/>
              </w:rPr>
            </w:pPr>
            <w:r>
              <w:rPr>
                <w:rFonts w:ascii="Times New Roman" w:hAnsi="Times New Roman"/>
                <w:color w:val="000000"/>
                <w:sz w:val="24"/>
                <w:szCs w:val="22"/>
              </w:rPr>
              <w:t>（4）应急响应措施包括：及时发现地下水污染事故、启动应急预案、采取应急措施控制地下水污染，并使污染得到治理。</w:t>
            </w:r>
          </w:p>
          <w:p>
            <w:pPr>
              <w:autoSpaceDE w:val="0"/>
              <w:autoSpaceDN w:val="0"/>
              <w:adjustRightInd w:val="0"/>
              <w:spacing w:line="360" w:lineRule="auto"/>
              <w:ind w:firstLine="480" w:firstLineChars="200"/>
              <w:rPr>
                <w:rFonts w:ascii="Times New Roman" w:hAnsi="Times New Roman"/>
                <w:color w:val="000000"/>
                <w:sz w:val="24"/>
                <w:szCs w:val="22"/>
              </w:rPr>
            </w:pPr>
            <w:r>
              <w:rPr>
                <w:rFonts w:ascii="Times New Roman" w:hAnsi="Times New Roman"/>
                <w:color w:val="000000"/>
                <w:sz w:val="24"/>
                <w:szCs w:val="22"/>
              </w:rPr>
              <w:t>厂区内一旦发现泄漏，应立即处理，由于泄漏量一般较小，应该及时进行换土，清理被污染土壤，回填好土。</w:t>
            </w:r>
          </w:p>
          <w:p>
            <w:pPr>
              <w:autoSpaceDE w:val="0"/>
              <w:autoSpaceDN w:val="0"/>
              <w:adjustRightInd w:val="0"/>
              <w:spacing w:line="360" w:lineRule="auto"/>
              <w:ind w:firstLine="480" w:firstLineChars="200"/>
              <w:rPr>
                <w:rFonts w:ascii="Times New Roman" w:hAnsi="Times New Roman"/>
                <w:color w:val="000000"/>
                <w:sz w:val="24"/>
                <w:szCs w:val="22"/>
              </w:rPr>
            </w:pPr>
            <w:r>
              <w:rPr>
                <w:rFonts w:hint="eastAsia" w:ascii="Times New Roman" w:hAnsi="Times New Roman"/>
                <w:color w:val="000000"/>
                <w:sz w:val="24"/>
                <w:szCs w:val="22"/>
                <w:lang w:val="en-US" w:eastAsia="zh-CN"/>
              </w:rPr>
              <w:t>3、</w:t>
            </w:r>
            <w:r>
              <w:rPr>
                <w:rFonts w:ascii="Times New Roman" w:hAnsi="Times New Roman"/>
                <w:color w:val="000000"/>
                <w:sz w:val="24"/>
                <w:szCs w:val="22"/>
              </w:rPr>
              <w:t>末端控制坚持分区管理和控制原则。</w:t>
            </w:r>
          </w:p>
          <w:p>
            <w:pPr>
              <w:autoSpaceDE w:val="0"/>
              <w:autoSpaceDN w:val="0"/>
              <w:adjustRightInd w:val="0"/>
              <w:spacing w:line="360" w:lineRule="auto"/>
              <w:ind w:firstLine="480" w:firstLineChars="200"/>
              <w:rPr>
                <w:rFonts w:ascii="Times New Roman" w:hAnsi="Times New Roman"/>
                <w:color w:val="000000"/>
                <w:sz w:val="24"/>
                <w:szCs w:val="22"/>
              </w:rPr>
            </w:pPr>
            <w:r>
              <w:rPr>
                <w:rFonts w:ascii="Times New Roman" w:hAnsi="Times New Roman"/>
                <w:color w:val="000000"/>
                <w:sz w:val="24"/>
                <w:szCs w:val="22"/>
              </w:rPr>
              <w:t>（1）厂区分为污染区和非污染区，污染区包括生产、贮运装置及污染处理设施区；其它区域为非污染区。</w:t>
            </w:r>
          </w:p>
          <w:p>
            <w:pPr>
              <w:autoSpaceDE w:val="0"/>
              <w:autoSpaceDN w:val="0"/>
              <w:adjustRightInd w:val="0"/>
              <w:spacing w:line="360" w:lineRule="auto"/>
              <w:ind w:firstLine="480" w:firstLineChars="200"/>
              <w:rPr>
                <w:rFonts w:ascii="Times New Roman" w:hAnsi="Times New Roman"/>
                <w:color w:val="000000"/>
                <w:sz w:val="24"/>
                <w:szCs w:val="22"/>
              </w:rPr>
            </w:pPr>
            <w:r>
              <w:rPr>
                <w:rFonts w:ascii="Times New Roman" w:hAnsi="Times New Roman"/>
                <w:color w:val="000000"/>
                <w:sz w:val="24"/>
                <w:szCs w:val="22"/>
              </w:rPr>
              <w:t>（2）根据污染区通过各种途径可能进入地下水环境的各种有毒有害原辅材料、中间物料、产品的泄漏量及其他各类污染物的性质、产生和排放量，将污染区进一步分为一般污染防治区、重点污染防治区。</w:t>
            </w:r>
          </w:p>
          <w:p>
            <w:pPr>
              <w:autoSpaceDE w:val="0"/>
              <w:autoSpaceDN w:val="0"/>
              <w:adjustRightInd w:val="0"/>
              <w:spacing w:line="360" w:lineRule="auto"/>
              <w:ind w:firstLine="480" w:firstLineChars="200"/>
              <w:rPr>
                <w:rFonts w:ascii="Times New Roman" w:hAnsi="Times New Roman"/>
                <w:color w:val="000000"/>
                <w:sz w:val="24"/>
                <w:szCs w:val="22"/>
              </w:rPr>
            </w:pPr>
            <w:r>
              <w:rPr>
                <w:rFonts w:ascii="Times New Roman" w:hAnsi="Times New Roman"/>
                <w:color w:val="000000"/>
                <w:sz w:val="24"/>
                <w:szCs w:val="22"/>
              </w:rPr>
              <w:t>一般污染防治区是指毒性小的生产装置区、装置区外管廊区和厂外污水管道；重点污染防治区是指危害性大、毒性较大的生产装置区、原料库及固体废物暂存区、水处理设施等。</w:t>
            </w:r>
          </w:p>
          <w:p>
            <w:pPr>
              <w:autoSpaceDE w:val="0"/>
              <w:autoSpaceDN w:val="0"/>
              <w:adjustRightInd w:val="0"/>
              <w:spacing w:line="360" w:lineRule="auto"/>
              <w:ind w:firstLine="480" w:firstLineChars="200"/>
              <w:rPr>
                <w:rFonts w:ascii="Times New Roman" w:hAnsi="Times New Roman"/>
                <w:color w:val="000000"/>
                <w:sz w:val="24"/>
                <w:szCs w:val="22"/>
              </w:rPr>
            </w:pPr>
            <w:r>
              <w:rPr>
                <w:rFonts w:hint="eastAsia" w:ascii="Times New Roman" w:hAnsi="Times New Roman"/>
                <w:color w:val="000000"/>
                <w:sz w:val="24"/>
                <w:szCs w:val="22"/>
                <w:lang w:eastAsia="zh-CN"/>
              </w:rPr>
              <w:t>（</w:t>
            </w:r>
            <w:r>
              <w:rPr>
                <w:rFonts w:hint="eastAsia" w:ascii="Times New Roman" w:hAnsi="Times New Roman"/>
                <w:color w:val="000000"/>
                <w:sz w:val="24"/>
                <w:szCs w:val="22"/>
                <w:lang w:val="en-US" w:eastAsia="zh-CN"/>
              </w:rPr>
              <w:t>3</w:t>
            </w:r>
            <w:r>
              <w:rPr>
                <w:rFonts w:hint="eastAsia" w:ascii="Times New Roman" w:hAnsi="Times New Roman"/>
                <w:color w:val="000000"/>
                <w:sz w:val="24"/>
                <w:szCs w:val="22"/>
                <w:lang w:eastAsia="zh-CN"/>
              </w:rPr>
              <w:t>）</w:t>
            </w:r>
            <w:r>
              <w:rPr>
                <w:rFonts w:ascii="Times New Roman" w:hAnsi="Times New Roman"/>
                <w:color w:val="000000"/>
                <w:sz w:val="24"/>
                <w:szCs w:val="22"/>
              </w:rPr>
              <w:t>重点污染防治区和特殊污染区根据工程地质及水文地质条件、各生产贮运装置及污染处理设施防渗要求及分类进行防渗设计。</w:t>
            </w:r>
          </w:p>
          <w:p>
            <w:pPr>
              <w:numPr>
                <w:ilvl w:val="0"/>
                <w:numId w:val="0"/>
              </w:numPr>
              <w:autoSpaceDE w:val="0"/>
              <w:autoSpaceDN w:val="0"/>
              <w:adjustRightInd w:val="0"/>
              <w:spacing w:line="360" w:lineRule="auto"/>
              <w:ind w:firstLine="480" w:firstLineChars="200"/>
              <w:rPr>
                <w:rFonts w:ascii="Times New Roman" w:hAnsi="Times New Roman"/>
                <w:color w:val="000000"/>
                <w:sz w:val="24"/>
                <w:szCs w:val="22"/>
              </w:rPr>
            </w:pPr>
            <w:r>
              <w:rPr>
                <w:rFonts w:ascii="Times New Roman" w:hAnsi="Times New Roman"/>
                <w:color w:val="000000"/>
                <w:sz w:val="24"/>
                <w:szCs w:val="22"/>
              </w:rPr>
              <w:t>（4）非污染区不进行防渗处理，污染区按照不同分区要求分别设计防渗方案。</w:t>
            </w:r>
          </w:p>
          <w:p>
            <w:pPr>
              <w:autoSpaceDE w:val="0"/>
              <w:autoSpaceDN w:val="0"/>
              <w:adjustRightInd w:val="0"/>
              <w:spacing w:line="360" w:lineRule="auto"/>
              <w:ind w:firstLine="480" w:firstLineChars="200"/>
              <w:rPr>
                <w:rFonts w:ascii="Times New Roman" w:hAnsi="Times New Roman"/>
                <w:color w:val="000000"/>
                <w:sz w:val="24"/>
                <w:szCs w:val="22"/>
              </w:rPr>
            </w:pPr>
            <w:r>
              <w:rPr>
                <w:rFonts w:ascii="Times New Roman" w:hAnsi="Times New Roman"/>
                <w:color w:val="000000"/>
                <w:sz w:val="24"/>
                <w:szCs w:val="22"/>
              </w:rPr>
              <w:t>（5）重点污染防治区和特殊污染防治区参照《危险废物安全填埋处置工程建设技术要求》（国家环保局2004.4.30颁布试行）和《危险废物填埋污染控制标准》（GB18598-2001）制定防渗设计方案。</w:t>
            </w:r>
          </w:p>
          <w:p>
            <w:pPr>
              <w:autoSpaceDE w:val="0"/>
              <w:autoSpaceDN w:val="0"/>
              <w:adjustRightInd w:val="0"/>
              <w:spacing w:line="360" w:lineRule="auto"/>
              <w:ind w:firstLine="480" w:firstLineChars="200"/>
              <w:rPr>
                <w:rFonts w:ascii="Times New Roman" w:hAnsi="Times New Roman"/>
                <w:color w:val="000000"/>
                <w:sz w:val="24"/>
                <w:szCs w:val="22"/>
              </w:rPr>
            </w:pPr>
            <w:r>
              <w:rPr>
                <w:rFonts w:ascii="Times New Roman" w:hAnsi="Times New Roman"/>
                <w:color w:val="000000"/>
                <w:sz w:val="24"/>
                <w:szCs w:val="22"/>
              </w:rPr>
              <w:t>（6）一般污染防治区参照《一般工业固体废物贮存、处置场污染控制标准》（GB18599－2001）制定防渗设计方案。</w:t>
            </w:r>
          </w:p>
          <w:p>
            <w:pPr>
              <w:autoSpaceDE w:val="0"/>
              <w:autoSpaceDN w:val="0"/>
              <w:adjustRightInd w:val="0"/>
              <w:spacing w:line="360" w:lineRule="auto"/>
              <w:ind w:firstLine="480" w:firstLineChars="200"/>
              <w:rPr>
                <w:rFonts w:ascii="Times New Roman" w:hAnsi="Times New Roman"/>
                <w:b/>
                <w:color w:val="000000"/>
                <w:sz w:val="24"/>
                <w:szCs w:val="24"/>
              </w:rPr>
            </w:pPr>
            <w:r>
              <w:rPr>
                <w:rFonts w:hint="eastAsia" w:ascii="Times New Roman" w:hAnsi="Times New Roman"/>
                <w:color w:val="000000"/>
                <w:sz w:val="24"/>
                <w:szCs w:val="22"/>
                <w:lang w:val="en-US" w:eastAsia="zh-CN"/>
              </w:rPr>
              <w:t>4、</w:t>
            </w:r>
            <w:r>
              <w:rPr>
                <w:rFonts w:ascii="Times New Roman" w:hAnsi="Times New Roman"/>
                <w:color w:val="000000"/>
                <w:sz w:val="24"/>
                <w:szCs w:val="22"/>
              </w:rPr>
              <w:t>按照原国家环保总局环函[2006]176号文关于“在设计上实现厂内污水管线地上化”要求，输送含有污染物的管道尽可能地上敷设，减少由于埋地管道泄漏而造成的地下水污染。</w:t>
            </w:r>
          </w:p>
          <w:p>
            <w:pPr>
              <w:spacing w:line="360" w:lineRule="auto"/>
              <w:jc w:val="center"/>
              <w:rPr>
                <w:rFonts w:ascii="Times New Roman" w:hAnsi="Times New Roman"/>
                <w:b/>
                <w:color w:val="000000"/>
                <w:sz w:val="24"/>
                <w:szCs w:val="24"/>
              </w:rPr>
            </w:pPr>
            <w:r>
              <w:rPr>
                <w:rFonts w:ascii="Times New Roman" w:hAnsi="Times New Roman"/>
                <w:b/>
                <w:color w:val="000000"/>
                <w:sz w:val="24"/>
                <w:szCs w:val="24"/>
              </w:rPr>
              <w:t>表</w:t>
            </w:r>
            <w:r>
              <w:rPr>
                <w:rFonts w:hint="eastAsia"/>
                <w:b/>
                <w:color w:val="000000"/>
                <w:sz w:val="24"/>
                <w:szCs w:val="24"/>
                <w:lang w:val="en-US" w:eastAsia="zh-CN"/>
              </w:rPr>
              <w:t>4-7</w:t>
            </w:r>
            <w:r>
              <w:rPr>
                <w:rFonts w:ascii="Times New Roman" w:hAnsi="Times New Roman"/>
                <w:b/>
                <w:color w:val="000000"/>
                <w:sz w:val="24"/>
                <w:szCs w:val="24"/>
              </w:rPr>
              <w:t xml:space="preserve">  本项目防渗工程污染防治分区表</w:t>
            </w:r>
          </w:p>
          <w:tbl>
            <w:tblPr>
              <w:tblStyle w:val="26"/>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25"/>
              <w:gridCol w:w="2111"/>
              <w:gridCol w:w="2300"/>
              <w:gridCol w:w="1239"/>
              <w:gridCol w:w="1583"/>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6" w:hRule="atLeast"/>
                <w:tblHeader/>
                <w:jc w:val="center"/>
              </w:trPr>
              <w:tc>
                <w:tcPr>
                  <w:tcW w:w="614" w:type="dxa"/>
                  <w:noWrap w:val="0"/>
                  <w:vAlign w:val="center"/>
                </w:tcPr>
                <w:p>
                  <w:pPr>
                    <w:spacing w:line="240" w:lineRule="atLeast"/>
                    <w:jc w:val="center"/>
                    <w:rPr>
                      <w:rFonts w:ascii="Times New Roman" w:hAnsi="Times New Roman"/>
                      <w:b/>
                      <w:bCs/>
                      <w:color w:val="000000"/>
                      <w:szCs w:val="21"/>
                    </w:rPr>
                  </w:pPr>
                  <w:r>
                    <w:rPr>
                      <w:rFonts w:ascii="Times New Roman" w:hAnsi="Times New Roman"/>
                      <w:b/>
                      <w:bCs/>
                      <w:color w:val="000000"/>
                      <w:szCs w:val="21"/>
                    </w:rPr>
                    <w:t>序号</w:t>
                  </w:r>
                </w:p>
              </w:tc>
              <w:tc>
                <w:tcPr>
                  <w:tcW w:w="2073" w:type="dxa"/>
                  <w:noWrap w:val="0"/>
                  <w:vAlign w:val="center"/>
                </w:tcPr>
                <w:p>
                  <w:pPr>
                    <w:jc w:val="center"/>
                    <w:rPr>
                      <w:rFonts w:ascii="Times New Roman" w:hAnsi="Times New Roman"/>
                      <w:b/>
                      <w:bCs/>
                      <w:color w:val="000000"/>
                      <w:szCs w:val="21"/>
                    </w:rPr>
                  </w:pPr>
                  <w:r>
                    <w:rPr>
                      <w:rFonts w:ascii="Times New Roman" w:hAnsi="Times New Roman"/>
                      <w:b/>
                      <w:bCs/>
                      <w:color w:val="000000"/>
                      <w:szCs w:val="21"/>
                    </w:rPr>
                    <w:t>名称</w:t>
                  </w:r>
                </w:p>
              </w:tc>
              <w:tc>
                <w:tcPr>
                  <w:tcW w:w="2259" w:type="dxa"/>
                  <w:noWrap w:val="0"/>
                  <w:vAlign w:val="center"/>
                </w:tcPr>
                <w:p>
                  <w:pPr>
                    <w:jc w:val="center"/>
                    <w:rPr>
                      <w:rFonts w:ascii="Times New Roman" w:hAnsi="Times New Roman"/>
                      <w:b/>
                      <w:bCs/>
                      <w:color w:val="000000"/>
                      <w:szCs w:val="21"/>
                    </w:rPr>
                  </w:pPr>
                  <w:r>
                    <w:rPr>
                      <w:rFonts w:ascii="Times New Roman" w:hAnsi="Times New Roman"/>
                      <w:b/>
                      <w:bCs/>
                      <w:color w:val="000000"/>
                      <w:szCs w:val="21"/>
                    </w:rPr>
                    <w:t>防渗区域及部位</w:t>
                  </w:r>
                </w:p>
              </w:tc>
              <w:tc>
                <w:tcPr>
                  <w:tcW w:w="1217" w:type="dxa"/>
                  <w:noWrap w:val="0"/>
                  <w:vAlign w:val="center"/>
                </w:tcPr>
                <w:p>
                  <w:pPr>
                    <w:jc w:val="center"/>
                    <w:rPr>
                      <w:rFonts w:ascii="Times New Roman" w:hAnsi="Times New Roman"/>
                      <w:b/>
                      <w:bCs/>
                      <w:color w:val="000000"/>
                      <w:szCs w:val="21"/>
                    </w:rPr>
                  </w:pPr>
                  <w:r>
                    <w:rPr>
                      <w:rFonts w:ascii="Times New Roman" w:hAnsi="Times New Roman"/>
                      <w:b/>
                      <w:bCs/>
                      <w:color w:val="000000"/>
                      <w:szCs w:val="21"/>
                    </w:rPr>
                    <w:t>防渗分区等级</w:t>
                  </w:r>
                </w:p>
              </w:tc>
              <w:tc>
                <w:tcPr>
                  <w:tcW w:w="1554" w:type="dxa"/>
                  <w:noWrap w:val="0"/>
                  <w:vAlign w:val="center"/>
                </w:tcPr>
                <w:p>
                  <w:pPr>
                    <w:rPr>
                      <w:rFonts w:ascii="Times New Roman" w:hAnsi="Times New Roman"/>
                      <w:b/>
                      <w:bCs/>
                      <w:color w:val="000000"/>
                      <w:szCs w:val="21"/>
                    </w:rPr>
                  </w:pPr>
                  <w:r>
                    <w:rPr>
                      <w:rFonts w:ascii="Times New Roman" w:hAnsi="Times New Roman"/>
                      <w:b/>
                      <w:bCs/>
                      <w:color w:val="000000"/>
                      <w:szCs w:val="21"/>
                    </w:rPr>
                    <w:t>实施要求</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9" w:hRule="atLeast"/>
                <w:tblHeader/>
                <w:jc w:val="center"/>
              </w:trPr>
              <w:tc>
                <w:tcPr>
                  <w:tcW w:w="614" w:type="dxa"/>
                  <w:noWrap w:val="0"/>
                  <w:vAlign w:val="center"/>
                </w:tcPr>
                <w:p>
                  <w:pPr>
                    <w:spacing w:line="240" w:lineRule="atLeast"/>
                    <w:jc w:val="center"/>
                    <w:rPr>
                      <w:rFonts w:hint="eastAsia" w:ascii="Times New Roman" w:hAnsi="Times New Roman" w:eastAsia="宋体"/>
                      <w:color w:val="000000"/>
                      <w:szCs w:val="21"/>
                      <w:lang w:val="en-US" w:eastAsia="zh-CN"/>
                    </w:rPr>
                  </w:pPr>
                  <w:r>
                    <w:rPr>
                      <w:rFonts w:hint="eastAsia"/>
                      <w:color w:val="000000"/>
                      <w:szCs w:val="21"/>
                      <w:lang w:val="en-US" w:eastAsia="zh-CN"/>
                    </w:rPr>
                    <w:t>1</w:t>
                  </w:r>
                </w:p>
              </w:tc>
              <w:tc>
                <w:tcPr>
                  <w:tcW w:w="2073" w:type="dxa"/>
                  <w:noWrap w:val="0"/>
                  <w:vAlign w:val="center"/>
                </w:tcPr>
                <w:p>
                  <w:pPr>
                    <w:jc w:val="center"/>
                    <w:rPr>
                      <w:rFonts w:hint="default" w:ascii="Times New Roman" w:hAnsi="Times New Roman" w:eastAsia="宋体"/>
                      <w:color w:val="000000"/>
                      <w:szCs w:val="21"/>
                      <w:lang w:val="en-US" w:eastAsia="zh-CN"/>
                    </w:rPr>
                  </w:pPr>
                  <w:r>
                    <w:rPr>
                      <w:rFonts w:hint="eastAsia"/>
                      <w:color w:val="000000"/>
                      <w:szCs w:val="21"/>
                      <w:lang w:val="en-US" w:eastAsia="zh-CN"/>
                    </w:rPr>
                    <w:t>生产车间</w:t>
                  </w:r>
                </w:p>
              </w:tc>
              <w:tc>
                <w:tcPr>
                  <w:tcW w:w="2259" w:type="dxa"/>
                  <w:noWrap w:val="0"/>
                  <w:vAlign w:val="center"/>
                </w:tcPr>
                <w:p>
                  <w:pPr>
                    <w:jc w:val="center"/>
                    <w:rPr>
                      <w:rFonts w:hint="default" w:ascii="Times New Roman" w:hAnsi="Times New Roman" w:eastAsia="宋体"/>
                      <w:color w:val="000000"/>
                      <w:szCs w:val="21"/>
                      <w:lang w:val="en-US" w:eastAsia="zh-CN"/>
                    </w:rPr>
                  </w:pPr>
                  <w:r>
                    <w:rPr>
                      <w:rFonts w:hint="eastAsia"/>
                      <w:color w:val="000000"/>
                      <w:szCs w:val="21"/>
                      <w:lang w:val="en-US" w:eastAsia="zh-CN"/>
                    </w:rPr>
                    <w:t>车间地面</w:t>
                  </w:r>
                </w:p>
              </w:tc>
              <w:tc>
                <w:tcPr>
                  <w:tcW w:w="1217" w:type="dxa"/>
                  <w:noWrap w:val="0"/>
                  <w:vAlign w:val="center"/>
                </w:tcPr>
                <w:p>
                  <w:pPr>
                    <w:jc w:val="center"/>
                    <w:rPr>
                      <w:rFonts w:ascii="Times New Roman" w:hAnsi="Times New Roman"/>
                      <w:color w:val="000000"/>
                      <w:szCs w:val="21"/>
                    </w:rPr>
                  </w:pPr>
                  <w:r>
                    <w:rPr>
                      <w:rFonts w:ascii="Times New Roman" w:hAnsi="Times New Roman"/>
                      <w:color w:val="000000"/>
                      <w:szCs w:val="21"/>
                    </w:rPr>
                    <w:t>一般</w:t>
                  </w:r>
                </w:p>
              </w:tc>
              <w:tc>
                <w:tcPr>
                  <w:tcW w:w="1554" w:type="dxa"/>
                  <w:vMerge w:val="restart"/>
                  <w:noWrap w:val="0"/>
                  <w:vAlign w:val="center"/>
                </w:tcPr>
                <w:p>
                  <w:pPr>
                    <w:jc w:val="center"/>
                    <w:rPr>
                      <w:rFonts w:ascii="Times New Roman" w:hAnsi="Times New Roman"/>
                      <w:color w:val="000000"/>
                      <w:szCs w:val="21"/>
                    </w:rPr>
                  </w:pPr>
                  <w:r>
                    <w:rPr>
                      <w:rFonts w:ascii="Times New Roman" w:hAnsi="Times New Roman"/>
                      <w:color w:val="000000"/>
                      <w:szCs w:val="21"/>
                    </w:rPr>
                    <w:t>等效粘土防渗层Mb≥1.5m，渗透系数K≤10</w:t>
                  </w:r>
                  <w:r>
                    <w:rPr>
                      <w:rFonts w:ascii="Times New Roman" w:hAnsi="Times New Roman"/>
                      <w:color w:val="000000"/>
                      <w:szCs w:val="21"/>
                      <w:vertAlign w:val="superscript"/>
                    </w:rPr>
                    <w:t>-7</w:t>
                  </w:r>
                  <w:r>
                    <w:rPr>
                      <w:rFonts w:ascii="Times New Roman" w:hAnsi="Times New Roman"/>
                      <w:color w:val="000000"/>
                      <w:szCs w:val="21"/>
                    </w:rPr>
                    <w:t>cm/s</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9" w:hRule="atLeast"/>
                <w:tblHeader/>
                <w:jc w:val="center"/>
              </w:trPr>
              <w:tc>
                <w:tcPr>
                  <w:tcW w:w="614" w:type="dxa"/>
                  <w:noWrap w:val="0"/>
                  <w:vAlign w:val="center"/>
                </w:tcPr>
                <w:p>
                  <w:pPr>
                    <w:spacing w:line="240" w:lineRule="atLeast"/>
                    <w:jc w:val="center"/>
                    <w:rPr>
                      <w:rFonts w:hint="eastAsia" w:ascii="Times New Roman" w:hAnsi="Times New Roman" w:eastAsia="宋体"/>
                      <w:color w:val="000000"/>
                      <w:szCs w:val="21"/>
                      <w:lang w:eastAsia="zh-CN"/>
                    </w:rPr>
                  </w:pPr>
                  <w:r>
                    <w:rPr>
                      <w:rFonts w:hint="eastAsia"/>
                      <w:color w:val="000000"/>
                      <w:szCs w:val="21"/>
                      <w:lang w:val="en-US" w:eastAsia="zh-CN"/>
                    </w:rPr>
                    <w:t>2</w:t>
                  </w:r>
                </w:p>
              </w:tc>
              <w:tc>
                <w:tcPr>
                  <w:tcW w:w="2073" w:type="dxa"/>
                  <w:noWrap w:val="0"/>
                  <w:vAlign w:val="center"/>
                </w:tcPr>
                <w:p>
                  <w:pPr>
                    <w:jc w:val="center"/>
                    <w:rPr>
                      <w:rFonts w:hint="eastAsia" w:ascii="Times New Roman" w:hAnsi="Times New Roman" w:eastAsia="宋体"/>
                      <w:color w:val="000000"/>
                      <w:szCs w:val="21"/>
                      <w:lang w:eastAsia="zh-CN"/>
                    </w:rPr>
                  </w:pPr>
                  <w:r>
                    <w:rPr>
                      <w:rFonts w:ascii="Times New Roman" w:hAnsi="Times New Roman"/>
                      <w:color w:val="000000"/>
                      <w:szCs w:val="21"/>
                    </w:rPr>
                    <w:t>一般固废</w:t>
                  </w:r>
                  <w:r>
                    <w:rPr>
                      <w:rFonts w:hint="eastAsia"/>
                      <w:color w:val="000000"/>
                      <w:szCs w:val="21"/>
                      <w:lang w:val="en-US" w:eastAsia="zh-CN"/>
                    </w:rPr>
                    <w:t>库</w:t>
                  </w:r>
                </w:p>
              </w:tc>
              <w:tc>
                <w:tcPr>
                  <w:tcW w:w="2259" w:type="dxa"/>
                  <w:noWrap w:val="0"/>
                  <w:vAlign w:val="center"/>
                </w:tcPr>
                <w:p>
                  <w:pPr>
                    <w:jc w:val="center"/>
                    <w:rPr>
                      <w:rFonts w:ascii="Times New Roman" w:hAnsi="Times New Roman"/>
                      <w:color w:val="000000"/>
                      <w:szCs w:val="21"/>
                    </w:rPr>
                  </w:pPr>
                  <w:r>
                    <w:rPr>
                      <w:rFonts w:ascii="Times New Roman" w:hAnsi="Times New Roman"/>
                      <w:color w:val="000000"/>
                      <w:szCs w:val="21"/>
                    </w:rPr>
                    <w:t>固废区地面</w:t>
                  </w:r>
                </w:p>
              </w:tc>
              <w:tc>
                <w:tcPr>
                  <w:tcW w:w="1217" w:type="dxa"/>
                  <w:noWrap w:val="0"/>
                  <w:vAlign w:val="center"/>
                </w:tcPr>
                <w:p>
                  <w:pPr>
                    <w:jc w:val="center"/>
                    <w:rPr>
                      <w:rFonts w:ascii="Times New Roman" w:hAnsi="Times New Roman"/>
                      <w:color w:val="000000"/>
                      <w:szCs w:val="21"/>
                    </w:rPr>
                  </w:pPr>
                  <w:r>
                    <w:rPr>
                      <w:rFonts w:ascii="Times New Roman" w:hAnsi="Times New Roman"/>
                      <w:color w:val="000000"/>
                      <w:szCs w:val="21"/>
                    </w:rPr>
                    <w:t>一般</w:t>
                  </w:r>
                </w:p>
              </w:tc>
              <w:tc>
                <w:tcPr>
                  <w:tcW w:w="1554" w:type="dxa"/>
                  <w:vMerge w:val="continue"/>
                  <w:noWrap w:val="0"/>
                  <w:vAlign w:val="center"/>
                </w:tcPr>
                <w:p>
                  <w:pPr>
                    <w:jc w:val="center"/>
                    <w:rPr>
                      <w:rFonts w:ascii="Times New Roman" w:hAnsi="Times New Roman"/>
                      <w:color w:val="000000"/>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9" w:hRule="atLeast"/>
                <w:tblHeader/>
                <w:jc w:val="center"/>
              </w:trPr>
              <w:tc>
                <w:tcPr>
                  <w:tcW w:w="614" w:type="dxa"/>
                  <w:noWrap w:val="0"/>
                  <w:vAlign w:val="center"/>
                </w:tcPr>
                <w:p>
                  <w:pPr>
                    <w:spacing w:line="240" w:lineRule="atLeast"/>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color w:val="000000"/>
                      <w:szCs w:val="21"/>
                      <w:lang w:val="en-US" w:eastAsia="zh-CN"/>
                    </w:rPr>
                    <w:t>3</w:t>
                  </w:r>
                </w:p>
              </w:tc>
              <w:tc>
                <w:tcPr>
                  <w:tcW w:w="2073" w:type="dxa"/>
                  <w:noWrap w:val="0"/>
                  <w:vAlign w:val="center"/>
                </w:tcPr>
                <w:p>
                  <w:pPr>
                    <w:jc w:val="center"/>
                    <w:rPr>
                      <w:rFonts w:hint="default" w:ascii="Times New Roman" w:hAnsi="Times New Roman" w:eastAsia="宋体"/>
                      <w:color w:val="auto"/>
                      <w:szCs w:val="21"/>
                      <w:lang w:val="en-US" w:eastAsia="zh-CN"/>
                    </w:rPr>
                  </w:pPr>
                  <w:r>
                    <w:rPr>
                      <w:rFonts w:hint="eastAsia"/>
                      <w:color w:val="auto"/>
                      <w:szCs w:val="21"/>
                      <w:lang w:val="en-US" w:eastAsia="zh-CN"/>
                    </w:rPr>
                    <w:t>材</w:t>
                  </w:r>
                  <w:r>
                    <w:rPr>
                      <w:rFonts w:hint="eastAsia" w:ascii="Times New Roman" w:hAnsi="Times New Roman"/>
                      <w:color w:val="auto"/>
                      <w:szCs w:val="21"/>
                      <w:lang w:val="en-US" w:eastAsia="zh-CN"/>
                    </w:rPr>
                    <w:t>料库</w:t>
                  </w:r>
                </w:p>
              </w:tc>
              <w:tc>
                <w:tcPr>
                  <w:tcW w:w="2259" w:type="dxa"/>
                  <w:noWrap w:val="0"/>
                  <w:vAlign w:val="center"/>
                </w:tcPr>
                <w:p>
                  <w:pPr>
                    <w:jc w:val="center"/>
                    <w:rPr>
                      <w:rFonts w:ascii="Times New Roman" w:hAnsi="Times New Roman"/>
                      <w:color w:val="auto"/>
                      <w:szCs w:val="21"/>
                    </w:rPr>
                  </w:pPr>
                  <w:r>
                    <w:rPr>
                      <w:rFonts w:hint="eastAsia" w:ascii="Times New Roman" w:hAnsi="Times New Roman"/>
                      <w:color w:val="auto"/>
                      <w:szCs w:val="21"/>
                      <w:lang w:val="en-US" w:eastAsia="zh-CN"/>
                    </w:rPr>
                    <w:t>仓库</w:t>
                  </w:r>
                  <w:r>
                    <w:rPr>
                      <w:rFonts w:ascii="Times New Roman" w:hAnsi="Times New Roman"/>
                      <w:color w:val="auto"/>
                      <w:szCs w:val="21"/>
                    </w:rPr>
                    <w:t>地面</w:t>
                  </w:r>
                </w:p>
              </w:tc>
              <w:tc>
                <w:tcPr>
                  <w:tcW w:w="1217" w:type="dxa"/>
                  <w:noWrap w:val="0"/>
                  <w:vAlign w:val="center"/>
                </w:tcPr>
                <w:p>
                  <w:pPr>
                    <w:jc w:val="center"/>
                    <w:rPr>
                      <w:rFonts w:ascii="Times New Roman" w:hAnsi="Times New Roman"/>
                      <w:color w:val="000000"/>
                      <w:szCs w:val="21"/>
                    </w:rPr>
                  </w:pPr>
                  <w:r>
                    <w:rPr>
                      <w:rFonts w:ascii="Times New Roman" w:hAnsi="Times New Roman"/>
                      <w:color w:val="000000"/>
                      <w:szCs w:val="21"/>
                    </w:rPr>
                    <w:t>一般</w:t>
                  </w:r>
                </w:p>
              </w:tc>
              <w:tc>
                <w:tcPr>
                  <w:tcW w:w="1554" w:type="dxa"/>
                  <w:vMerge w:val="continue"/>
                  <w:noWrap w:val="0"/>
                  <w:vAlign w:val="center"/>
                </w:tcPr>
                <w:p>
                  <w:pPr>
                    <w:jc w:val="center"/>
                    <w:rPr>
                      <w:rFonts w:ascii="Times New Roman" w:hAnsi="Times New Roman"/>
                      <w:color w:val="000000"/>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9" w:hRule="atLeast"/>
                <w:tblHeader/>
                <w:jc w:val="center"/>
              </w:trPr>
              <w:tc>
                <w:tcPr>
                  <w:tcW w:w="614" w:type="dxa"/>
                  <w:noWrap w:val="0"/>
                  <w:vAlign w:val="center"/>
                </w:tcPr>
                <w:p>
                  <w:pPr>
                    <w:spacing w:line="240" w:lineRule="atLeast"/>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color w:val="000000"/>
                      <w:szCs w:val="21"/>
                      <w:lang w:val="en-US" w:eastAsia="zh-CN"/>
                    </w:rPr>
                    <w:t>4</w:t>
                  </w:r>
                </w:p>
              </w:tc>
              <w:tc>
                <w:tcPr>
                  <w:tcW w:w="2073" w:type="dxa"/>
                  <w:noWrap w:val="0"/>
                  <w:vAlign w:val="center"/>
                </w:tcPr>
                <w:p>
                  <w:pPr>
                    <w:jc w:val="center"/>
                    <w:rPr>
                      <w:rFonts w:hint="eastAsia" w:ascii="Times New Roman" w:hAnsi="Times New Roman" w:eastAsia="宋体"/>
                      <w:color w:val="000000"/>
                      <w:szCs w:val="21"/>
                      <w:lang w:eastAsia="zh-CN"/>
                    </w:rPr>
                  </w:pPr>
                  <w:r>
                    <w:rPr>
                      <w:rFonts w:ascii="Times New Roman" w:hAnsi="Times New Roman"/>
                      <w:color w:val="000000"/>
                      <w:szCs w:val="21"/>
                    </w:rPr>
                    <w:t>危废暂存</w:t>
                  </w:r>
                  <w:r>
                    <w:rPr>
                      <w:rFonts w:hint="eastAsia"/>
                      <w:color w:val="000000"/>
                      <w:szCs w:val="21"/>
                      <w:lang w:val="en-US" w:eastAsia="zh-CN"/>
                    </w:rPr>
                    <w:t>间</w:t>
                  </w:r>
                </w:p>
              </w:tc>
              <w:tc>
                <w:tcPr>
                  <w:tcW w:w="2259" w:type="dxa"/>
                  <w:noWrap w:val="0"/>
                  <w:vAlign w:val="center"/>
                </w:tcPr>
                <w:p>
                  <w:pPr>
                    <w:jc w:val="center"/>
                    <w:rPr>
                      <w:rFonts w:ascii="Times New Roman" w:hAnsi="Times New Roman"/>
                      <w:color w:val="000000"/>
                      <w:szCs w:val="21"/>
                    </w:rPr>
                  </w:pPr>
                  <w:r>
                    <w:rPr>
                      <w:rFonts w:ascii="Times New Roman" w:hAnsi="Times New Roman"/>
                      <w:color w:val="000000"/>
                      <w:szCs w:val="21"/>
                    </w:rPr>
                    <w:t>仓库地面</w:t>
                  </w:r>
                </w:p>
              </w:tc>
              <w:tc>
                <w:tcPr>
                  <w:tcW w:w="1217" w:type="dxa"/>
                  <w:noWrap w:val="0"/>
                  <w:vAlign w:val="center"/>
                </w:tcPr>
                <w:p>
                  <w:pPr>
                    <w:jc w:val="center"/>
                    <w:rPr>
                      <w:rFonts w:ascii="Times New Roman" w:hAnsi="Times New Roman"/>
                      <w:color w:val="000000"/>
                      <w:szCs w:val="21"/>
                    </w:rPr>
                  </w:pPr>
                  <w:r>
                    <w:rPr>
                      <w:rFonts w:ascii="Times New Roman" w:hAnsi="Times New Roman"/>
                      <w:color w:val="000000"/>
                      <w:szCs w:val="21"/>
                    </w:rPr>
                    <w:t>重点</w:t>
                  </w:r>
                </w:p>
              </w:tc>
              <w:tc>
                <w:tcPr>
                  <w:tcW w:w="1554" w:type="dxa"/>
                  <w:vMerge w:val="restart"/>
                  <w:noWrap w:val="0"/>
                  <w:vAlign w:val="center"/>
                </w:tcPr>
                <w:p>
                  <w:pPr>
                    <w:jc w:val="center"/>
                    <w:rPr>
                      <w:rFonts w:ascii="Times New Roman" w:hAnsi="Times New Roman"/>
                      <w:color w:val="000000"/>
                      <w:szCs w:val="21"/>
                    </w:rPr>
                  </w:pPr>
                  <w:r>
                    <w:rPr>
                      <w:rFonts w:ascii="Times New Roman" w:hAnsi="Times New Roman"/>
                      <w:color w:val="000000"/>
                      <w:szCs w:val="21"/>
                    </w:rPr>
                    <w:t>等效黏土防渗层Mb≥6.0m，K≤1×</w:t>
                  </w:r>
                </w:p>
                <w:p>
                  <w:pPr>
                    <w:jc w:val="center"/>
                    <w:rPr>
                      <w:rFonts w:ascii="Times New Roman" w:hAnsi="Times New Roman"/>
                      <w:color w:val="000000"/>
                      <w:szCs w:val="21"/>
                    </w:rPr>
                  </w:pPr>
                  <w:r>
                    <w:rPr>
                      <w:rFonts w:ascii="Times New Roman" w:hAnsi="Times New Roman"/>
                      <w:color w:val="000000"/>
                      <w:szCs w:val="21"/>
                    </w:rPr>
                    <w:t>10</w:t>
                  </w:r>
                  <w:r>
                    <w:rPr>
                      <w:rFonts w:ascii="Times New Roman" w:hAnsi="Times New Roman"/>
                      <w:color w:val="000000"/>
                      <w:szCs w:val="21"/>
                      <w:vertAlign w:val="superscript"/>
                    </w:rPr>
                    <w:t>-7</w:t>
                  </w:r>
                  <w:r>
                    <w:rPr>
                      <w:rFonts w:ascii="Times New Roman" w:hAnsi="Times New Roman"/>
                      <w:color w:val="000000"/>
                      <w:szCs w:val="21"/>
                    </w:rPr>
                    <w:t>cm/s</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43" w:hRule="atLeast"/>
                <w:tblHeader/>
                <w:jc w:val="center"/>
              </w:trPr>
              <w:tc>
                <w:tcPr>
                  <w:tcW w:w="614" w:type="dxa"/>
                  <w:noWrap w:val="0"/>
                  <w:vAlign w:val="center"/>
                </w:tcPr>
                <w:p>
                  <w:pPr>
                    <w:spacing w:line="240" w:lineRule="atLeast"/>
                    <w:jc w:val="center"/>
                    <w:rPr>
                      <w:rFonts w:hint="default" w:ascii="Times New Roman" w:hAnsi="Times New Roman" w:eastAsia="宋体"/>
                      <w:color w:val="000000"/>
                      <w:szCs w:val="21"/>
                      <w:lang w:val="en-US" w:eastAsia="zh-CN"/>
                    </w:rPr>
                  </w:pPr>
                  <w:r>
                    <w:rPr>
                      <w:rFonts w:hint="eastAsia"/>
                      <w:color w:val="000000"/>
                      <w:szCs w:val="21"/>
                      <w:lang w:val="en-US" w:eastAsia="zh-CN"/>
                    </w:rPr>
                    <w:t>5</w:t>
                  </w:r>
                </w:p>
              </w:tc>
              <w:tc>
                <w:tcPr>
                  <w:tcW w:w="2073" w:type="dxa"/>
                  <w:noWrap w:val="0"/>
                  <w:vAlign w:val="center"/>
                </w:tcPr>
                <w:p>
                  <w:pPr>
                    <w:jc w:val="center"/>
                    <w:rPr>
                      <w:rFonts w:ascii="Times New Roman" w:hAnsi="Times New Roman"/>
                      <w:color w:val="000000"/>
                      <w:szCs w:val="21"/>
                    </w:rPr>
                  </w:pPr>
                  <w:r>
                    <w:rPr>
                      <w:rFonts w:hint="eastAsia"/>
                      <w:color w:val="000000"/>
                      <w:szCs w:val="21"/>
                      <w:lang w:val="en-US" w:eastAsia="zh-CN"/>
                    </w:rPr>
                    <w:t>混合水</w:t>
                  </w:r>
                  <w:r>
                    <w:rPr>
                      <w:rFonts w:hint="eastAsia" w:ascii="Times New Roman" w:hAnsi="Times New Roman"/>
                      <w:color w:val="000000"/>
                      <w:szCs w:val="21"/>
                    </w:rPr>
                    <w:t>池</w:t>
                  </w:r>
                </w:p>
              </w:tc>
              <w:tc>
                <w:tcPr>
                  <w:tcW w:w="2259" w:type="dxa"/>
                  <w:noWrap w:val="0"/>
                  <w:vAlign w:val="center"/>
                </w:tcPr>
                <w:p>
                  <w:pPr>
                    <w:jc w:val="center"/>
                    <w:rPr>
                      <w:rFonts w:ascii="Times New Roman" w:hAnsi="Times New Roman"/>
                      <w:color w:val="000000"/>
                      <w:szCs w:val="21"/>
                    </w:rPr>
                  </w:pPr>
                  <w:r>
                    <w:rPr>
                      <w:rFonts w:hint="eastAsia" w:ascii="Times New Roman" w:hAnsi="Times New Roman"/>
                      <w:color w:val="000000"/>
                      <w:szCs w:val="21"/>
                    </w:rPr>
                    <w:t>池底底面</w:t>
                  </w:r>
                </w:p>
              </w:tc>
              <w:tc>
                <w:tcPr>
                  <w:tcW w:w="1217" w:type="dxa"/>
                  <w:noWrap w:val="0"/>
                  <w:vAlign w:val="center"/>
                </w:tcPr>
                <w:p>
                  <w:pPr>
                    <w:jc w:val="center"/>
                    <w:rPr>
                      <w:rFonts w:ascii="Times New Roman" w:hAnsi="Times New Roman"/>
                      <w:color w:val="000000"/>
                      <w:szCs w:val="21"/>
                    </w:rPr>
                  </w:pPr>
                  <w:r>
                    <w:rPr>
                      <w:rFonts w:hint="eastAsia" w:ascii="Times New Roman" w:hAnsi="Times New Roman"/>
                      <w:color w:val="000000"/>
                      <w:szCs w:val="21"/>
                    </w:rPr>
                    <w:t>重点</w:t>
                  </w:r>
                </w:p>
              </w:tc>
              <w:tc>
                <w:tcPr>
                  <w:tcW w:w="1554" w:type="dxa"/>
                  <w:vMerge w:val="continue"/>
                  <w:noWrap w:val="0"/>
                  <w:vAlign w:val="center"/>
                </w:tcPr>
                <w:p>
                  <w:pPr>
                    <w:jc w:val="center"/>
                    <w:rPr>
                      <w:rFonts w:ascii="Times New Roman" w:hAnsi="Times New Roman"/>
                      <w:color w:val="000000"/>
                      <w:szCs w:val="21"/>
                    </w:rPr>
                  </w:pPr>
                </w:p>
              </w:tc>
            </w:tr>
          </w:tbl>
          <w:p>
            <w:pPr>
              <w:ind w:firstLine="420" w:firstLineChars="200"/>
              <w:rPr>
                <w:rFonts w:ascii="Times New Roman" w:hAnsi="Times New Roman"/>
                <w:color w:val="000000"/>
              </w:rPr>
            </w:pPr>
          </w:p>
          <w:p>
            <w:pPr>
              <w:pStyle w:val="67"/>
              <w:spacing w:line="360" w:lineRule="auto"/>
              <w:ind w:firstLine="480" w:firstLineChars="200"/>
              <w:rPr>
                <w:rFonts w:ascii="Times New Roman" w:hAnsi="Times New Roman"/>
                <w:color w:val="000000"/>
                <w:sz w:val="24"/>
                <w:szCs w:val="24"/>
              </w:rPr>
            </w:pPr>
            <w:r>
              <w:rPr>
                <w:rFonts w:ascii="Times New Roman" w:hAnsi="Times New Roman"/>
                <w:color w:val="000000"/>
                <w:sz w:val="24"/>
                <w:szCs w:val="24"/>
              </w:rPr>
              <w:t>项目重点防渗区防渗措施为：混凝土+2mmHDPE 土工膜+混凝土结构形式，防渗结构层渗透系数不应大于1.0×10</w:t>
            </w:r>
            <w:r>
              <w:rPr>
                <w:rFonts w:ascii="Times New Roman" w:hAnsi="Times New Roman"/>
                <w:color w:val="000000"/>
                <w:sz w:val="24"/>
                <w:szCs w:val="24"/>
                <w:vertAlign w:val="superscript"/>
              </w:rPr>
              <w:t>-10</w:t>
            </w:r>
            <w:r>
              <w:rPr>
                <w:rFonts w:ascii="Times New Roman" w:hAnsi="Times New Roman"/>
                <w:color w:val="000000"/>
                <w:sz w:val="24"/>
                <w:szCs w:val="24"/>
              </w:rPr>
              <w:t>cm/s，土工膜（厚度不宜小于1.5mm）。</w:t>
            </w:r>
          </w:p>
          <w:p>
            <w:pPr>
              <w:pStyle w:val="67"/>
              <w:spacing w:line="360" w:lineRule="auto"/>
              <w:ind w:firstLine="480" w:firstLineChars="200"/>
              <w:rPr>
                <w:rFonts w:ascii="Times New Roman" w:hAnsi="Times New Roman"/>
                <w:color w:val="000000"/>
                <w:sz w:val="24"/>
                <w:szCs w:val="24"/>
              </w:rPr>
            </w:pPr>
            <w:r>
              <w:rPr>
                <w:rFonts w:ascii="Times New Roman" w:hAnsi="Times New Roman"/>
                <w:color w:val="000000"/>
                <w:sz w:val="24"/>
                <w:szCs w:val="24"/>
              </w:rPr>
              <w:t>此外还要加强管理，提高操作人员技术水平，完善管理机制，建立严格的生产管理制度，遵守操作规程，防止各防渗水池内污水溢出漫流。项目采取以上措施后，可最大程度的减少项目污染物的排放对地下水的影响。</w:t>
            </w:r>
          </w:p>
          <w:p>
            <w:pPr>
              <w:pStyle w:val="67"/>
              <w:spacing w:line="360" w:lineRule="auto"/>
              <w:ind w:firstLine="480" w:firstLineChars="200"/>
              <w:rPr>
                <w:rFonts w:ascii="Times New Roman" w:hAnsi="Times New Roman"/>
                <w:color w:val="000000"/>
                <w:sz w:val="24"/>
                <w:szCs w:val="24"/>
              </w:rPr>
            </w:pPr>
            <w:r>
              <w:rPr>
                <w:rFonts w:ascii="Times New Roman" w:hAnsi="Times New Roman"/>
                <w:color w:val="000000"/>
                <w:sz w:val="24"/>
                <w:szCs w:val="24"/>
              </w:rPr>
              <w:t>综上所述，在做好生产区等构筑物的防渗工作的前提下，加强管理，项目不会对地下水环境产生不利影响。</w:t>
            </w:r>
          </w:p>
          <w:p>
            <w:pPr>
              <w:spacing w:line="360" w:lineRule="auto"/>
              <w:ind w:firstLine="482" w:firstLineChars="200"/>
              <w:rPr>
                <w:b/>
                <w:color w:val="000000"/>
                <w:sz w:val="24"/>
              </w:rPr>
            </w:pPr>
            <w:r>
              <w:rPr>
                <w:rFonts w:hint="eastAsia"/>
                <w:b/>
                <w:color w:val="000000"/>
                <w:sz w:val="24"/>
              </w:rPr>
              <w:t>七、环境风险分析</w:t>
            </w:r>
          </w:p>
          <w:p>
            <w:pPr>
              <w:spacing w:line="360" w:lineRule="auto"/>
              <w:ind w:firstLine="480" w:firstLineChars="200"/>
              <w:rPr>
                <w:color w:val="000000"/>
                <w:sz w:val="24"/>
              </w:rPr>
            </w:pPr>
            <w:r>
              <w:rPr>
                <w:color w:val="000000"/>
                <w:sz w:val="24"/>
              </w:rPr>
              <w:t>环境风险防范意识是企业安全生产的前提和保障，本次评价仅对项目潜在的危险源和可能造成的污染事故及环境影响进行简单分析、评价，并提出防止事故措施，以达到降低风险，减少危害的目的。</w:t>
            </w:r>
          </w:p>
          <w:p>
            <w:pPr>
              <w:pStyle w:val="14"/>
              <w:spacing w:before="0" w:beforeAutospacing="0" w:after="0" w:line="360" w:lineRule="auto"/>
              <w:ind w:left="0" w:leftChars="0" w:firstLine="480" w:firstLineChars="200"/>
              <w:rPr>
                <w:color w:val="000000"/>
                <w:sz w:val="24"/>
                <w:szCs w:val="24"/>
              </w:rPr>
            </w:pPr>
            <w:r>
              <w:rPr>
                <w:color w:val="000000"/>
                <w:sz w:val="24"/>
                <w:szCs w:val="24"/>
              </w:rPr>
              <w:t>（1）环境风险评价等级判定依据</w:t>
            </w:r>
          </w:p>
          <w:p>
            <w:pPr>
              <w:pStyle w:val="12"/>
              <w:spacing w:line="360" w:lineRule="auto"/>
              <w:ind w:firstLine="480" w:firstLineChars="200"/>
              <w:rPr>
                <w:rFonts w:ascii="Times New Roman" w:hAnsi="Times New Roman"/>
                <w:color w:val="000000"/>
                <w:sz w:val="24"/>
                <w:szCs w:val="24"/>
              </w:rPr>
            </w:pPr>
            <w:r>
              <w:rPr>
                <w:rFonts w:ascii="Times New Roman" w:hAnsi="Times New Roman"/>
                <w:color w:val="000000"/>
                <w:sz w:val="24"/>
                <w:szCs w:val="24"/>
              </w:rPr>
              <w:t>依据《建设项目环境风险评价技术导则》（HJ169-2018），需对项目环境风险评价划分工作等级，划分依据见</w:t>
            </w:r>
            <w:r>
              <w:rPr>
                <w:rFonts w:hint="eastAsia" w:ascii="Times New Roman" w:hAnsi="Times New Roman"/>
                <w:color w:val="000000"/>
                <w:sz w:val="24"/>
                <w:szCs w:val="24"/>
              </w:rPr>
              <w:t>下表</w:t>
            </w:r>
            <w:r>
              <w:rPr>
                <w:rFonts w:ascii="Times New Roman" w:hAnsi="Times New Roman"/>
                <w:color w:val="000000"/>
                <w:sz w:val="24"/>
                <w:szCs w:val="24"/>
              </w:rPr>
              <w:t>。</w:t>
            </w:r>
          </w:p>
          <w:p>
            <w:pPr>
              <w:pStyle w:val="12"/>
              <w:spacing w:line="440" w:lineRule="exact"/>
              <w:ind w:firstLine="482" w:firstLineChars="200"/>
              <w:jc w:val="center"/>
              <w:rPr>
                <w:rFonts w:ascii="Times New Roman" w:hAnsi="Times New Roman"/>
                <w:color w:val="000000"/>
                <w:sz w:val="24"/>
                <w:szCs w:val="24"/>
              </w:rPr>
            </w:pPr>
            <w:r>
              <w:rPr>
                <w:rFonts w:ascii="Times New Roman" w:hAnsi="Times New Roman"/>
                <w:b/>
                <w:color w:val="000000"/>
                <w:sz w:val="24"/>
                <w:szCs w:val="24"/>
              </w:rPr>
              <w:t>表4-</w:t>
            </w:r>
            <w:r>
              <w:rPr>
                <w:rFonts w:hint="eastAsia" w:ascii="Times New Roman" w:hAnsi="Times New Roman"/>
                <w:b/>
                <w:color w:val="000000"/>
                <w:sz w:val="24"/>
                <w:szCs w:val="24"/>
                <w:lang w:val="en-US" w:eastAsia="zh-CN"/>
              </w:rPr>
              <w:t>8</w:t>
            </w:r>
            <w:r>
              <w:rPr>
                <w:rFonts w:ascii="Times New Roman" w:hAnsi="Times New Roman"/>
                <w:b/>
                <w:color w:val="000000"/>
                <w:sz w:val="24"/>
                <w:szCs w:val="24"/>
              </w:rPr>
              <w:t xml:space="preserve">  建设项目环境风险评价工作等级判别表</w:t>
            </w:r>
          </w:p>
          <w:tbl>
            <w:tblPr>
              <w:tblStyle w:val="26"/>
              <w:tblW w:w="5000" w:type="pct"/>
              <w:tblInd w:w="113"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69"/>
              <w:gridCol w:w="1394"/>
              <w:gridCol w:w="1527"/>
              <w:gridCol w:w="1803"/>
              <w:gridCol w:w="1565"/>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98" w:type="pct"/>
                  <w:tcBorders>
                    <w:top w:val="single" w:color="auto" w:sz="4" w:space="0"/>
                    <w:left w:val="nil"/>
                    <w:bottom w:val="single" w:color="auto" w:sz="4" w:space="0"/>
                    <w:right w:val="single" w:color="auto" w:sz="4" w:space="0"/>
                  </w:tcBorders>
                  <w:vAlign w:val="center"/>
                </w:tcPr>
                <w:p>
                  <w:pPr>
                    <w:pStyle w:val="94"/>
                    <w:spacing w:before="0"/>
                    <w:ind w:firstLine="0"/>
                    <w:jc w:val="center"/>
                    <w:rPr>
                      <w:rFonts w:ascii="Times New Roman" w:hAnsi="Times New Roman"/>
                      <w:b/>
                      <w:color w:val="000000"/>
                      <w:sz w:val="21"/>
                      <w:szCs w:val="21"/>
                    </w:rPr>
                  </w:pPr>
                  <w:r>
                    <w:rPr>
                      <w:rFonts w:ascii="Times New Roman" w:hAnsi="Times New Roman"/>
                      <w:b/>
                      <w:color w:val="000000"/>
                      <w:sz w:val="21"/>
                      <w:szCs w:val="21"/>
                    </w:rPr>
                    <w:t>环境风险潜势</w:t>
                  </w:r>
                </w:p>
              </w:tc>
              <w:tc>
                <w:tcPr>
                  <w:tcW w:w="887" w:type="pct"/>
                  <w:tcBorders>
                    <w:top w:val="single" w:color="auto" w:sz="4" w:space="0"/>
                    <w:left w:val="single" w:color="auto" w:sz="4" w:space="0"/>
                    <w:bottom w:val="single" w:color="auto" w:sz="4" w:space="0"/>
                    <w:right w:val="single" w:color="auto" w:sz="4" w:space="0"/>
                  </w:tcBorders>
                  <w:vAlign w:val="center"/>
                </w:tcPr>
                <w:p>
                  <w:pPr>
                    <w:pStyle w:val="94"/>
                    <w:spacing w:before="0"/>
                    <w:ind w:firstLine="0"/>
                    <w:jc w:val="center"/>
                    <w:rPr>
                      <w:rFonts w:ascii="Times New Roman" w:hAnsi="Times New Roman"/>
                      <w:b/>
                      <w:color w:val="000000"/>
                      <w:sz w:val="21"/>
                      <w:szCs w:val="21"/>
                    </w:rPr>
                  </w:pPr>
                  <w:r>
                    <w:rPr>
                      <w:rFonts w:ascii="Times New Roman" w:hAnsi="Times New Roman"/>
                      <w:color w:val="000000"/>
                      <w:sz w:val="21"/>
                      <w:szCs w:val="21"/>
                    </w:rPr>
                    <w:t>IV、IV</w:t>
                  </w:r>
                  <w:r>
                    <w:rPr>
                      <w:rFonts w:ascii="Times New Roman" w:hAnsi="Times New Roman"/>
                      <w:color w:val="000000"/>
                      <w:sz w:val="21"/>
                      <w:szCs w:val="21"/>
                      <w:vertAlign w:val="superscript"/>
                    </w:rPr>
                    <w:t>+</w:t>
                  </w:r>
                </w:p>
              </w:tc>
              <w:tc>
                <w:tcPr>
                  <w:tcW w:w="971" w:type="pct"/>
                  <w:tcBorders>
                    <w:top w:val="single" w:color="auto" w:sz="4" w:space="0"/>
                    <w:left w:val="single" w:color="auto" w:sz="4" w:space="0"/>
                    <w:bottom w:val="single" w:color="auto" w:sz="4" w:space="0"/>
                    <w:right w:val="single" w:color="auto" w:sz="4" w:space="0"/>
                  </w:tcBorders>
                  <w:vAlign w:val="center"/>
                </w:tcPr>
                <w:p>
                  <w:pPr>
                    <w:pStyle w:val="94"/>
                    <w:spacing w:before="0"/>
                    <w:ind w:firstLine="0"/>
                    <w:jc w:val="center"/>
                    <w:rPr>
                      <w:rFonts w:ascii="Times New Roman" w:hAnsi="Times New Roman"/>
                      <w:b/>
                      <w:color w:val="000000"/>
                      <w:sz w:val="21"/>
                      <w:szCs w:val="21"/>
                    </w:rPr>
                  </w:pPr>
                  <w:r>
                    <w:rPr>
                      <w:rFonts w:ascii="Times New Roman" w:hAnsi="Times New Roman"/>
                      <w:color w:val="000000"/>
                      <w:sz w:val="21"/>
                      <w:szCs w:val="21"/>
                    </w:rPr>
                    <w:t>Ⅲ</w:t>
                  </w:r>
                </w:p>
              </w:tc>
              <w:tc>
                <w:tcPr>
                  <w:tcW w:w="1147" w:type="pct"/>
                  <w:tcBorders>
                    <w:top w:val="single" w:color="auto" w:sz="4" w:space="0"/>
                    <w:left w:val="single" w:color="auto" w:sz="4" w:space="0"/>
                    <w:bottom w:val="single" w:color="auto" w:sz="4" w:space="0"/>
                    <w:right w:val="single" w:color="auto" w:sz="4" w:space="0"/>
                  </w:tcBorders>
                  <w:vAlign w:val="center"/>
                </w:tcPr>
                <w:p>
                  <w:pPr>
                    <w:pStyle w:val="94"/>
                    <w:spacing w:before="0"/>
                    <w:ind w:firstLine="0"/>
                    <w:jc w:val="center"/>
                    <w:rPr>
                      <w:rFonts w:ascii="Times New Roman" w:hAnsi="Times New Roman"/>
                      <w:bCs/>
                      <w:color w:val="000000"/>
                      <w:sz w:val="21"/>
                      <w:szCs w:val="21"/>
                    </w:rPr>
                  </w:pPr>
                  <w:r>
                    <w:rPr>
                      <w:rFonts w:ascii="Times New Roman" w:hAnsi="Times New Roman"/>
                      <w:bCs/>
                      <w:color w:val="000000"/>
                      <w:sz w:val="21"/>
                      <w:szCs w:val="21"/>
                    </w:rPr>
                    <w:t>П</w:t>
                  </w:r>
                </w:p>
              </w:tc>
              <w:tc>
                <w:tcPr>
                  <w:tcW w:w="995" w:type="pct"/>
                  <w:tcBorders>
                    <w:top w:val="single" w:color="auto" w:sz="4" w:space="0"/>
                    <w:left w:val="single" w:color="auto" w:sz="4" w:space="0"/>
                    <w:bottom w:val="single" w:color="auto" w:sz="4" w:space="0"/>
                    <w:right w:val="nil"/>
                  </w:tcBorders>
                  <w:vAlign w:val="center"/>
                </w:tcPr>
                <w:p>
                  <w:pPr>
                    <w:pStyle w:val="94"/>
                    <w:spacing w:before="0"/>
                    <w:ind w:firstLine="0"/>
                    <w:jc w:val="center"/>
                    <w:rPr>
                      <w:rFonts w:ascii="Times New Roman" w:hAnsi="Times New Roman"/>
                      <w:bCs/>
                      <w:color w:val="000000"/>
                      <w:sz w:val="21"/>
                      <w:szCs w:val="21"/>
                    </w:rPr>
                  </w:pPr>
                  <w:r>
                    <w:rPr>
                      <w:rFonts w:ascii="Times New Roman" w:hAnsi="Times New Roman"/>
                      <w:bCs/>
                      <w:color w:val="000000"/>
                      <w:sz w:val="21"/>
                      <w:szCs w:val="21"/>
                    </w:rPr>
                    <w:t>Ⅰ</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98" w:type="pct"/>
                  <w:tcBorders>
                    <w:top w:val="single" w:color="auto" w:sz="4" w:space="0"/>
                    <w:left w:val="nil"/>
                    <w:bottom w:val="single" w:color="auto" w:sz="4" w:space="0"/>
                    <w:right w:val="single" w:color="auto" w:sz="4" w:space="0"/>
                  </w:tcBorders>
                  <w:vAlign w:val="center"/>
                </w:tcPr>
                <w:p>
                  <w:pPr>
                    <w:pStyle w:val="94"/>
                    <w:spacing w:before="0"/>
                    <w:ind w:firstLine="0"/>
                    <w:jc w:val="center"/>
                    <w:rPr>
                      <w:rFonts w:ascii="Times New Roman" w:hAnsi="Times New Roman"/>
                      <w:color w:val="000000"/>
                      <w:sz w:val="21"/>
                      <w:szCs w:val="21"/>
                    </w:rPr>
                  </w:pPr>
                  <w:r>
                    <w:rPr>
                      <w:rFonts w:ascii="Times New Roman" w:hAnsi="Times New Roman"/>
                      <w:color w:val="000000"/>
                      <w:sz w:val="21"/>
                      <w:szCs w:val="21"/>
                    </w:rPr>
                    <w:t>评价工作等级</w:t>
                  </w:r>
                </w:p>
              </w:tc>
              <w:tc>
                <w:tcPr>
                  <w:tcW w:w="887" w:type="pct"/>
                  <w:tcBorders>
                    <w:top w:val="single" w:color="auto" w:sz="4" w:space="0"/>
                    <w:left w:val="single" w:color="auto" w:sz="4" w:space="0"/>
                    <w:bottom w:val="single" w:color="auto" w:sz="4" w:space="0"/>
                    <w:right w:val="single" w:color="auto" w:sz="4" w:space="0"/>
                  </w:tcBorders>
                  <w:vAlign w:val="center"/>
                </w:tcPr>
                <w:p>
                  <w:pPr>
                    <w:pStyle w:val="94"/>
                    <w:spacing w:before="0"/>
                    <w:ind w:firstLine="0"/>
                    <w:jc w:val="center"/>
                    <w:rPr>
                      <w:rFonts w:ascii="Times New Roman" w:hAnsi="Times New Roman"/>
                      <w:color w:val="000000"/>
                      <w:sz w:val="21"/>
                      <w:szCs w:val="21"/>
                    </w:rPr>
                  </w:pPr>
                  <w:r>
                    <w:rPr>
                      <w:rFonts w:ascii="Times New Roman" w:hAnsi="Times New Roman"/>
                      <w:color w:val="000000"/>
                      <w:sz w:val="21"/>
                      <w:szCs w:val="21"/>
                    </w:rPr>
                    <w:t>一</w:t>
                  </w:r>
                </w:p>
              </w:tc>
              <w:tc>
                <w:tcPr>
                  <w:tcW w:w="971" w:type="pct"/>
                  <w:tcBorders>
                    <w:top w:val="single" w:color="auto" w:sz="4" w:space="0"/>
                    <w:left w:val="single" w:color="auto" w:sz="4" w:space="0"/>
                    <w:bottom w:val="single" w:color="auto" w:sz="4" w:space="0"/>
                    <w:right w:val="single" w:color="auto" w:sz="4" w:space="0"/>
                  </w:tcBorders>
                  <w:vAlign w:val="center"/>
                </w:tcPr>
                <w:p>
                  <w:pPr>
                    <w:pStyle w:val="94"/>
                    <w:spacing w:before="0"/>
                    <w:ind w:firstLine="0"/>
                    <w:jc w:val="center"/>
                    <w:rPr>
                      <w:rFonts w:ascii="Times New Roman" w:hAnsi="Times New Roman"/>
                      <w:color w:val="000000"/>
                      <w:sz w:val="21"/>
                      <w:szCs w:val="21"/>
                    </w:rPr>
                  </w:pPr>
                  <w:r>
                    <w:rPr>
                      <w:rFonts w:ascii="Times New Roman" w:hAnsi="Times New Roman"/>
                      <w:color w:val="000000"/>
                      <w:sz w:val="21"/>
                      <w:szCs w:val="21"/>
                    </w:rPr>
                    <w:t>二</w:t>
                  </w:r>
                </w:p>
              </w:tc>
              <w:tc>
                <w:tcPr>
                  <w:tcW w:w="1147" w:type="pct"/>
                  <w:tcBorders>
                    <w:top w:val="single" w:color="auto" w:sz="4" w:space="0"/>
                    <w:left w:val="single" w:color="auto" w:sz="4" w:space="0"/>
                    <w:bottom w:val="single" w:color="auto" w:sz="4" w:space="0"/>
                    <w:right w:val="single" w:color="auto" w:sz="4" w:space="0"/>
                  </w:tcBorders>
                  <w:vAlign w:val="center"/>
                </w:tcPr>
                <w:p>
                  <w:pPr>
                    <w:pStyle w:val="94"/>
                    <w:spacing w:before="0"/>
                    <w:ind w:firstLine="0"/>
                    <w:jc w:val="center"/>
                    <w:rPr>
                      <w:rFonts w:ascii="Times New Roman" w:hAnsi="Times New Roman"/>
                      <w:color w:val="000000"/>
                      <w:sz w:val="21"/>
                      <w:szCs w:val="21"/>
                    </w:rPr>
                  </w:pPr>
                  <w:r>
                    <w:rPr>
                      <w:rFonts w:ascii="Times New Roman" w:hAnsi="Times New Roman"/>
                      <w:color w:val="000000"/>
                      <w:sz w:val="21"/>
                      <w:szCs w:val="21"/>
                    </w:rPr>
                    <w:t>三</w:t>
                  </w:r>
                </w:p>
              </w:tc>
              <w:tc>
                <w:tcPr>
                  <w:tcW w:w="995" w:type="pct"/>
                  <w:tcBorders>
                    <w:top w:val="single" w:color="auto" w:sz="4" w:space="0"/>
                    <w:left w:val="single" w:color="auto" w:sz="4" w:space="0"/>
                    <w:bottom w:val="single" w:color="auto" w:sz="4" w:space="0"/>
                    <w:right w:val="nil"/>
                  </w:tcBorders>
                  <w:vAlign w:val="center"/>
                </w:tcPr>
                <w:p>
                  <w:pPr>
                    <w:pStyle w:val="94"/>
                    <w:spacing w:before="0"/>
                    <w:ind w:firstLine="0"/>
                    <w:jc w:val="center"/>
                    <w:rPr>
                      <w:rFonts w:ascii="Times New Roman" w:hAnsi="Times New Roman"/>
                      <w:color w:val="000000"/>
                      <w:sz w:val="21"/>
                      <w:szCs w:val="21"/>
                    </w:rPr>
                  </w:pPr>
                  <w:r>
                    <w:rPr>
                      <w:rFonts w:ascii="Times New Roman" w:hAnsi="Times New Roman"/>
                      <w:color w:val="000000"/>
                      <w:sz w:val="21"/>
                      <w:szCs w:val="21"/>
                    </w:rPr>
                    <w:t>简单分析</w:t>
                  </w:r>
                </w:p>
              </w:tc>
            </w:tr>
          </w:tbl>
          <w:p>
            <w:pPr>
              <w:pStyle w:val="14"/>
              <w:spacing w:before="0" w:beforeAutospacing="0" w:after="0" w:line="360" w:lineRule="auto"/>
              <w:rPr>
                <w:rFonts w:ascii="Times New Roman" w:hAnsi="Times New Roman" w:cs="Times New Roman"/>
                <w:color w:val="000000"/>
                <w:sz w:val="24"/>
                <w:szCs w:val="24"/>
              </w:rPr>
            </w:pPr>
            <w:r>
              <w:rPr>
                <w:rFonts w:ascii="Times New Roman" w:hAnsi="Times New Roman" w:cs="Times New Roman"/>
                <w:color w:val="000000"/>
                <w:sz w:val="24"/>
                <w:szCs w:val="24"/>
              </w:rPr>
              <w:t>（2）环境风险潜势确定</w:t>
            </w:r>
          </w:p>
          <w:p>
            <w:pPr>
              <w:pStyle w:val="14"/>
              <w:spacing w:before="0" w:beforeAutospacing="0" w:after="0" w:line="360" w:lineRule="auto"/>
              <w:ind w:left="0" w:leftChars="0" w:firstLine="468" w:firstLineChars="195"/>
              <w:rPr>
                <w:rFonts w:ascii="Times New Roman" w:hAnsi="Times New Roman" w:cs="Times New Roman"/>
                <w:color w:val="000000"/>
                <w:sz w:val="24"/>
                <w:szCs w:val="24"/>
              </w:rPr>
            </w:pPr>
            <w:r>
              <w:rPr>
                <w:rFonts w:ascii="Times New Roman" w:hAnsi="Times New Roman" w:cs="Times New Roman"/>
                <w:color w:val="000000"/>
                <w:sz w:val="24"/>
                <w:szCs w:val="24"/>
              </w:rPr>
              <w:t>环境风险潜势是根据建设项目涉及的物质和工艺系统的危险性及其所在地的环境敏感程度，结合事故情形下环境影响途径，对建设项目潜在环境危害程度的一种量化形式。环境风险潜势划分依据见</w:t>
            </w:r>
            <w:r>
              <w:rPr>
                <w:rFonts w:hint="eastAsia" w:ascii="Times New Roman" w:hAnsi="Times New Roman" w:cs="Times New Roman"/>
                <w:color w:val="000000"/>
                <w:sz w:val="24"/>
                <w:szCs w:val="24"/>
              </w:rPr>
              <w:t>下表</w:t>
            </w:r>
            <w:r>
              <w:rPr>
                <w:rFonts w:ascii="Times New Roman" w:hAnsi="Times New Roman" w:cs="Times New Roman"/>
                <w:color w:val="000000"/>
                <w:sz w:val="24"/>
                <w:szCs w:val="24"/>
              </w:rPr>
              <w:t>。</w:t>
            </w:r>
          </w:p>
          <w:p>
            <w:pPr>
              <w:pStyle w:val="12"/>
              <w:spacing w:line="440" w:lineRule="exact"/>
              <w:ind w:firstLine="482" w:firstLineChars="200"/>
              <w:jc w:val="center"/>
              <w:rPr>
                <w:rFonts w:ascii="Times New Roman" w:hAnsi="Times New Roman"/>
                <w:color w:val="000000"/>
                <w:sz w:val="24"/>
                <w:szCs w:val="24"/>
              </w:rPr>
            </w:pPr>
            <w:r>
              <w:rPr>
                <w:rFonts w:ascii="Times New Roman" w:hAnsi="Times New Roman"/>
                <w:b/>
                <w:color w:val="000000"/>
                <w:sz w:val="24"/>
                <w:szCs w:val="24"/>
              </w:rPr>
              <w:t>表4-</w:t>
            </w:r>
            <w:r>
              <w:rPr>
                <w:rFonts w:hint="eastAsia" w:ascii="Times New Roman" w:hAnsi="Times New Roman"/>
                <w:b/>
                <w:color w:val="000000"/>
                <w:sz w:val="24"/>
                <w:szCs w:val="24"/>
                <w:lang w:val="en-US" w:eastAsia="zh-CN"/>
              </w:rPr>
              <w:t xml:space="preserve">9  </w:t>
            </w:r>
            <w:r>
              <w:rPr>
                <w:rFonts w:ascii="Times New Roman" w:hAnsi="Times New Roman"/>
                <w:b/>
                <w:color w:val="000000"/>
                <w:sz w:val="24"/>
                <w:szCs w:val="24"/>
              </w:rPr>
              <w:t>建设项目环境风险潜势划分</w:t>
            </w:r>
          </w:p>
          <w:tbl>
            <w:tblPr>
              <w:tblStyle w:val="26"/>
              <w:tblW w:w="4873" w:type="pct"/>
              <w:tblInd w:w="113"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654"/>
              <w:gridCol w:w="1240"/>
              <w:gridCol w:w="1487"/>
              <w:gridCol w:w="1749"/>
              <w:gridCol w:w="1529"/>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54" w:type="dxa"/>
                  <w:vMerge w:val="restart"/>
                  <w:tcBorders>
                    <w:top w:val="single" w:color="auto" w:sz="4" w:space="0"/>
                    <w:left w:val="nil"/>
                    <w:bottom w:val="single" w:color="auto" w:sz="4" w:space="0"/>
                    <w:right w:val="single" w:color="auto" w:sz="4" w:space="0"/>
                  </w:tcBorders>
                  <w:vAlign w:val="center"/>
                </w:tcPr>
                <w:p>
                  <w:pPr>
                    <w:pStyle w:val="94"/>
                    <w:spacing w:before="0" w:line="340" w:lineRule="exact"/>
                    <w:ind w:firstLine="0"/>
                    <w:jc w:val="center"/>
                    <w:rPr>
                      <w:rFonts w:ascii="Times New Roman" w:hAnsi="Times New Roman"/>
                      <w:b/>
                      <w:color w:val="000000"/>
                      <w:sz w:val="21"/>
                      <w:szCs w:val="21"/>
                    </w:rPr>
                  </w:pPr>
                  <w:r>
                    <w:rPr>
                      <w:rFonts w:ascii="Times New Roman" w:hAnsi="Times New Roman"/>
                      <w:b/>
                      <w:color w:val="000000"/>
                      <w:sz w:val="21"/>
                      <w:szCs w:val="21"/>
                    </w:rPr>
                    <w:t>环境敏感程度E</w:t>
                  </w:r>
                </w:p>
              </w:tc>
              <w:tc>
                <w:tcPr>
                  <w:tcW w:w="6005" w:type="dxa"/>
                  <w:gridSpan w:val="4"/>
                  <w:tcBorders>
                    <w:top w:val="single" w:color="auto" w:sz="4" w:space="0"/>
                    <w:left w:val="single" w:color="auto" w:sz="4" w:space="0"/>
                    <w:bottom w:val="single" w:color="auto" w:sz="4" w:space="0"/>
                    <w:right w:val="nil"/>
                  </w:tcBorders>
                  <w:vAlign w:val="center"/>
                </w:tcPr>
                <w:p>
                  <w:pPr>
                    <w:pStyle w:val="94"/>
                    <w:spacing w:before="0" w:line="340" w:lineRule="exact"/>
                    <w:ind w:firstLine="0"/>
                    <w:jc w:val="center"/>
                    <w:rPr>
                      <w:rFonts w:ascii="Times New Roman" w:hAnsi="Times New Roman"/>
                      <w:b/>
                      <w:color w:val="000000"/>
                      <w:sz w:val="21"/>
                      <w:szCs w:val="21"/>
                    </w:rPr>
                  </w:pPr>
                  <w:r>
                    <w:rPr>
                      <w:rFonts w:ascii="Times New Roman" w:hAnsi="Times New Roman"/>
                      <w:b/>
                      <w:color w:val="000000"/>
                      <w:sz w:val="21"/>
                      <w:szCs w:val="21"/>
                    </w:rPr>
                    <w:t>危险物质及工艺系统危险性P</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54" w:type="dxa"/>
                  <w:vMerge w:val="continue"/>
                  <w:tcBorders>
                    <w:top w:val="single" w:color="auto" w:sz="4" w:space="0"/>
                    <w:left w:val="nil"/>
                    <w:bottom w:val="single" w:color="auto" w:sz="4" w:space="0"/>
                    <w:right w:val="single" w:color="auto" w:sz="4" w:space="0"/>
                  </w:tcBorders>
                  <w:vAlign w:val="center"/>
                </w:tcPr>
                <w:p>
                  <w:pPr>
                    <w:widowControl/>
                    <w:jc w:val="left"/>
                    <w:rPr>
                      <w:b/>
                      <w:color w:val="000000"/>
                      <w:szCs w:val="21"/>
                    </w:rPr>
                  </w:pPr>
                </w:p>
              </w:tc>
              <w:tc>
                <w:tcPr>
                  <w:tcW w:w="1240" w:type="dxa"/>
                  <w:tcBorders>
                    <w:top w:val="single" w:color="auto" w:sz="4" w:space="0"/>
                    <w:left w:val="single" w:color="auto" w:sz="4" w:space="0"/>
                    <w:bottom w:val="single" w:color="auto" w:sz="4" w:space="0"/>
                    <w:right w:val="single" w:color="auto" w:sz="4" w:space="0"/>
                  </w:tcBorders>
                  <w:vAlign w:val="center"/>
                </w:tcPr>
                <w:p>
                  <w:pPr>
                    <w:pStyle w:val="94"/>
                    <w:spacing w:before="0" w:line="340" w:lineRule="exact"/>
                    <w:ind w:firstLine="0"/>
                    <w:jc w:val="center"/>
                    <w:rPr>
                      <w:rFonts w:ascii="Times New Roman" w:hAnsi="Times New Roman"/>
                      <w:b/>
                      <w:color w:val="000000"/>
                      <w:sz w:val="21"/>
                      <w:szCs w:val="21"/>
                    </w:rPr>
                  </w:pPr>
                  <w:r>
                    <w:rPr>
                      <w:rFonts w:ascii="Times New Roman" w:hAnsi="Times New Roman"/>
                      <w:b/>
                      <w:color w:val="000000"/>
                      <w:sz w:val="21"/>
                      <w:szCs w:val="21"/>
                    </w:rPr>
                    <w:t>极高危害</w:t>
                  </w:r>
                </w:p>
              </w:tc>
              <w:tc>
                <w:tcPr>
                  <w:tcW w:w="1487" w:type="dxa"/>
                  <w:tcBorders>
                    <w:top w:val="single" w:color="auto" w:sz="4" w:space="0"/>
                    <w:left w:val="single" w:color="auto" w:sz="4" w:space="0"/>
                    <w:bottom w:val="single" w:color="auto" w:sz="4" w:space="0"/>
                    <w:right w:val="single" w:color="auto" w:sz="4" w:space="0"/>
                  </w:tcBorders>
                  <w:vAlign w:val="center"/>
                </w:tcPr>
                <w:p>
                  <w:pPr>
                    <w:pStyle w:val="94"/>
                    <w:spacing w:before="0" w:line="340" w:lineRule="exact"/>
                    <w:ind w:firstLine="0"/>
                    <w:jc w:val="center"/>
                    <w:rPr>
                      <w:rFonts w:ascii="Times New Roman" w:hAnsi="Times New Roman"/>
                      <w:b/>
                      <w:color w:val="000000"/>
                      <w:sz w:val="21"/>
                      <w:szCs w:val="21"/>
                    </w:rPr>
                  </w:pPr>
                  <w:r>
                    <w:rPr>
                      <w:rFonts w:ascii="Times New Roman" w:hAnsi="Times New Roman"/>
                      <w:b/>
                      <w:color w:val="000000"/>
                      <w:sz w:val="21"/>
                      <w:szCs w:val="21"/>
                    </w:rPr>
                    <w:t>高度危害</w:t>
                  </w:r>
                </w:p>
              </w:tc>
              <w:tc>
                <w:tcPr>
                  <w:tcW w:w="1749" w:type="dxa"/>
                  <w:tcBorders>
                    <w:top w:val="single" w:color="auto" w:sz="4" w:space="0"/>
                    <w:left w:val="single" w:color="auto" w:sz="4" w:space="0"/>
                    <w:bottom w:val="single" w:color="auto" w:sz="4" w:space="0"/>
                    <w:right w:val="single" w:color="auto" w:sz="4" w:space="0"/>
                  </w:tcBorders>
                  <w:vAlign w:val="center"/>
                </w:tcPr>
                <w:p>
                  <w:pPr>
                    <w:pStyle w:val="94"/>
                    <w:spacing w:before="0" w:line="340" w:lineRule="exact"/>
                    <w:ind w:firstLine="0"/>
                    <w:jc w:val="center"/>
                    <w:rPr>
                      <w:rFonts w:ascii="Times New Roman" w:hAnsi="Times New Roman"/>
                      <w:b/>
                      <w:color w:val="000000"/>
                      <w:sz w:val="21"/>
                      <w:szCs w:val="21"/>
                    </w:rPr>
                  </w:pPr>
                  <w:r>
                    <w:rPr>
                      <w:rFonts w:ascii="Times New Roman" w:hAnsi="Times New Roman"/>
                      <w:b/>
                      <w:color w:val="000000"/>
                      <w:sz w:val="21"/>
                      <w:szCs w:val="21"/>
                    </w:rPr>
                    <w:t>中度危害</w:t>
                  </w:r>
                </w:p>
              </w:tc>
              <w:tc>
                <w:tcPr>
                  <w:tcW w:w="1529" w:type="dxa"/>
                  <w:tcBorders>
                    <w:top w:val="single" w:color="auto" w:sz="4" w:space="0"/>
                    <w:left w:val="single" w:color="auto" w:sz="4" w:space="0"/>
                    <w:bottom w:val="single" w:color="auto" w:sz="4" w:space="0"/>
                    <w:right w:val="nil"/>
                  </w:tcBorders>
                  <w:vAlign w:val="center"/>
                </w:tcPr>
                <w:p>
                  <w:pPr>
                    <w:pStyle w:val="94"/>
                    <w:spacing w:before="0" w:line="340" w:lineRule="exact"/>
                    <w:ind w:firstLine="0"/>
                    <w:jc w:val="center"/>
                    <w:rPr>
                      <w:rFonts w:ascii="Times New Roman" w:hAnsi="Times New Roman"/>
                      <w:b/>
                      <w:color w:val="000000"/>
                      <w:sz w:val="21"/>
                      <w:szCs w:val="21"/>
                    </w:rPr>
                  </w:pPr>
                  <w:r>
                    <w:rPr>
                      <w:rFonts w:ascii="Times New Roman" w:hAnsi="Times New Roman"/>
                      <w:b/>
                      <w:color w:val="000000"/>
                      <w:sz w:val="21"/>
                      <w:szCs w:val="21"/>
                    </w:rPr>
                    <w:t>轻度危害</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54" w:type="dxa"/>
                  <w:tcBorders>
                    <w:top w:val="single" w:color="auto" w:sz="4" w:space="0"/>
                    <w:left w:val="nil"/>
                    <w:bottom w:val="single" w:color="auto" w:sz="4" w:space="0"/>
                    <w:right w:val="single" w:color="auto" w:sz="4" w:space="0"/>
                  </w:tcBorders>
                  <w:vAlign w:val="center"/>
                </w:tcPr>
                <w:p>
                  <w:pPr>
                    <w:pStyle w:val="94"/>
                    <w:spacing w:before="0" w:line="340" w:lineRule="exact"/>
                    <w:ind w:firstLine="0"/>
                    <w:jc w:val="center"/>
                    <w:rPr>
                      <w:rFonts w:ascii="Times New Roman" w:hAnsi="Times New Roman"/>
                      <w:color w:val="000000"/>
                      <w:sz w:val="21"/>
                      <w:szCs w:val="21"/>
                    </w:rPr>
                  </w:pPr>
                  <w:r>
                    <w:rPr>
                      <w:rFonts w:ascii="Times New Roman" w:hAnsi="Times New Roman"/>
                      <w:color w:val="000000"/>
                      <w:sz w:val="21"/>
                      <w:szCs w:val="21"/>
                    </w:rPr>
                    <w:t>环境高度敏感区</w:t>
                  </w:r>
                </w:p>
              </w:tc>
              <w:tc>
                <w:tcPr>
                  <w:tcW w:w="1240" w:type="dxa"/>
                  <w:tcBorders>
                    <w:top w:val="single" w:color="auto" w:sz="4" w:space="0"/>
                    <w:left w:val="single" w:color="auto" w:sz="4" w:space="0"/>
                    <w:bottom w:val="single" w:color="auto" w:sz="4" w:space="0"/>
                    <w:right w:val="single" w:color="auto" w:sz="4" w:space="0"/>
                  </w:tcBorders>
                  <w:vAlign w:val="center"/>
                </w:tcPr>
                <w:p>
                  <w:pPr>
                    <w:pStyle w:val="94"/>
                    <w:spacing w:before="0" w:line="340" w:lineRule="exact"/>
                    <w:ind w:firstLine="0"/>
                    <w:jc w:val="center"/>
                    <w:rPr>
                      <w:rFonts w:ascii="Times New Roman" w:hAnsi="Times New Roman"/>
                      <w:color w:val="000000"/>
                      <w:sz w:val="21"/>
                      <w:szCs w:val="21"/>
                    </w:rPr>
                  </w:pPr>
                  <w:r>
                    <w:rPr>
                      <w:rFonts w:ascii="Times New Roman" w:hAnsi="Times New Roman"/>
                      <w:color w:val="000000"/>
                      <w:sz w:val="21"/>
                      <w:szCs w:val="21"/>
                    </w:rPr>
                    <w:t>IV</w:t>
                  </w:r>
                  <w:r>
                    <w:rPr>
                      <w:rFonts w:ascii="Times New Roman" w:hAnsi="Times New Roman"/>
                      <w:color w:val="000000"/>
                      <w:sz w:val="21"/>
                      <w:szCs w:val="21"/>
                      <w:vertAlign w:val="superscript"/>
                    </w:rPr>
                    <w:t>+</w:t>
                  </w:r>
                </w:p>
              </w:tc>
              <w:tc>
                <w:tcPr>
                  <w:tcW w:w="1487" w:type="dxa"/>
                  <w:tcBorders>
                    <w:top w:val="single" w:color="auto" w:sz="4" w:space="0"/>
                    <w:left w:val="single" w:color="auto" w:sz="4" w:space="0"/>
                    <w:bottom w:val="single" w:color="auto" w:sz="4" w:space="0"/>
                    <w:right w:val="single" w:color="auto" w:sz="4" w:space="0"/>
                  </w:tcBorders>
                  <w:vAlign w:val="center"/>
                </w:tcPr>
                <w:p>
                  <w:pPr>
                    <w:pStyle w:val="94"/>
                    <w:spacing w:before="0" w:line="340" w:lineRule="exact"/>
                    <w:ind w:firstLine="0"/>
                    <w:jc w:val="center"/>
                    <w:rPr>
                      <w:rFonts w:ascii="Times New Roman" w:hAnsi="Times New Roman"/>
                      <w:color w:val="000000"/>
                      <w:sz w:val="21"/>
                      <w:szCs w:val="21"/>
                    </w:rPr>
                  </w:pPr>
                  <w:r>
                    <w:rPr>
                      <w:rFonts w:ascii="Times New Roman" w:hAnsi="Times New Roman"/>
                      <w:color w:val="000000"/>
                      <w:sz w:val="21"/>
                      <w:szCs w:val="21"/>
                    </w:rPr>
                    <w:t>IV</w:t>
                  </w:r>
                </w:p>
              </w:tc>
              <w:tc>
                <w:tcPr>
                  <w:tcW w:w="1749" w:type="dxa"/>
                  <w:tcBorders>
                    <w:top w:val="single" w:color="auto" w:sz="4" w:space="0"/>
                    <w:left w:val="single" w:color="auto" w:sz="4" w:space="0"/>
                    <w:bottom w:val="single" w:color="auto" w:sz="4" w:space="0"/>
                    <w:right w:val="single" w:color="auto" w:sz="4" w:space="0"/>
                  </w:tcBorders>
                  <w:vAlign w:val="center"/>
                </w:tcPr>
                <w:p>
                  <w:pPr>
                    <w:pStyle w:val="94"/>
                    <w:spacing w:before="0" w:line="340" w:lineRule="exact"/>
                    <w:ind w:firstLine="0"/>
                    <w:jc w:val="center"/>
                    <w:rPr>
                      <w:rFonts w:ascii="Times New Roman" w:hAnsi="Times New Roman"/>
                      <w:color w:val="000000"/>
                      <w:sz w:val="21"/>
                      <w:szCs w:val="21"/>
                    </w:rPr>
                  </w:pPr>
                  <w:r>
                    <w:rPr>
                      <w:rFonts w:ascii="Times New Roman" w:hAnsi="Times New Roman"/>
                      <w:color w:val="000000"/>
                      <w:sz w:val="21"/>
                      <w:szCs w:val="21"/>
                    </w:rPr>
                    <w:t>Ⅲ</w:t>
                  </w:r>
                </w:p>
              </w:tc>
              <w:tc>
                <w:tcPr>
                  <w:tcW w:w="1529" w:type="dxa"/>
                  <w:tcBorders>
                    <w:top w:val="single" w:color="auto" w:sz="4" w:space="0"/>
                    <w:left w:val="single" w:color="auto" w:sz="4" w:space="0"/>
                    <w:bottom w:val="single" w:color="auto" w:sz="4" w:space="0"/>
                    <w:right w:val="nil"/>
                  </w:tcBorders>
                  <w:vAlign w:val="center"/>
                </w:tcPr>
                <w:p>
                  <w:pPr>
                    <w:pStyle w:val="94"/>
                    <w:spacing w:before="0" w:line="340" w:lineRule="exact"/>
                    <w:ind w:firstLine="0"/>
                    <w:jc w:val="center"/>
                    <w:rPr>
                      <w:rFonts w:ascii="Times New Roman" w:hAnsi="Times New Roman"/>
                      <w:color w:val="000000"/>
                      <w:sz w:val="21"/>
                      <w:szCs w:val="21"/>
                    </w:rPr>
                  </w:pPr>
                  <w:r>
                    <w:rPr>
                      <w:rFonts w:ascii="Times New Roman" w:hAnsi="Times New Roman"/>
                      <w:color w:val="000000"/>
                      <w:sz w:val="21"/>
                      <w:szCs w:val="21"/>
                    </w:rPr>
                    <w:t>Ⅲ</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54" w:type="dxa"/>
                  <w:tcBorders>
                    <w:top w:val="single" w:color="auto" w:sz="4" w:space="0"/>
                    <w:left w:val="nil"/>
                    <w:bottom w:val="single" w:color="auto" w:sz="4" w:space="0"/>
                    <w:right w:val="single" w:color="auto" w:sz="4" w:space="0"/>
                  </w:tcBorders>
                  <w:vAlign w:val="center"/>
                </w:tcPr>
                <w:p>
                  <w:pPr>
                    <w:pStyle w:val="94"/>
                    <w:spacing w:before="0" w:line="340" w:lineRule="exact"/>
                    <w:ind w:firstLine="0"/>
                    <w:jc w:val="center"/>
                    <w:rPr>
                      <w:rFonts w:ascii="Times New Roman" w:hAnsi="Times New Roman"/>
                      <w:color w:val="000000"/>
                      <w:sz w:val="21"/>
                      <w:szCs w:val="21"/>
                    </w:rPr>
                  </w:pPr>
                  <w:r>
                    <w:rPr>
                      <w:rFonts w:ascii="Times New Roman" w:hAnsi="Times New Roman"/>
                      <w:color w:val="000000"/>
                      <w:sz w:val="21"/>
                      <w:szCs w:val="21"/>
                    </w:rPr>
                    <w:t>环境中度敏感区</w:t>
                  </w:r>
                </w:p>
              </w:tc>
              <w:tc>
                <w:tcPr>
                  <w:tcW w:w="1240" w:type="dxa"/>
                  <w:tcBorders>
                    <w:top w:val="single" w:color="auto" w:sz="4" w:space="0"/>
                    <w:left w:val="single" w:color="auto" w:sz="4" w:space="0"/>
                    <w:bottom w:val="single" w:color="auto" w:sz="4" w:space="0"/>
                    <w:right w:val="single" w:color="auto" w:sz="4" w:space="0"/>
                  </w:tcBorders>
                  <w:vAlign w:val="center"/>
                </w:tcPr>
                <w:p>
                  <w:pPr>
                    <w:pStyle w:val="94"/>
                    <w:spacing w:before="0" w:line="340" w:lineRule="exact"/>
                    <w:ind w:firstLine="0"/>
                    <w:jc w:val="center"/>
                    <w:rPr>
                      <w:rFonts w:ascii="Times New Roman" w:hAnsi="Times New Roman"/>
                      <w:color w:val="000000"/>
                      <w:sz w:val="21"/>
                      <w:szCs w:val="21"/>
                    </w:rPr>
                  </w:pPr>
                  <w:r>
                    <w:rPr>
                      <w:rFonts w:ascii="Times New Roman" w:hAnsi="Times New Roman"/>
                      <w:color w:val="000000"/>
                      <w:sz w:val="21"/>
                      <w:szCs w:val="21"/>
                    </w:rPr>
                    <w:t>IV</w:t>
                  </w:r>
                </w:p>
              </w:tc>
              <w:tc>
                <w:tcPr>
                  <w:tcW w:w="1487" w:type="dxa"/>
                  <w:tcBorders>
                    <w:top w:val="single" w:color="auto" w:sz="4" w:space="0"/>
                    <w:left w:val="single" w:color="auto" w:sz="4" w:space="0"/>
                    <w:bottom w:val="single" w:color="auto" w:sz="4" w:space="0"/>
                    <w:right w:val="single" w:color="auto" w:sz="4" w:space="0"/>
                  </w:tcBorders>
                  <w:vAlign w:val="center"/>
                </w:tcPr>
                <w:p>
                  <w:pPr>
                    <w:pStyle w:val="94"/>
                    <w:spacing w:before="0" w:line="340" w:lineRule="exact"/>
                    <w:ind w:firstLine="0"/>
                    <w:jc w:val="center"/>
                    <w:rPr>
                      <w:rFonts w:ascii="Times New Roman" w:hAnsi="Times New Roman"/>
                      <w:color w:val="000000"/>
                      <w:sz w:val="21"/>
                      <w:szCs w:val="21"/>
                    </w:rPr>
                  </w:pPr>
                  <w:r>
                    <w:rPr>
                      <w:rFonts w:ascii="Times New Roman" w:hAnsi="Times New Roman"/>
                      <w:color w:val="000000"/>
                      <w:sz w:val="21"/>
                      <w:szCs w:val="21"/>
                    </w:rPr>
                    <w:t>Ⅲ</w:t>
                  </w:r>
                </w:p>
              </w:tc>
              <w:tc>
                <w:tcPr>
                  <w:tcW w:w="1749" w:type="dxa"/>
                  <w:tcBorders>
                    <w:top w:val="single" w:color="auto" w:sz="4" w:space="0"/>
                    <w:left w:val="single" w:color="auto" w:sz="4" w:space="0"/>
                    <w:bottom w:val="single" w:color="auto" w:sz="4" w:space="0"/>
                    <w:right w:val="single" w:color="auto" w:sz="4" w:space="0"/>
                  </w:tcBorders>
                  <w:vAlign w:val="center"/>
                </w:tcPr>
                <w:p>
                  <w:pPr>
                    <w:pStyle w:val="94"/>
                    <w:spacing w:before="0" w:line="340" w:lineRule="exact"/>
                    <w:ind w:firstLine="0"/>
                    <w:jc w:val="center"/>
                    <w:rPr>
                      <w:rFonts w:ascii="Times New Roman" w:hAnsi="Times New Roman"/>
                      <w:color w:val="000000"/>
                      <w:sz w:val="21"/>
                      <w:szCs w:val="21"/>
                    </w:rPr>
                  </w:pPr>
                  <w:r>
                    <w:rPr>
                      <w:rFonts w:ascii="Times New Roman" w:hAnsi="Times New Roman"/>
                      <w:color w:val="000000"/>
                      <w:sz w:val="21"/>
                      <w:szCs w:val="21"/>
                    </w:rPr>
                    <w:t>Ⅲ</w:t>
                  </w:r>
                </w:p>
              </w:tc>
              <w:tc>
                <w:tcPr>
                  <w:tcW w:w="1529" w:type="dxa"/>
                  <w:tcBorders>
                    <w:top w:val="single" w:color="auto" w:sz="4" w:space="0"/>
                    <w:left w:val="single" w:color="auto" w:sz="4" w:space="0"/>
                    <w:bottom w:val="single" w:color="auto" w:sz="4" w:space="0"/>
                    <w:right w:val="nil"/>
                  </w:tcBorders>
                  <w:vAlign w:val="center"/>
                </w:tcPr>
                <w:p>
                  <w:pPr>
                    <w:pStyle w:val="94"/>
                    <w:spacing w:before="0" w:line="340" w:lineRule="exact"/>
                    <w:ind w:firstLine="0"/>
                    <w:jc w:val="center"/>
                    <w:rPr>
                      <w:rFonts w:ascii="Times New Roman" w:hAnsi="Times New Roman"/>
                      <w:color w:val="000000"/>
                      <w:sz w:val="21"/>
                      <w:szCs w:val="21"/>
                    </w:rPr>
                  </w:pPr>
                  <w:r>
                    <w:rPr>
                      <w:rFonts w:ascii="Times New Roman" w:hAnsi="Times New Roman"/>
                      <w:color w:val="000000"/>
                      <w:sz w:val="21"/>
                      <w:szCs w:val="21"/>
                    </w:rPr>
                    <w:t>Ⅱ</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54" w:type="dxa"/>
                  <w:tcBorders>
                    <w:top w:val="single" w:color="auto" w:sz="4" w:space="0"/>
                    <w:left w:val="nil"/>
                    <w:bottom w:val="single" w:color="auto" w:sz="4" w:space="0"/>
                    <w:right w:val="single" w:color="auto" w:sz="4" w:space="0"/>
                  </w:tcBorders>
                  <w:vAlign w:val="center"/>
                </w:tcPr>
                <w:p>
                  <w:pPr>
                    <w:pStyle w:val="94"/>
                    <w:spacing w:before="0" w:line="340" w:lineRule="exact"/>
                    <w:ind w:firstLine="0"/>
                    <w:jc w:val="center"/>
                    <w:rPr>
                      <w:rFonts w:ascii="Times New Roman" w:hAnsi="Times New Roman"/>
                      <w:color w:val="000000"/>
                      <w:sz w:val="21"/>
                      <w:szCs w:val="21"/>
                    </w:rPr>
                  </w:pPr>
                  <w:r>
                    <w:rPr>
                      <w:rFonts w:ascii="Times New Roman" w:hAnsi="Times New Roman"/>
                      <w:color w:val="000000"/>
                      <w:sz w:val="21"/>
                      <w:szCs w:val="21"/>
                    </w:rPr>
                    <w:t>环境低度敏感区</w:t>
                  </w:r>
                </w:p>
              </w:tc>
              <w:tc>
                <w:tcPr>
                  <w:tcW w:w="1240" w:type="dxa"/>
                  <w:tcBorders>
                    <w:top w:val="single" w:color="auto" w:sz="4" w:space="0"/>
                    <w:left w:val="single" w:color="auto" w:sz="4" w:space="0"/>
                    <w:bottom w:val="single" w:color="auto" w:sz="4" w:space="0"/>
                    <w:right w:val="single" w:color="auto" w:sz="4" w:space="0"/>
                  </w:tcBorders>
                  <w:vAlign w:val="center"/>
                </w:tcPr>
                <w:p>
                  <w:pPr>
                    <w:pStyle w:val="94"/>
                    <w:spacing w:before="0" w:line="340" w:lineRule="exact"/>
                    <w:ind w:firstLine="0"/>
                    <w:jc w:val="center"/>
                    <w:rPr>
                      <w:rFonts w:ascii="Times New Roman" w:hAnsi="Times New Roman"/>
                      <w:color w:val="000000"/>
                      <w:sz w:val="21"/>
                      <w:szCs w:val="21"/>
                    </w:rPr>
                  </w:pPr>
                  <w:r>
                    <w:rPr>
                      <w:rFonts w:ascii="Times New Roman" w:hAnsi="Times New Roman"/>
                      <w:color w:val="000000"/>
                      <w:sz w:val="21"/>
                      <w:szCs w:val="21"/>
                    </w:rPr>
                    <w:t>Ⅲ</w:t>
                  </w:r>
                </w:p>
              </w:tc>
              <w:tc>
                <w:tcPr>
                  <w:tcW w:w="1487" w:type="dxa"/>
                  <w:tcBorders>
                    <w:top w:val="single" w:color="auto" w:sz="4" w:space="0"/>
                    <w:left w:val="single" w:color="auto" w:sz="4" w:space="0"/>
                    <w:bottom w:val="single" w:color="auto" w:sz="4" w:space="0"/>
                    <w:right w:val="single" w:color="auto" w:sz="4" w:space="0"/>
                  </w:tcBorders>
                  <w:vAlign w:val="center"/>
                </w:tcPr>
                <w:p>
                  <w:pPr>
                    <w:pStyle w:val="94"/>
                    <w:spacing w:before="0" w:line="340" w:lineRule="exact"/>
                    <w:ind w:firstLine="0"/>
                    <w:jc w:val="center"/>
                    <w:rPr>
                      <w:rFonts w:ascii="Times New Roman" w:hAnsi="Times New Roman"/>
                      <w:color w:val="000000"/>
                      <w:sz w:val="21"/>
                      <w:szCs w:val="21"/>
                    </w:rPr>
                  </w:pPr>
                  <w:r>
                    <w:rPr>
                      <w:rFonts w:ascii="Times New Roman" w:hAnsi="Times New Roman"/>
                      <w:color w:val="000000"/>
                      <w:sz w:val="21"/>
                      <w:szCs w:val="21"/>
                    </w:rPr>
                    <w:t>Ⅲ</w:t>
                  </w:r>
                </w:p>
              </w:tc>
              <w:tc>
                <w:tcPr>
                  <w:tcW w:w="1749" w:type="dxa"/>
                  <w:tcBorders>
                    <w:top w:val="single" w:color="auto" w:sz="4" w:space="0"/>
                    <w:left w:val="single" w:color="auto" w:sz="4" w:space="0"/>
                    <w:bottom w:val="single" w:color="auto" w:sz="4" w:space="0"/>
                    <w:right w:val="single" w:color="auto" w:sz="4" w:space="0"/>
                  </w:tcBorders>
                  <w:vAlign w:val="center"/>
                </w:tcPr>
                <w:p>
                  <w:pPr>
                    <w:pStyle w:val="94"/>
                    <w:spacing w:before="0" w:line="340" w:lineRule="exact"/>
                    <w:ind w:firstLine="0"/>
                    <w:jc w:val="center"/>
                    <w:rPr>
                      <w:rFonts w:ascii="Times New Roman" w:hAnsi="Times New Roman"/>
                      <w:color w:val="000000"/>
                      <w:sz w:val="21"/>
                      <w:szCs w:val="21"/>
                    </w:rPr>
                  </w:pPr>
                  <w:r>
                    <w:rPr>
                      <w:rFonts w:ascii="Times New Roman" w:hAnsi="Times New Roman"/>
                      <w:color w:val="000000"/>
                      <w:sz w:val="21"/>
                      <w:szCs w:val="21"/>
                    </w:rPr>
                    <w:t>Ⅱ</w:t>
                  </w:r>
                </w:p>
              </w:tc>
              <w:tc>
                <w:tcPr>
                  <w:tcW w:w="1529" w:type="dxa"/>
                  <w:tcBorders>
                    <w:top w:val="single" w:color="auto" w:sz="4" w:space="0"/>
                    <w:left w:val="single" w:color="auto" w:sz="4" w:space="0"/>
                    <w:bottom w:val="single" w:color="auto" w:sz="4" w:space="0"/>
                    <w:right w:val="nil"/>
                  </w:tcBorders>
                  <w:vAlign w:val="center"/>
                </w:tcPr>
                <w:p>
                  <w:pPr>
                    <w:pStyle w:val="94"/>
                    <w:spacing w:before="0" w:line="340" w:lineRule="exact"/>
                    <w:ind w:firstLine="0"/>
                    <w:jc w:val="center"/>
                    <w:rPr>
                      <w:rFonts w:ascii="Times New Roman" w:hAnsi="Times New Roman"/>
                      <w:color w:val="000000"/>
                      <w:sz w:val="21"/>
                      <w:szCs w:val="21"/>
                    </w:rPr>
                  </w:pPr>
                  <w:r>
                    <w:rPr>
                      <w:rFonts w:ascii="Times New Roman" w:hAnsi="Times New Roman"/>
                      <w:b/>
                      <w:bCs/>
                      <w:color w:val="000000"/>
                      <w:sz w:val="21"/>
                      <w:szCs w:val="21"/>
                    </w:rPr>
                    <w:t>Ⅰ</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659" w:type="dxa"/>
                  <w:gridSpan w:val="5"/>
                  <w:tcBorders>
                    <w:top w:val="single" w:color="auto" w:sz="4" w:space="0"/>
                    <w:left w:val="nil"/>
                    <w:bottom w:val="single" w:color="auto" w:sz="4" w:space="0"/>
                    <w:right w:val="nil"/>
                  </w:tcBorders>
                  <w:vAlign w:val="center"/>
                </w:tcPr>
                <w:p>
                  <w:pPr>
                    <w:pStyle w:val="94"/>
                    <w:spacing w:before="0" w:line="340" w:lineRule="exact"/>
                    <w:ind w:firstLine="0"/>
                    <w:rPr>
                      <w:rFonts w:ascii="Times New Roman" w:hAnsi="Times New Roman"/>
                      <w:color w:val="000000"/>
                      <w:sz w:val="21"/>
                      <w:szCs w:val="21"/>
                    </w:rPr>
                  </w:pPr>
                  <w:r>
                    <w:rPr>
                      <w:rFonts w:ascii="Times New Roman" w:hAnsi="Times New Roman"/>
                      <w:color w:val="000000"/>
                      <w:sz w:val="21"/>
                      <w:szCs w:val="21"/>
                    </w:rPr>
                    <w:t>注：IV</w:t>
                  </w:r>
                  <w:r>
                    <w:rPr>
                      <w:rFonts w:ascii="Times New Roman" w:hAnsi="Times New Roman"/>
                      <w:color w:val="000000"/>
                      <w:sz w:val="21"/>
                      <w:szCs w:val="21"/>
                      <w:vertAlign w:val="superscript"/>
                    </w:rPr>
                    <w:t>+</w:t>
                  </w:r>
                  <w:r>
                    <w:rPr>
                      <w:rFonts w:ascii="Times New Roman" w:hAnsi="Times New Roman"/>
                      <w:color w:val="000000"/>
                      <w:sz w:val="21"/>
                      <w:szCs w:val="21"/>
                    </w:rPr>
                    <w:t>为极高环境风险</w:t>
                  </w:r>
                </w:p>
              </w:tc>
            </w:tr>
          </w:tbl>
          <w:p>
            <w:pPr>
              <w:pStyle w:val="14"/>
              <w:spacing w:after="0" w:line="360" w:lineRule="auto"/>
              <w:ind w:left="0" w:leftChars="0" w:firstLine="480" w:firstLineChars="200"/>
              <w:rPr>
                <w:color w:val="000000"/>
                <w:sz w:val="24"/>
                <w:szCs w:val="24"/>
              </w:rPr>
            </w:pPr>
            <w:r>
              <w:rPr>
                <w:color w:val="000000"/>
                <w:sz w:val="24"/>
                <w:szCs w:val="24"/>
              </w:rPr>
              <w:t>经调查，本项目涉及</w:t>
            </w:r>
            <w:r>
              <w:rPr>
                <w:rFonts w:hint="eastAsia"/>
                <w:color w:val="000000"/>
                <w:sz w:val="24"/>
                <w:szCs w:val="24"/>
              </w:rPr>
              <w:t>的风险</w:t>
            </w:r>
            <w:r>
              <w:rPr>
                <w:color w:val="000000"/>
                <w:sz w:val="24"/>
                <w:szCs w:val="24"/>
              </w:rPr>
              <w:t>物质</w:t>
            </w:r>
            <w:r>
              <w:rPr>
                <w:rFonts w:hint="eastAsia"/>
                <w:color w:val="000000"/>
                <w:sz w:val="24"/>
                <w:szCs w:val="24"/>
              </w:rPr>
              <w:t>为润滑油</w:t>
            </w:r>
            <w:r>
              <w:rPr>
                <w:color w:val="000000"/>
                <w:sz w:val="24"/>
                <w:szCs w:val="24"/>
              </w:rPr>
              <w:t>。</w:t>
            </w:r>
          </w:p>
          <w:p>
            <w:pPr>
              <w:spacing w:line="360" w:lineRule="auto"/>
              <w:ind w:firstLine="480" w:firstLineChars="200"/>
              <w:rPr>
                <w:bCs/>
                <w:color w:val="000000"/>
                <w:sz w:val="24"/>
              </w:rPr>
            </w:pPr>
            <w:r>
              <w:rPr>
                <w:rFonts w:hint="eastAsia"/>
                <w:bCs/>
                <w:color w:val="000000"/>
                <w:sz w:val="24"/>
              </w:rPr>
              <w:t>通过查询《建设项目环境风险评价技术导则》（</w:t>
            </w:r>
            <w:r>
              <w:rPr>
                <w:bCs/>
                <w:color w:val="000000"/>
                <w:sz w:val="24"/>
              </w:rPr>
              <w:t>HJ/T169-2018</w:t>
            </w:r>
            <w:r>
              <w:rPr>
                <w:rFonts w:hint="eastAsia"/>
                <w:bCs/>
                <w:color w:val="000000"/>
                <w:sz w:val="24"/>
              </w:rPr>
              <w:t>）中附录</w:t>
            </w:r>
            <w:r>
              <w:rPr>
                <w:bCs/>
                <w:color w:val="000000"/>
                <w:sz w:val="24"/>
              </w:rPr>
              <w:t>B</w:t>
            </w:r>
            <w:r>
              <w:rPr>
                <w:rFonts w:hint="eastAsia"/>
                <w:bCs/>
                <w:color w:val="000000"/>
                <w:sz w:val="24"/>
              </w:rPr>
              <w:t>的表</w:t>
            </w:r>
            <w:r>
              <w:rPr>
                <w:bCs/>
                <w:color w:val="000000"/>
                <w:sz w:val="24"/>
              </w:rPr>
              <w:t>B1</w:t>
            </w:r>
            <w:r>
              <w:rPr>
                <w:rFonts w:hint="eastAsia"/>
                <w:bCs/>
                <w:color w:val="000000"/>
                <w:sz w:val="24"/>
              </w:rPr>
              <w:t>和表</w:t>
            </w:r>
            <w:r>
              <w:rPr>
                <w:bCs/>
                <w:color w:val="000000"/>
                <w:sz w:val="24"/>
              </w:rPr>
              <w:t>B2</w:t>
            </w:r>
            <w:r>
              <w:rPr>
                <w:rFonts w:hint="eastAsia"/>
                <w:bCs/>
                <w:color w:val="000000"/>
                <w:sz w:val="24"/>
              </w:rPr>
              <w:t>计算风险物质的</w:t>
            </w:r>
            <w:r>
              <w:rPr>
                <w:bCs/>
                <w:color w:val="000000"/>
                <w:sz w:val="24"/>
              </w:rPr>
              <w:t>Q</w:t>
            </w:r>
            <w:r>
              <w:rPr>
                <w:rFonts w:hint="eastAsia"/>
                <w:bCs/>
                <w:color w:val="000000"/>
                <w:sz w:val="24"/>
              </w:rPr>
              <w:t>值。</w:t>
            </w:r>
            <w:r>
              <w:rPr>
                <w:bCs/>
                <w:color w:val="000000"/>
                <w:sz w:val="24"/>
              </w:rPr>
              <w:t xml:space="preserve"> </w:t>
            </w:r>
          </w:p>
          <w:p>
            <w:pPr>
              <w:spacing w:line="360" w:lineRule="auto"/>
              <w:ind w:firstLine="480" w:firstLineChars="200"/>
              <w:rPr>
                <w:bCs/>
                <w:color w:val="000000"/>
                <w:sz w:val="24"/>
              </w:rPr>
            </w:pPr>
            <w:r>
              <w:rPr>
                <w:rFonts w:hint="eastAsia"/>
                <w:bCs/>
                <w:color w:val="000000"/>
                <w:sz w:val="24"/>
              </w:rPr>
              <w:t>计算结果如下表所示：</w:t>
            </w:r>
          </w:p>
          <w:p>
            <w:pPr>
              <w:jc w:val="center"/>
              <w:rPr>
                <w:b/>
                <w:bCs/>
                <w:color w:val="000000"/>
                <w:sz w:val="24"/>
              </w:rPr>
            </w:pPr>
            <w:r>
              <w:rPr>
                <w:rFonts w:hint="eastAsia"/>
                <w:b/>
                <w:bCs/>
                <w:color w:val="000000"/>
                <w:sz w:val="24"/>
              </w:rPr>
              <w:t>表</w:t>
            </w:r>
            <w:r>
              <w:rPr>
                <w:b/>
                <w:bCs/>
                <w:color w:val="000000"/>
                <w:sz w:val="24"/>
              </w:rPr>
              <w:t>4-</w:t>
            </w:r>
            <w:r>
              <w:rPr>
                <w:rFonts w:hint="eastAsia"/>
                <w:b/>
                <w:bCs/>
                <w:color w:val="000000"/>
                <w:sz w:val="24"/>
                <w:lang w:val="en-US" w:eastAsia="zh-CN"/>
              </w:rPr>
              <w:t>10</w:t>
            </w:r>
            <w:r>
              <w:rPr>
                <w:b/>
                <w:bCs/>
                <w:color w:val="000000"/>
                <w:sz w:val="24"/>
              </w:rPr>
              <w:t xml:space="preserve"> </w:t>
            </w:r>
            <w:r>
              <w:rPr>
                <w:rFonts w:hint="eastAsia"/>
                <w:b/>
                <w:bCs/>
                <w:color w:val="000000"/>
                <w:sz w:val="24"/>
              </w:rPr>
              <w:t>建设项目</w:t>
            </w:r>
            <w:r>
              <w:rPr>
                <w:b/>
                <w:bCs/>
                <w:color w:val="000000"/>
                <w:sz w:val="24"/>
              </w:rPr>
              <w:t>Q</w:t>
            </w:r>
            <w:r>
              <w:rPr>
                <w:rFonts w:hint="eastAsia"/>
                <w:b/>
                <w:bCs/>
                <w:color w:val="000000"/>
                <w:sz w:val="24"/>
              </w:rPr>
              <w:t>值确定表</w:t>
            </w:r>
          </w:p>
          <w:tbl>
            <w:tblPr>
              <w:tblStyle w:val="26"/>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76"/>
              <w:gridCol w:w="1004"/>
              <w:gridCol w:w="1305"/>
              <w:gridCol w:w="1294"/>
              <w:gridCol w:w="1122"/>
              <w:gridCol w:w="1133"/>
              <w:gridCol w:w="1123"/>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57" w:type="pct"/>
                  <w:tcBorders>
                    <w:top w:val="single" w:color="auto" w:sz="4" w:space="0"/>
                    <w:bottom w:val="single" w:color="auto" w:sz="4" w:space="0"/>
                    <w:right w:val="single" w:color="auto" w:sz="4" w:space="0"/>
                  </w:tcBorders>
                  <w:vAlign w:val="center"/>
                </w:tcPr>
                <w:p>
                  <w:pPr>
                    <w:jc w:val="center"/>
                    <w:rPr>
                      <w:rFonts w:hint="eastAsia" w:ascii="宋体" w:hAnsi="宋体" w:eastAsia="宋体" w:cs="宋体"/>
                      <w:b/>
                      <w:bCs w:val="0"/>
                      <w:color w:val="000000"/>
                      <w:szCs w:val="21"/>
                    </w:rPr>
                  </w:pPr>
                  <w:r>
                    <w:rPr>
                      <w:rFonts w:hint="eastAsia" w:ascii="宋体" w:hAnsi="宋体" w:eastAsia="宋体" w:cs="宋体"/>
                      <w:b/>
                      <w:bCs w:val="0"/>
                      <w:color w:val="000000"/>
                      <w:szCs w:val="21"/>
                    </w:rPr>
                    <w:t>序号</w:t>
                  </w:r>
                </w:p>
              </w:tc>
              <w:tc>
                <w:tcPr>
                  <w:tcW w:w="639" w:type="pct"/>
                  <w:tcBorders>
                    <w:top w:val="single" w:color="auto" w:sz="4" w:space="0"/>
                    <w:left w:val="nil"/>
                    <w:bottom w:val="single" w:color="auto" w:sz="4" w:space="0"/>
                    <w:right w:val="single" w:color="auto" w:sz="4" w:space="0"/>
                  </w:tcBorders>
                  <w:vAlign w:val="center"/>
                </w:tcPr>
                <w:p>
                  <w:pPr>
                    <w:jc w:val="center"/>
                    <w:rPr>
                      <w:rFonts w:hint="eastAsia" w:ascii="宋体" w:hAnsi="宋体" w:eastAsia="宋体" w:cs="宋体"/>
                      <w:b/>
                      <w:bCs w:val="0"/>
                      <w:color w:val="000000"/>
                      <w:szCs w:val="21"/>
                    </w:rPr>
                  </w:pPr>
                  <w:r>
                    <w:rPr>
                      <w:rFonts w:hint="eastAsia" w:ascii="宋体" w:hAnsi="宋体" w:eastAsia="宋体" w:cs="宋体"/>
                      <w:b/>
                      <w:bCs w:val="0"/>
                      <w:color w:val="000000"/>
                      <w:szCs w:val="21"/>
                    </w:rPr>
                    <w:t>物质名称</w:t>
                  </w:r>
                </w:p>
              </w:tc>
              <w:tc>
                <w:tcPr>
                  <w:tcW w:w="830" w:type="pct"/>
                  <w:tcBorders>
                    <w:top w:val="single" w:color="auto" w:sz="4" w:space="0"/>
                    <w:left w:val="nil"/>
                    <w:bottom w:val="single" w:color="auto" w:sz="4" w:space="0"/>
                    <w:right w:val="single" w:color="auto" w:sz="4" w:space="0"/>
                  </w:tcBorders>
                  <w:vAlign w:val="center"/>
                </w:tcPr>
                <w:p>
                  <w:pPr>
                    <w:jc w:val="center"/>
                    <w:rPr>
                      <w:rFonts w:hint="eastAsia" w:ascii="宋体" w:hAnsi="宋体" w:eastAsia="宋体" w:cs="宋体"/>
                      <w:b/>
                      <w:bCs w:val="0"/>
                      <w:color w:val="000000"/>
                      <w:szCs w:val="21"/>
                    </w:rPr>
                  </w:pPr>
                  <w:r>
                    <w:rPr>
                      <w:rFonts w:hint="eastAsia" w:ascii="宋体" w:hAnsi="宋体" w:eastAsia="宋体" w:cs="宋体"/>
                      <w:b/>
                      <w:bCs w:val="0"/>
                      <w:color w:val="000000"/>
                      <w:szCs w:val="21"/>
                    </w:rPr>
                    <w:t>存储位置</w:t>
                  </w:r>
                </w:p>
              </w:tc>
              <w:tc>
                <w:tcPr>
                  <w:tcW w:w="823" w:type="pct"/>
                  <w:tcBorders>
                    <w:top w:val="single" w:color="auto" w:sz="4" w:space="0"/>
                    <w:left w:val="nil"/>
                    <w:bottom w:val="single" w:color="auto" w:sz="4" w:space="0"/>
                    <w:right w:val="single" w:color="auto" w:sz="4" w:space="0"/>
                  </w:tcBorders>
                  <w:vAlign w:val="center"/>
                </w:tcPr>
                <w:p>
                  <w:pPr>
                    <w:jc w:val="center"/>
                    <w:rPr>
                      <w:rFonts w:hint="eastAsia" w:ascii="宋体" w:hAnsi="宋体" w:eastAsia="宋体" w:cs="宋体"/>
                      <w:b/>
                      <w:bCs w:val="0"/>
                      <w:color w:val="000000"/>
                      <w:szCs w:val="21"/>
                    </w:rPr>
                  </w:pPr>
                  <w:r>
                    <w:rPr>
                      <w:rFonts w:hint="eastAsia" w:ascii="宋体" w:hAnsi="宋体" w:eastAsia="宋体" w:cs="宋体"/>
                      <w:b/>
                      <w:bCs w:val="0"/>
                      <w:color w:val="000000"/>
                      <w:szCs w:val="21"/>
                    </w:rPr>
                    <w:t>最大储存量t</w:t>
                  </w:r>
                </w:p>
              </w:tc>
              <w:tc>
                <w:tcPr>
                  <w:tcW w:w="714" w:type="pct"/>
                  <w:tcBorders>
                    <w:top w:val="single" w:color="auto" w:sz="4" w:space="0"/>
                    <w:left w:val="nil"/>
                    <w:bottom w:val="single" w:color="auto" w:sz="4" w:space="0"/>
                    <w:right w:val="single" w:color="auto" w:sz="4" w:space="0"/>
                  </w:tcBorders>
                  <w:vAlign w:val="center"/>
                </w:tcPr>
                <w:p>
                  <w:pPr>
                    <w:jc w:val="center"/>
                    <w:rPr>
                      <w:rFonts w:hint="eastAsia" w:ascii="宋体" w:hAnsi="宋体" w:eastAsia="宋体" w:cs="宋体"/>
                      <w:b/>
                      <w:bCs w:val="0"/>
                      <w:color w:val="000000"/>
                      <w:szCs w:val="21"/>
                    </w:rPr>
                  </w:pPr>
                  <w:r>
                    <w:rPr>
                      <w:rFonts w:hint="eastAsia" w:ascii="宋体" w:hAnsi="宋体" w:eastAsia="宋体" w:cs="宋体"/>
                      <w:b/>
                      <w:bCs w:val="0"/>
                      <w:color w:val="000000"/>
                      <w:szCs w:val="21"/>
                    </w:rPr>
                    <w:t>临界量t</w:t>
                  </w:r>
                </w:p>
              </w:tc>
              <w:tc>
                <w:tcPr>
                  <w:tcW w:w="720" w:type="pct"/>
                  <w:tcBorders>
                    <w:top w:val="single" w:color="auto" w:sz="4" w:space="0"/>
                    <w:left w:val="nil"/>
                    <w:bottom w:val="single" w:color="auto" w:sz="4" w:space="0"/>
                    <w:right w:val="single" w:color="auto" w:sz="4" w:space="0"/>
                  </w:tcBorders>
                  <w:vAlign w:val="center"/>
                </w:tcPr>
                <w:p>
                  <w:pPr>
                    <w:jc w:val="center"/>
                    <w:rPr>
                      <w:rFonts w:hint="eastAsia" w:ascii="宋体" w:hAnsi="宋体" w:eastAsia="宋体" w:cs="宋体"/>
                      <w:b/>
                      <w:bCs w:val="0"/>
                      <w:color w:val="000000"/>
                      <w:szCs w:val="21"/>
                    </w:rPr>
                  </w:pPr>
                  <w:r>
                    <w:rPr>
                      <w:rFonts w:hint="eastAsia" w:ascii="宋体" w:hAnsi="宋体" w:eastAsia="宋体" w:cs="宋体"/>
                      <w:b/>
                      <w:bCs w:val="0"/>
                      <w:color w:val="000000"/>
                      <w:szCs w:val="21"/>
                    </w:rPr>
                    <w:t>存储方式</w:t>
                  </w:r>
                </w:p>
              </w:tc>
              <w:tc>
                <w:tcPr>
                  <w:tcW w:w="714" w:type="pct"/>
                  <w:tcBorders>
                    <w:top w:val="single" w:color="auto" w:sz="4" w:space="0"/>
                    <w:left w:val="nil"/>
                    <w:bottom w:val="single" w:color="auto" w:sz="4" w:space="0"/>
                  </w:tcBorders>
                  <w:vAlign w:val="center"/>
                </w:tcPr>
                <w:p>
                  <w:pPr>
                    <w:jc w:val="center"/>
                    <w:rPr>
                      <w:rFonts w:hint="eastAsia" w:ascii="宋体" w:hAnsi="宋体" w:eastAsia="宋体" w:cs="宋体"/>
                      <w:b/>
                      <w:bCs w:val="0"/>
                      <w:color w:val="000000"/>
                      <w:szCs w:val="21"/>
                    </w:rPr>
                  </w:pPr>
                  <w:r>
                    <w:rPr>
                      <w:rFonts w:hint="eastAsia" w:ascii="宋体" w:hAnsi="宋体" w:eastAsia="宋体" w:cs="宋体"/>
                      <w:b/>
                      <w:bCs w:val="0"/>
                      <w:color w:val="000000"/>
                      <w:szCs w:val="21"/>
                    </w:rPr>
                    <w:t>该种危险</w:t>
                  </w:r>
                </w:p>
                <w:p>
                  <w:pPr>
                    <w:jc w:val="center"/>
                    <w:rPr>
                      <w:rFonts w:hint="eastAsia" w:ascii="宋体" w:hAnsi="宋体" w:eastAsia="宋体" w:cs="宋体"/>
                      <w:b/>
                      <w:bCs w:val="0"/>
                      <w:color w:val="000000"/>
                      <w:szCs w:val="21"/>
                    </w:rPr>
                  </w:pPr>
                  <w:r>
                    <w:rPr>
                      <w:rFonts w:hint="eastAsia" w:ascii="宋体" w:hAnsi="宋体" w:eastAsia="宋体" w:cs="宋体"/>
                      <w:b/>
                      <w:bCs w:val="0"/>
                      <w:color w:val="000000"/>
                      <w:szCs w:val="21"/>
                    </w:rPr>
                    <w:t>物质Q值</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57" w:type="pct"/>
                  <w:tcBorders>
                    <w:top w:val="single" w:color="auto" w:sz="4" w:space="0"/>
                    <w:bottom w:val="single" w:color="auto" w:sz="4" w:space="0"/>
                    <w:right w:val="single" w:color="auto" w:sz="4" w:space="0"/>
                  </w:tcBorders>
                  <w:vAlign w:val="center"/>
                </w:tcPr>
                <w:p>
                  <w:pPr>
                    <w:jc w:val="center"/>
                    <w:rPr>
                      <w:bCs/>
                      <w:color w:val="000000"/>
                      <w:szCs w:val="21"/>
                    </w:rPr>
                  </w:pPr>
                  <w:r>
                    <w:rPr>
                      <w:bCs/>
                      <w:color w:val="000000"/>
                      <w:szCs w:val="21"/>
                    </w:rPr>
                    <w:t>1</w:t>
                  </w:r>
                </w:p>
              </w:tc>
              <w:tc>
                <w:tcPr>
                  <w:tcW w:w="639" w:type="pct"/>
                  <w:tcBorders>
                    <w:top w:val="single" w:color="auto" w:sz="4" w:space="0"/>
                    <w:left w:val="nil"/>
                    <w:bottom w:val="single" w:color="auto" w:sz="4" w:space="0"/>
                    <w:right w:val="single" w:color="auto" w:sz="4" w:space="0"/>
                  </w:tcBorders>
                  <w:vAlign w:val="center"/>
                </w:tcPr>
                <w:p>
                  <w:pPr>
                    <w:spacing w:line="320" w:lineRule="exact"/>
                    <w:jc w:val="center"/>
                    <w:rPr>
                      <w:rFonts w:hint="default" w:eastAsia="宋体"/>
                      <w:bCs/>
                      <w:color w:val="000000"/>
                      <w:szCs w:val="21"/>
                      <w:lang w:val="en-US" w:eastAsia="zh-CN"/>
                    </w:rPr>
                  </w:pPr>
                  <w:r>
                    <w:rPr>
                      <w:rFonts w:hint="eastAsia"/>
                      <w:bCs/>
                      <w:color w:val="000000"/>
                      <w:szCs w:val="21"/>
                      <w:lang w:val="en-US" w:eastAsia="zh-CN"/>
                    </w:rPr>
                    <w:t>润滑油</w:t>
                  </w:r>
                </w:p>
              </w:tc>
              <w:tc>
                <w:tcPr>
                  <w:tcW w:w="830" w:type="pct"/>
                  <w:tcBorders>
                    <w:top w:val="nil"/>
                    <w:left w:val="nil"/>
                    <w:right w:val="single" w:color="auto" w:sz="4" w:space="0"/>
                  </w:tcBorders>
                  <w:vAlign w:val="center"/>
                </w:tcPr>
                <w:p>
                  <w:pPr>
                    <w:spacing w:line="320" w:lineRule="exact"/>
                    <w:jc w:val="center"/>
                    <w:rPr>
                      <w:bCs/>
                      <w:color w:val="000000"/>
                      <w:szCs w:val="21"/>
                    </w:rPr>
                  </w:pPr>
                  <w:r>
                    <w:rPr>
                      <w:rFonts w:hint="eastAsia"/>
                      <w:bCs/>
                      <w:color w:val="000000"/>
                      <w:szCs w:val="21"/>
                    </w:rPr>
                    <w:t>原料区</w:t>
                  </w:r>
                </w:p>
              </w:tc>
              <w:tc>
                <w:tcPr>
                  <w:tcW w:w="823" w:type="pct"/>
                  <w:tcBorders>
                    <w:top w:val="single" w:color="auto" w:sz="4" w:space="0"/>
                    <w:left w:val="nil"/>
                    <w:bottom w:val="single" w:color="auto" w:sz="4" w:space="0"/>
                    <w:right w:val="single" w:color="auto" w:sz="4" w:space="0"/>
                  </w:tcBorders>
                  <w:vAlign w:val="center"/>
                </w:tcPr>
                <w:p>
                  <w:pPr>
                    <w:spacing w:line="320" w:lineRule="exact"/>
                    <w:jc w:val="center"/>
                    <w:rPr>
                      <w:rFonts w:hint="default" w:eastAsia="宋体"/>
                      <w:bCs/>
                      <w:color w:val="000000"/>
                      <w:szCs w:val="21"/>
                      <w:lang w:val="en-US" w:eastAsia="zh-CN"/>
                    </w:rPr>
                  </w:pPr>
                  <w:r>
                    <w:rPr>
                      <w:rFonts w:hint="eastAsia"/>
                      <w:bCs/>
                      <w:color w:val="000000"/>
                      <w:szCs w:val="21"/>
                    </w:rPr>
                    <w:t>0.</w:t>
                  </w:r>
                  <w:r>
                    <w:rPr>
                      <w:rFonts w:hint="eastAsia"/>
                      <w:bCs/>
                      <w:color w:val="000000"/>
                      <w:szCs w:val="21"/>
                      <w:lang w:val="en-US" w:eastAsia="zh-CN"/>
                    </w:rPr>
                    <w:t>25</w:t>
                  </w:r>
                </w:p>
              </w:tc>
              <w:tc>
                <w:tcPr>
                  <w:tcW w:w="714" w:type="pct"/>
                  <w:tcBorders>
                    <w:top w:val="single" w:color="auto" w:sz="4" w:space="0"/>
                    <w:left w:val="nil"/>
                    <w:bottom w:val="single" w:color="auto" w:sz="4" w:space="0"/>
                    <w:right w:val="single" w:color="auto" w:sz="4" w:space="0"/>
                  </w:tcBorders>
                  <w:vAlign w:val="center"/>
                </w:tcPr>
                <w:p>
                  <w:pPr>
                    <w:spacing w:line="320" w:lineRule="exact"/>
                    <w:jc w:val="center"/>
                    <w:rPr>
                      <w:bCs/>
                      <w:color w:val="000000"/>
                      <w:szCs w:val="21"/>
                    </w:rPr>
                  </w:pPr>
                  <w:r>
                    <w:rPr>
                      <w:rFonts w:hint="eastAsia"/>
                      <w:bCs/>
                      <w:color w:val="000000"/>
                      <w:szCs w:val="21"/>
                    </w:rPr>
                    <w:t>2</w:t>
                  </w:r>
                  <w:r>
                    <w:rPr>
                      <w:bCs/>
                      <w:color w:val="000000"/>
                      <w:szCs w:val="21"/>
                    </w:rPr>
                    <w:t>500</w:t>
                  </w:r>
                </w:p>
              </w:tc>
              <w:tc>
                <w:tcPr>
                  <w:tcW w:w="720" w:type="pct"/>
                  <w:tcBorders>
                    <w:top w:val="single" w:color="auto" w:sz="4" w:space="0"/>
                    <w:left w:val="nil"/>
                    <w:bottom w:val="single" w:color="auto" w:sz="4" w:space="0"/>
                    <w:right w:val="single" w:color="auto" w:sz="4" w:space="0"/>
                  </w:tcBorders>
                  <w:vAlign w:val="center"/>
                </w:tcPr>
                <w:p>
                  <w:pPr>
                    <w:spacing w:line="320" w:lineRule="exact"/>
                    <w:jc w:val="center"/>
                    <w:rPr>
                      <w:bCs/>
                      <w:color w:val="000000"/>
                      <w:szCs w:val="21"/>
                    </w:rPr>
                  </w:pPr>
                  <w:r>
                    <w:rPr>
                      <w:rFonts w:hint="eastAsia"/>
                      <w:bCs/>
                      <w:color w:val="000000"/>
                      <w:szCs w:val="21"/>
                    </w:rPr>
                    <w:t>桶装</w:t>
                  </w:r>
                </w:p>
              </w:tc>
              <w:tc>
                <w:tcPr>
                  <w:tcW w:w="714" w:type="pct"/>
                  <w:tcBorders>
                    <w:top w:val="single" w:color="auto" w:sz="4" w:space="0"/>
                    <w:left w:val="nil"/>
                    <w:bottom w:val="single" w:color="auto" w:sz="4" w:space="0"/>
                  </w:tcBorders>
                  <w:vAlign w:val="center"/>
                </w:tcPr>
                <w:p>
                  <w:pPr>
                    <w:spacing w:line="320" w:lineRule="exact"/>
                    <w:jc w:val="center"/>
                    <w:rPr>
                      <w:rFonts w:hint="eastAsia" w:eastAsia="宋体"/>
                      <w:bCs/>
                      <w:color w:val="auto"/>
                      <w:szCs w:val="21"/>
                      <w:lang w:eastAsia="zh-CN"/>
                    </w:rPr>
                  </w:pPr>
                  <w:r>
                    <w:rPr>
                      <w:rFonts w:hint="eastAsia"/>
                      <w:bCs/>
                      <w:color w:val="auto"/>
                      <w:szCs w:val="21"/>
                    </w:rPr>
                    <w:t>0</w:t>
                  </w:r>
                  <w:r>
                    <w:rPr>
                      <w:bCs/>
                      <w:color w:val="auto"/>
                      <w:szCs w:val="21"/>
                    </w:rPr>
                    <w:t>.00</w:t>
                  </w:r>
                  <w:r>
                    <w:rPr>
                      <w:rFonts w:hint="eastAsia"/>
                      <w:bCs/>
                      <w:color w:val="auto"/>
                      <w:szCs w:val="21"/>
                    </w:rPr>
                    <w:t>0</w:t>
                  </w:r>
                  <w:r>
                    <w:rPr>
                      <w:rFonts w:hint="eastAsia"/>
                      <w:bCs/>
                      <w:color w:val="auto"/>
                      <w:szCs w:val="21"/>
                      <w:lang w:val="en-US" w:eastAsia="zh-CN"/>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57" w:type="pct"/>
                  <w:tcBorders>
                    <w:top w:val="single" w:color="auto" w:sz="4" w:space="0"/>
                    <w:bottom w:val="single" w:color="auto" w:sz="4" w:space="0"/>
                    <w:right w:val="single" w:color="auto" w:sz="4" w:space="0"/>
                  </w:tcBorders>
                  <w:vAlign w:val="center"/>
                </w:tcPr>
                <w:p>
                  <w:pPr>
                    <w:spacing w:line="320" w:lineRule="exact"/>
                    <w:jc w:val="center"/>
                    <w:rPr>
                      <w:bCs/>
                      <w:color w:val="000000"/>
                      <w:szCs w:val="21"/>
                    </w:rPr>
                  </w:pPr>
                  <w:r>
                    <w:rPr>
                      <w:bCs/>
                      <w:color w:val="000000"/>
                      <w:szCs w:val="21"/>
                    </w:rPr>
                    <w:t>2</w:t>
                  </w:r>
                </w:p>
              </w:tc>
              <w:tc>
                <w:tcPr>
                  <w:tcW w:w="639" w:type="pct"/>
                  <w:tcBorders>
                    <w:top w:val="single" w:color="auto" w:sz="4" w:space="0"/>
                    <w:left w:val="nil"/>
                    <w:bottom w:val="single" w:color="auto" w:sz="4" w:space="0"/>
                    <w:right w:val="single" w:color="auto" w:sz="4" w:space="0"/>
                  </w:tcBorders>
                  <w:vAlign w:val="center"/>
                </w:tcPr>
                <w:p>
                  <w:pPr>
                    <w:spacing w:line="320" w:lineRule="exact"/>
                    <w:jc w:val="center"/>
                    <w:rPr>
                      <w:bCs/>
                      <w:color w:val="000000"/>
                      <w:szCs w:val="21"/>
                    </w:rPr>
                  </w:pPr>
                  <w:r>
                    <w:rPr>
                      <w:rFonts w:hint="eastAsia"/>
                      <w:color w:val="000000"/>
                      <w:kern w:val="0"/>
                      <w:szCs w:val="21"/>
                      <w:lang w:val="en-US" w:eastAsia="zh-CN"/>
                    </w:rPr>
                    <w:t>废</w:t>
                  </w:r>
                  <w:r>
                    <w:rPr>
                      <w:rFonts w:hint="eastAsia"/>
                      <w:color w:val="000000"/>
                      <w:kern w:val="0"/>
                      <w:szCs w:val="21"/>
                    </w:rPr>
                    <w:t>油</w:t>
                  </w:r>
                </w:p>
              </w:tc>
              <w:tc>
                <w:tcPr>
                  <w:tcW w:w="830" w:type="pct"/>
                  <w:tcBorders>
                    <w:left w:val="nil"/>
                    <w:right w:val="single" w:color="auto" w:sz="4" w:space="0"/>
                  </w:tcBorders>
                  <w:vAlign w:val="center"/>
                </w:tcPr>
                <w:p>
                  <w:pPr>
                    <w:widowControl/>
                    <w:jc w:val="left"/>
                    <w:rPr>
                      <w:rFonts w:hint="default" w:eastAsia="宋体"/>
                      <w:bCs/>
                      <w:color w:val="000000"/>
                      <w:szCs w:val="21"/>
                      <w:lang w:val="en-US" w:eastAsia="zh-CN"/>
                    </w:rPr>
                  </w:pPr>
                  <w:r>
                    <w:rPr>
                      <w:rFonts w:hint="eastAsia"/>
                      <w:bCs/>
                      <w:color w:val="000000"/>
                      <w:szCs w:val="21"/>
                      <w:lang w:val="en-US" w:eastAsia="zh-CN"/>
                    </w:rPr>
                    <w:t>危废暂存间</w:t>
                  </w:r>
                </w:p>
              </w:tc>
              <w:tc>
                <w:tcPr>
                  <w:tcW w:w="823" w:type="pct"/>
                  <w:tcBorders>
                    <w:top w:val="single" w:color="auto" w:sz="4" w:space="0"/>
                    <w:left w:val="nil"/>
                    <w:bottom w:val="single" w:color="auto" w:sz="4" w:space="0"/>
                    <w:right w:val="single" w:color="auto" w:sz="4" w:space="0"/>
                  </w:tcBorders>
                  <w:vAlign w:val="center"/>
                </w:tcPr>
                <w:p>
                  <w:pPr>
                    <w:spacing w:line="320" w:lineRule="exact"/>
                    <w:jc w:val="center"/>
                    <w:rPr>
                      <w:rFonts w:hint="default" w:eastAsia="宋体"/>
                      <w:bCs/>
                      <w:color w:val="000000"/>
                      <w:szCs w:val="21"/>
                      <w:lang w:val="en-US" w:eastAsia="zh-CN"/>
                    </w:rPr>
                  </w:pPr>
                  <w:r>
                    <w:rPr>
                      <w:rFonts w:hint="eastAsia"/>
                      <w:bCs/>
                      <w:color w:val="auto"/>
                      <w:szCs w:val="21"/>
                    </w:rPr>
                    <w:t>0.</w:t>
                  </w:r>
                  <w:r>
                    <w:rPr>
                      <w:rFonts w:hint="eastAsia"/>
                      <w:bCs/>
                      <w:color w:val="auto"/>
                      <w:szCs w:val="21"/>
                      <w:lang w:val="en-US" w:eastAsia="zh-CN"/>
                    </w:rPr>
                    <w:t>15</w:t>
                  </w:r>
                </w:p>
              </w:tc>
              <w:tc>
                <w:tcPr>
                  <w:tcW w:w="714" w:type="pct"/>
                  <w:tcBorders>
                    <w:top w:val="single" w:color="auto" w:sz="4" w:space="0"/>
                    <w:left w:val="nil"/>
                    <w:bottom w:val="single" w:color="auto" w:sz="4" w:space="0"/>
                    <w:right w:val="single" w:color="auto" w:sz="4" w:space="0"/>
                  </w:tcBorders>
                  <w:vAlign w:val="center"/>
                </w:tcPr>
                <w:p>
                  <w:pPr>
                    <w:spacing w:line="320" w:lineRule="exact"/>
                    <w:jc w:val="center"/>
                    <w:rPr>
                      <w:bCs/>
                      <w:color w:val="000000"/>
                      <w:szCs w:val="21"/>
                    </w:rPr>
                  </w:pPr>
                  <w:r>
                    <w:rPr>
                      <w:rFonts w:hint="eastAsia"/>
                      <w:bCs/>
                      <w:color w:val="000000"/>
                      <w:szCs w:val="21"/>
                    </w:rPr>
                    <w:t>2</w:t>
                  </w:r>
                  <w:r>
                    <w:rPr>
                      <w:bCs/>
                      <w:color w:val="000000"/>
                      <w:szCs w:val="21"/>
                    </w:rPr>
                    <w:t>500</w:t>
                  </w:r>
                </w:p>
              </w:tc>
              <w:tc>
                <w:tcPr>
                  <w:tcW w:w="720" w:type="pct"/>
                  <w:tcBorders>
                    <w:top w:val="single" w:color="auto" w:sz="4" w:space="0"/>
                    <w:left w:val="nil"/>
                    <w:bottom w:val="single" w:color="auto" w:sz="4" w:space="0"/>
                    <w:right w:val="single" w:color="auto" w:sz="4" w:space="0"/>
                  </w:tcBorders>
                  <w:vAlign w:val="center"/>
                </w:tcPr>
                <w:p>
                  <w:pPr>
                    <w:spacing w:line="320" w:lineRule="exact"/>
                    <w:jc w:val="center"/>
                    <w:rPr>
                      <w:bCs/>
                      <w:color w:val="000000"/>
                      <w:szCs w:val="21"/>
                    </w:rPr>
                  </w:pPr>
                  <w:r>
                    <w:rPr>
                      <w:bCs/>
                      <w:color w:val="000000"/>
                      <w:szCs w:val="21"/>
                    </w:rPr>
                    <w:t>桶装</w:t>
                  </w:r>
                </w:p>
              </w:tc>
              <w:tc>
                <w:tcPr>
                  <w:tcW w:w="714" w:type="pct"/>
                  <w:tcBorders>
                    <w:top w:val="single" w:color="auto" w:sz="4" w:space="0"/>
                    <w:left w:val="nil"/>
                    <w:bottom w:val="single" w:color="auto" w:sz="4" w:space="0"/>
                  </w:tcBorders>
                  <w:vAlign w:val="center"/>
                </w:tcPr>
                <w:p>
                  <w:pPr>
                    <w:spacing w:line="320" w:lineRule="exact"/>
                    <w:jc w:val="center"/>
                    <w:rPr>
                      <w:rFonts w:hint="default"/>
                      <w:bCs/>
                      <w:color w:val="auto"/>
                      <w:szCs w:val="21"/>
                      <w:lang w:val="en-US"/>
                    </w:rPr>
                  </w:pPr>
                  <w:r>
                    <w:rPr>
                      <w:rFonts w:hint="eastAsia"/>
                      <w:bCs/>
                      <w:color w:val="auto"/>
                      <w:szCs w:val="21"/>
                    </w:rPr>
                    <w:t>0</w:t>
                  </w:r>
                  <w:r>
                    <w:rPr>
                      <w:bCs/>
                      <w:color w:val="auto"/>
                      <w:szCs w:val="21"/>
                    </w:rPr>
                    <w:t>.000</w:t>
                  </w:r>
                  <w:r>
                    <w:rPr>
                      <w:rFonts w:hint="eastAsia"/>
                      <w:bCs/>
                      <w:color w:val="auto"/>
                      <w:szCs w:val="21"/>
                      <w:lang w:val="en-US" w:eastAsia="zh-CN"/>
                    </w:rPr>
                    <w:t>06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57" w:type="pct"/>
                  <w:tcBorders>
                    <w:top w:val="single" w:color="auto" w:sz="4" w:space="0"/>
                    <w:bottom w:val="single" w:color="auto" w:sz="4" w:space="0"/>
                    <w:right w:val="single" w:color="auto" w:sz="4" w:space="0"/>
                  </w:tcBorders>
                  <w:vAlign w:val="center"/>
                </w:tcPr>
                <w:p>
                  <w:pPr>
                    <w:spacing w:line="320" w:lineRule="exact"/>
                    <w:jc w:val="center"/>
                    <w:rPr>
                      <w:bCs/>
                      <w:color w:val="000000"/>
                      <w:szCs w:val="21"/>
                    </w:rPr>
                  </w:pPr>
                  <w:r>
                    <w:rPr>
                      <w:rFonts w:hint="eastAsia"/>
                      <w:bCs/>
                      <w:color w:val="000000"/>
                      <w:szCs w:val="21"/>
                    </w:rPr>
                    <w:t>合计</w:t>
                  </w:r>
                </w:p>
              </w:tc>
              <w:tc>
                <w:tcPr>
                  <w:tcW w:w="3727" w:type="pct"/>
                  <w:gridSpan w:val="5"/>
                  <w:tcBorders>
                    <w:top w:val="single" w:color="auto" w:sz="4" w:space="0"/>
                    <w:left w:val="nil"/>
                    <w:bottom w:val="single" w:color="auto" w:sz="4" w:space="0"/>
                    <w:right w:val="single" w:color="auto" w:sz="4" w:space="0"/>
                  </w:tcBorders>
                  <w:vAlign w:val="center"/>
                </w:tcPr>
                <w:p>
                  <w:pPr>
                    <w:jc w:val="center"/>
                    <w:rPr>
                      <w:bCs/>
                      <w:color w:val="000000"/>
                      <w:szCs w:val="21"/>
                    </w:rPr>
                  </w:pPr>
                </w:p>
              </w:tc>
              <w:tc>
                <w:tcPr>
                  <w:tcW w:w="714" w:type="pct"/>
                  <w:tcBorders>
                    <w:top w:val="single" w:color="auto" w:sz="4" w:space="0"/>
                    <w:left w:val="nil"/>
                    <w:bottom w:val="single" w:color="auto" w:sz="4" w:space="0"/>
                  </w:tcBorders>
                  <w:vAlign w:val="center"/>
                </w:tcPr>
                <w:p>
                  <w:pPr>
                    <w:spacing w:line="320" w:lineRule="exact"/>
                    <w:jc w:val="center"/>
                    <w:rPr>
                      <w:rFonts w:hint="default" w:eastAsia="宋体"/>
                      <w:bCs/>
                      <w:color w:val="auto"/>
                      <w:szCs w:val="21"/>
                      <w:lang w:val="en-US" w:eastAsia="zh-CN"/>
                    </w:rPr>
                  </w:pPr>
                  <w:r>
                    <w:rPr>
                      <w:rFonts w:hint="eastAsia"/>
                      <w:bCs/>
                      <w:color w:val="auto"/>
                      <w:szCs w:val="21"/>
                    </w:rPr>
                    <w:t>0</w:t>
                  </w:r>
                  <w:r>
                    <w:rPr>
                      <w:bCs/>
                      <w:color w:val="auto"/>
                      <w:szCs w:val="21"/>
                    </w:rPr>
                    <w:t>.0</w:t>
                  </w:r>
                  <w:r>
                    <w:rPr>
                      <w:rFonts w:hint="eastAsia"/>
                      <w:bCs/>
                      <w:color w:val="auto"/>
                      <w:szCs w:val="21"/>
                      <w:lang w:val="en-US" w:eastAsia="zh-CN"/>
                    </w:rPr>
                    <w:t>0016</w:t>
                  </w:r>
                </w:p>
              </w:tc>
            </w:tr>
          </w:tbl>
          <w:p>
            <w:pPr>
              <w:pStyle w:val="14"/>
              <w:spacing w:after="0" w:line="360" w:lineRule="auto"/>
              <w:ind w:left="0" w:leftChars="0" w:firstLine="480" w:firstLineChars="200"/>
            </w:pPr>
            <w:r>
              <w:rPr>
                <w:rFonts w:hint="eastAsia"/>
                <w:bCs/>
                <w:color w:val="000000"/>
                <w:sz w:val="24"/>
                <w:szCs w:val="24"/>
              </w:rPr>
              <w:t>由上表可知，本项目厂界内最大存在总量中各危险物质实际量与临界量比值之和为</w:t>
            </w:r>
            <w:r>
              <w:rPr>
                <w:bCs/>
                <w:color w:val="000000"/>
                <w:sz w:val="24"/>
                <w:szCs w:val="24"/>
              </w:rPr>
              <w:t>0.0</w:t>
            </w:r>
            <w:r>
              <w:rPr>
                <w:rFonts w:hint="eastAsia"/>
                <w:bCs/>
                <w:color w:val="000000"/>
                <w:sz w:val="24"/>
                <w:szCs w:val="24"/>
                <w:lang w:val="en-US" w:eastAsia="zh-CN"/>
              </w:rPr>
              <w:t>0016</w:t>
            </w:r>
            <w:r>
              <w:rPr>
                <w:rFonts w:hint="eastAsia"/>
                <w:bCs/>
                <w:color w:val="000000"/>
                <w:sz w:val="24"/>
                <w:szCs w:val="24"/>
              </w:rPr>
              <w:t>。</w:t>
            </w:r>
            <w:r>
              <w:rPr>
                <w:color w:val="000000"/>
                <w:sz w:val="24"/>
                <w:szCs w:val="24"/>
              </w:rPr>
              <w:t>依据《建设项目环境风险评价技术导则》（HJ169-2018）附录C中“临界量比值Q＜1时，环境风险潜势为Ⅰ”，</w:t>
            </w:r>
            <w:r>
              <w:rPr>
                <w:color w:val="000000"/>
                <w:kern w:val="0"/>
                <w:sz w:val="24"/>
                <w:szCs w:val="24"/>
              </w:rPr>
              <w:t>本项目风险潜势为Ⅰ，仅进行简单分析。</w:t>
            </w:r>
          </w:p>
          <w:p>
            <w:pPr>
              <w:spacing w:line="360" w:lineRule="auto"/>
              <w:ind w:firstLine="470" w:firstLineChars="196"/>
              <w:rPr>
                <w:rFonts w:hint="eastAsia" w:ascii="Times New Roman" w:hAnsi="Times New Roman" w:cs="Times New Roman"/>
                <w:color w:val="000000"/>
                <w:sz w:val="24"/>
                <w:lang w:val="en-US" w:eastAsia="zh-CN"/>
              </w:rPr>
            </w:pPr>
            <w:r>
              <w:rPr>
                <w:rFonts w:hint="eastAsia" w:ascii="Times New Roman" w:hAnsi="Times New Roman" w:cs="Times New Roman"/>
                <w:color w:val="000000"/>
                <w:sz w:val="24"/>
                <w:lang w:val="en-US" w:eastAsia="zh-CN"/>
              </w:rPr>
              <w:t>项目化学品使用量相对较少，且根据同类型国内企业实际运行情况，项目运行中此类危险物质泄漏风险事故概率较低。润滑油由专门的密闭容器包装，暂存量较小，使用过程中采取了收集处理措施，且都处于车间内，自然挥发对周边空气环境空气影响较小。项目针对危废库采取防渗措施，故正常运营过程中润滑油不会发生泄漏，对周边地表水、地下水或土壤环境影响较小。</w:t>
            </w:r>
          </w:p>
          <w:p>
            <w:pPr>
              <w:spacing w:line="360" w:lineRule="auto"/>
              <w:ind w:firstLine="470" w:firstLineChars="196"/>
              <w:rPr>
                <w:rFonts w:hint="eastAsia" w:ascii="Times New Roman" w:hAnsi="Times New Roman" w:cs="Times New Roman"/>
                <w:color w:val="000000"/>
                <w:sz w:val="24"/>
                <w:lang w:val="en-US" w:eastAsia="zh-CN"/>
              </w:rPr>
            </w:pPr>
            <w:r>
              <w:rPr>
                <w:rFonts w:hint="eastAsia" w:ascii="Times New Roman" w:hAnsi="Times New Roman" w:cs="Times New Roman"/>
                <w:color w:val="000000"/>
                <w:sz w:val="24"/>
                <w:lang w:val="en-US" w:eastAsia="zh-CN"/>
              </w:rPr>
              <w:t>建设单位应加强厂区防火管理、完善事故应急预案，采取妥善的风险防范措施，本项目环境风险在可接受的范围内。</w:t>
            </w:r>
          </w:p>
          <w:p>
            <w:pPr>
              <w:spacing w:line="360" w:lineRule="auto"/>
              <w:ind w:firstLine="482" w:firstLineChars="200"/>
              <w:rPr>
                <w:b/>
                <w:sz w:val="24"/>
              </w:rPr>
            </w:pPr>
            <w:r>
              <w:rPr>
                <w:rFonts w:hint="eastAsia"/>
                <w:b/>
                <w:sz w:val="24"/>
              </w:rPr>
              <w:t>八</w:t>
            </w:r>
            <w:r>
              <w:rPr>
                <w:b/>
                <w:sz w:val="24"/>
              </w:rPr>
              <w:t>、环境管理及监测计划</w:t>
            </w:r>
          </w:p>
          <w:p>
            <w:pPr>
              <w:spacing w:line="360" w:lineRule="auto"/>
              <w:ind w:firstLine="470" w:firstLineChars="196"/>
              <w:rPr>
                <w:rFonts w:hint="eastAsia"/>
                <w:color w:val="000000"/>
                <w:sz w:val="24"/>
              </w:rPr>
            </w:pPr>
            <w:r>
              <w:rPr>
                <w:color w:val="000000"/>
                <w:sz w:val="24"/>
              </w:rPr>
              <w:t>（1）环境管理机构设置</w:t>
            </w:r>
          </w:p>
          <w:p>
            <w:pPr>
              <w:spacing w:line="360" w:lineRule="auto"/>
              <w:ind w:firstLine="470" w:firstLineChars="196"/>
              <w:rPr>
                <w:color w:val="000000"/>
                <w:sz w:val="24"/>
              </w:rPr>
            </w:pPr>
            <w:r>
              <w:rPr>
                <w:color w:val="000000"/>
                <w:sz w:val="24"/>
              </w:rPr>
              <w:t>为了本工程在运营期能更好地执行和遵守国家、省及地方的有关环境保护法律、法规、政策及标准，接受地方环境保护主管部门的环境监督，调整和制订环境规划和目标，进行一切与改善环境有关的管理活动，同时对工程施工及运营期产生的污染物进行监测、分析、了解工程对环境的影响状况，公司应设置专职的环境管理人员，参与项目的环保设施“三同时”管理，同时需负责产生污染防治设施运行管理。由于环保工作政策性强，涉及多学科、综合性知识，建议该项目的专职环境管理人员选用具备环保专业知识并有一定工作经验的专业人员担任。</w:t>
            </w:r>
          </w:p>
          <w:p>
            <w:pPr>
              <w:spacing w:line="360" w:lineRule="auto"/>
              <w:ind w:firstLine="470" w:firstLineChars="196"/>
              <w:rPr>
                <w:color w:val="000000"/>
                <w:sz w:val="24"/>
              </w:rPr>
            </w:pPr>
            <w:r>
              <w:rPr>
                <w:color w:val="000000"/>
                <w:sz w:val="24"/>
              </w:rPr>
              <w:t>（2）环境管理制度</w:t>
            </w:r>
          </w:p>
          <w:p>
            <w:pPr>
              <w:spacing w:line="360" w:lineRule="auto"/>
              <w:ind w:firstLine="470" w:firstLineChars="196"/>
              <w:rPr>
                <w:color w:val="000000"/>
                <w:sz w:val="24"/>
              </w:rPr>
            </w:pPr>
            <w:r>
              <w:rPr>
                <w:color w:val="000000"/>
                <w:sz w:val="24"/>
              </w:rPr>
              <w:t>贯彻执行“三同时”制度：设计单位必须将环境保护设施与主体工程同时设计，工程建设单位必须保证防治污染及其它公害的设施与主体工程项目同时施工、同时投入运行，工程竣工后，经验收合格后，方可投入运行。</w:t>
            </w:r>
          </w:p>
          <w:p>
            <w:pPr>
              <w:spacing w:line="360" w:lineRule="auto"/>
              <w:ind w:firstLine="470" w:firstLineChars="196"/>
              <w:rPr>
                <w:color w:val="000000"/>
                <w:sz w:val="24"/>
              </w:rPr>
            </w:pPr>
            <w:r>
              <w:rPr>
                <w:color w:val="000000"/>
                <w:sz w:val="24"/>
              </w:rPr>
              <w:t>执行排污申报登记：按照国家和地方环境保护规定，企业应及时向当地环境保护部门进行污染物排放申报登记。经环保部门批准后，方可按分配的指标排放。</w:t>
            </w:r>
          </w:p>
          <w:p>
            <w:pPr>
              <w:spacing w:line="360" w:lineRule="auto"/>
              <w:ind w:firstLine="470" w:firstLineChars="196"/>
              <w:rPr>
                <w:color w:val="000000"/>
                <w:sz w:val="24"/>
              </w:rPr>
            </w:pPr>
            <w:r>
              <w:rPr>
                <w:color w:val="000000"/>
                <w:sz w:val="24"/>
              </w:rPr>
              <w:t>环保设施运行管理制度：应建立环保设施定期检查制度和污染治理措施岗位责任制，实行污染治理岗位运行记录制度，以确保污染治理设施稳定高效运行。当污染治理设施发生故障时，应及时组织抢修，并根据实际情况采取相应措施，防止污染事故的发生。</w:t>
            </w:r>
          </w:p>
          <w:p>
            <w:pPr>
              <w:spacing w:line="360" w:lineRule="auto"/>
              <w:ind w:firstLine="470" w:firstLineChars="196"/>
              <w:rPr>
                <w:color w:val="000000"/>
                <w:sz w:val="24"/>
              </w:rPr>
            </w:pPr>
            <w:r>
              <w:rPr>
                <w:color w:val="000000"/>
                <w:sz w:val="24"/>
              </w:rPr>
              <w:t>建立企业环保档案：企业应对废气</w:t>
            </w:r>
            <w:r>
              <w:rPr>
                <w:rFonts w:hint="eastAsia"/>
                <w:color w:val="000000"/>
                <w:sz w:val="24"/>
                <w:lang w:eastAsia="zh-CN"/>
              </w:rPr>
              <w:t>、</w:t>
            </w:r>
            <w:r>
              <w:rPr>
                <w:rFonts w:hint="eastAsia"/>
                <w:color w:val="000000"/>
                <w:sz w:val="24"/>
                <w:lang w:val="en-US" w:eastAsia="zh-CN"/>
              </w:rPr>
              <w:t>噪声</w:t>
            </w:r>
            <w:r>
              <w:rPr>
                <w:color w:val="000000"/>
                <w:sz w:val="24"/>
              </w:rPr>
              <w:t>等进行定期监测，建立污染源档案，发现污染物非正常排放，应分析原因并及时采取相应措施，以控制污染影响的范围和程度。</w:t>
            </w:r>
          </w:p>
          <w:p>
            <w:pPr>
              <w:spacing w:line="360" w:lineRule="auto"/>
              <w:ind w:firstLine="470" w:firstLineChars="196"/>
              <w:rPr>
                <w:color w:val="000000"/>
                <w:sz w:val="24"/>
              </w:rPr>
            </w:pPr>
            <w:r>
              <w:rPr>
                <w:color w:val="000000"/>
                <w:sz w:val="24"/>
              </w:rPr>
              <w:t>（3）环境监测计划</w:t>
            </w:r>
          </w:p>
          <w:p>
            <w:pPr>
              <w:spacing w:line="360" w:lineRule="auto"/>
              <w:ind w:firstLine="470" w:firstLineChars="196"/>
              <w:rPr>
                <w:color w:val="000000"/>
                <w:sz w:val="24"/>
              </w:rPr>
            </w:pPr>
            <w:r>
              <w:rPr>
                <w:rFonts w:hint="eastAsia"/>
                <w:color w:val="000000"/>
                <w:sz w:val="24"/>
              </w:rPr>
              <w:t>参照《排污单位自行监测技术指南总则》（HJ819-2017）的相关要求，排污单位可自行或委托第三方监测机构开展监测工作，并安排专人专职对监测数据进行记录、整理、统计和分析。排污单位对监测结果的真实性、准确性、完整性负责。</w:t>
            </w:r>
          </w:p>
          <w:p>
            <w:pPr>
              <w:spacing w:line="360" w:lineRule="auto"/>
              <w:ind w:firstLine="470" w:firstLineChars="196"/>
              <w:rPr>
                <w:rFonts w:hint="default" w:eastAsia="宋体"/>
                <w:color w:val="000000"/>
                <w:sz w:val="24"/>
                <w:lang w:val="en-US" w:eastAsia="zh-CN"/>
              </w:rPr>
            </w:pPr>
            <w:r>
              <w:rPr>
                <w:color w:val="000000"/>
                <w:sz w:val="24"/>
              </w:rPr>
              <w:t>本项目运营期环境监测计划见下表</w:t>
            </w:r>
            <w:r>
              <w:rPr>
                <w:rFonts w:hint="eastAsia"/>
                <w:color w:val="000000"/>
                <w:sz w:val="24"/>
                <w:lang w:eastAsia="zh-CN"/>
              </w:rPr>
              <w:t>。</w:t>
            </w:r>
          </w:p>
          <w:p>
            <w:pPr>
              <w:adjustRightInd w:val="0"/>
              <w:snapToGrid w:val="0"/>
              <w:spacing w:line="480" w:lineRule="exact"/>
              <w:jc w:val="center"/>
              <w:textAlignment w:val="baseline"/>
              <w:rPr>
                <w:b/>
                <w:color w:val="000000"/>
                <w:sz w:val="24"/>
              </w:rPr>
            </w:pPr>
            <w:r>
              <w:rPr>
                <w:b/>
                <w:color w:val="000000"/>
                <w:sz w:val="24"/>
              </w:rPr>
              <w:t>表4-</w:t>
            </w:r>
            <w:r>
              <w:rPr>
                <w:rFonts w:hint="eastAsia"/>
                <w:b/>
                <w:color w:val="000000"/>
                <w:sz w:val="24"/>
                <w:lang w:val="en-US" w:eastAsia="zh-CN"/>
              </w:rPr>
              <w:t>11</w:t>
            </w:r>
            <w:r>
              <w:rPr>
                <w:b/>
                <w:color w:val="000000"/>
                <w:sz w:val="24"/>
              </w:rPr>
              <w:t xml:space="preserve">  项目运营期环境监测计划一览表</w:t>
            </w:r>
          </w:p>
          <w:tbl>
            <w:tblPr>
              <w:tblStyle w:val="26"/>
              <w:tblW w:w="7858" w:type="dxa"/>
              <w:jc w:val="center"/>
              <w:tblBorders>
                <w:top w:val="single" w:color="auto" w:sz="4" w:space="0"/>
                <w:left w:val="single" w:color="auto" w:sz="4"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57"/>
              <w:gridCol w:w="1395"/>
              <w:gridCol w:w="1785"/>
              <w:gridCol w:w="1680"/>
              <w:gridCol w:w="1405"/>
              <w:gridCol w:w="1236"/>
            </w:tblGrid>
            <w:tr>
              <w:tblPrEx>
                <w:tblBorders>
                  <w:top w:val="single" w:color="auto" w:sz="4" w:space="0"/>
                  <w:left w:val="single" w:color="auto" w:sz="4"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7" w:type="pct"/>
                  <w:tcBorders>
                    <w:bottom w:val="single" w:color="auto" w:sz="4" w:space="0"/>
                    <w:right w:val="single" w:color="auto" w:sz="4" w:space="0"/>
                  </w:tcBorders>
                  <w:vAlign w:val="center"/>
                </w:tcPr>
                <w:p>
                  <w:pPr>
                    <w:snapToGrid w:val="0"/>
                    <w:jc w:val="center"/>
                    <w:rPr>
                      <w:b/>
                      <w:color w:val="000000"/>
                      <w:szCs w:val="21"/>
                    </w:rPr>
                  </w:pPr>
                  <w:r>
                    <w:rPr>
                      <w:b/>
                      <w:color w:val="000000"/>
                      <w:szCs w:val="21"/>
                    </w:rPr>
                    <w:t>时段</w:t>
                  </w:r>
                </w:p>
              </w:tc>
              <w:tc>
                <w:tcPr>
                  <w:tcW w:w="887" w:type="pct"/>
                  <w:tcBorders>
                    <w:left w:val="single" w:color="auto" w:sz="4" w:space="0"/>
                    <w:bottom w:val="single" w:color="auto" w:sz="4" w:space="0"/>
                    <w:right w:val="single" w:color="auto" w:sz="4" w:space="0"/>
                  </w:tcBorders>
                  <w:vAlign w:val="center"/>
                </w:tcPr>
                <w:p>
                  <w:pPr>
                    <w:snapToGrid w:val="0"/>
                    <w:jc w:val="center"/>
                    <w:rPr>
                      <w:b/>
                      <w:color w:val="000000"/>
                      <w:szCs w:val="21"/>
                    </w:rPr>
                  </w:pPr>
                  <w:r>
                    <w:rPr>
                      <w:rFonts w:hint="eastAsia"/>
                      <w:b/>
                      <w:color w:val="000000"/>
                      <w:szCs w:val="21"/>
                      <w:lang w:val="en-US" w:eastAsia="zh-CN"/>
                    </w:rPr>
                    <w:t>排放</w:t>
                  </w:r>
                  <w:r>
                    <w:rPr>
                      <w:b/>
                      <w:color w:val="000000"/>
                      <w:szCs w:val="21"/>
                    </w:rPr>
                    <w:t>类型</w:t>
                  </w:r>
                </w:p>
              </w:tc>
              <w:tc>
                <w:tcPr>
                  <w:tcW w:w="1135" w:type="pct"/>
                  <w:tcBorders>
                    <w:left w:val="single" w:color="auto" w:sz="4" w:space="0"/>
                    <w:bottom w:val="single" w:color="auto" w:sz="4" w:space="0"/>
                    <w:right w:val="single" w:color="auto" w:sz="4" w:space="0"/>
                  </w:tcBorders>
                  <w:vAlign w:val="center"/>
                </w:tcPr>
                <w:p>
                  <w:pPr>
                    <w:snapToGrid w:val="0"/>
                    <w:jc w:val="center"/>
                    <w:rPr>
                      <w:b/>
                      <w:color w:val="000000"/>
                      <w:szCs w:val="21"/>
                    </w:rPr>
                  </w:pPr>
                  <w:r>
                    <w:rPr>
                      <w:b/>
                      <w:color w:val="000000"/>
                      <w:szCs w:val="21"/>
                    </w:rPr>
                    <w:t>监测位置</w:t>
                  </w:r>
                </w:p>
              </w:tc>
              <w:tc>
                <w:tcPr>
                  <w:tcW w:w="1068" w:type="pct"/>
                  <w:tcBorders>
                    <w:left w:val="single" w:color="auto" w:sz="4" w:space="0"/>
                    <w:bottom w:val="single" w:color="auto" w:sz="4" w:space="0"/>
                    <w:right w:val="single" w:color="auto" w:sz="4" w:space="0"/>
                  </w:tcBorders>
                  <w:vAlign w:val="center"/>
                </w:tcPr>
                <w:p>
                  <w:pPr>
                    <w:snapToGrid w:val="0"/>
                    <w:jc w:val="center"/>
                    <w:rPr>
                      <w:b/>
                      <w:color w:val="000000"/>
                      <w:szCs w:val="21"/>
                    </w:rPr>
                  </w:pPr>
                  <w:r>
                    <w:rPr>
                      <w:b/>
                      <w:color w:val="000000"/>
                      <w:szCs w:val="21"/>
                    </w:rPr>
                    <w:t>监测项目</w:t>
                  </w:r>
                </w:p>
              </w:tc>
              <w:tc>
                <w:tcPr>
                  <w:tcW w:w="893" w:type="pct"/>
                  <w:tcBorders>
                    <w:left w:val="single" w:color="auto" w:sz="4" w:space="0"/>
                    <w:bottom w:val="single" w:color="auto" w:sz="4" w:space="0"/>
                    <w:right w:val="single" w:color="auto" w:sz="4" w:space="0"/>
                  </w:tcBorders>
                  <w:vAlign w:val="center"/>
                </w:tcPr>
                <w:p>
                  <w:pPr>
                    <w:snapToGrid w:val="0"/>
                    <w:jc w:val="center"/>
                    <w:rPr>
                      <w:b/>
                      <w:color w:val="000000"/>
                      <w:szCs w:val="21"/>
                    </w:rPr>
                  </w:pPr>
                  <w:r>
                    <w:rPr>
                      <w:b/>
                      <w:color w:val="000000"/>
                      <w:szCs w:val="21"/>
                    </w:rPr>
                    <w:t>频次</w:t>
                  </w:r>
                </w:p>
              </w:tc>
              <w:tc>
                <w:tcPr>
                  <w:tcW w:w="786" w:type="pct"/>
                  <w:tcBorders>
                    <w:left w:val="single" w:color="auto" w:sz="4" w:space="0"/>
                    <w:bottom w:val="single" w:color="auto" w:sz="4" w:space="0"/>
                  </w:tcBorders>
                  <w:vAlign w:val="center"/>
                </w:tcPr>
                <w:p>
                  <w:pPr>
                    <w:snapToGrid w:val="0"/>
                    <w:jc w:val="center"/>
                    <w:rPr>
                      <w:b/>
                      <w:color w:val="000000"/>
                      <w:szCs w:val="21"/>
                    </w:rPr>
                  </w:pPr>
                  <w:r>
                    <w:rPr>
                      <w:b/>
                      <w:bCs/>
                      <w:color w:val="000000"/>
                      <w:szCs w:val="21"/>
                    </w:rPr>
                    <w:t>监测方法</w:t>
                  </w:r>
                </w:p>
              </w:tc>
            </w:tr>
            <w:tr>
              <w:tblPrEx>
                <w:tblBorders>
                  <w:top w:val="single" w:color="auto" w:sz="4" w:space="0"/>
                  <w:left w:val="single" w:color="auto" w:sz="4"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227" w:type="pct"/>
                  <w:vMerge w:val="restart"/>
                  <w:tcBorders>
                    <w:top w:val="nil"/>
                    <w:right w:val="single" w:color="auto" w:sz="4" w:space="0"/>
                  </w:tcBorders>
                  <w:vAlign w:val="center"/>
                </w:tcPr>
                <w:p>
                  <w:pPr>
                    <w:widowControl/>
                    <w:jc w:val="left"/>
                    <w:rPr>
                      <w:rFonts w:hint="default" w:eastAsia="宋体"/>
                      <w:color w:val="000000"/>
                      <w:szCs w:val="21"/>
                      <w:lang w:val="en-US" w:eastAsia="zh-CN"/>
                    </w:rPr>
                  </w:pPr>
                  <w:r>
                    <w:rPr>
                      <w:rFonts w:hint="eastAsia"/>
                      <w:color w:val="000000"/>
                      <w:szCs w:val="21"/>
                      <w:lang w:val="en-US" w:eastAsia="zh-CN"/>
                    </w:rPr>
                    <w:t>运营期</w:t>
                  </w:r>
                </w:p>
              </w:tc>
              <w:tc>
                <w:tcPr>
                  <w:tcW w:w="887" w:type="pct"/>
                  <w:tcBorders>
                    <w:top w:val="nil"/>
                    <w:left w:val="single" w:color="auto" w:sz="4" w:space="0"/>
                    <w:bottom w:val="single" w:color="auto" w:sz="4" w:space="0"/>
                    <w:right w:val="single" w:color="auto" w:sz="4" w:space="0"/>
                  </w:tcBorders>
                  <w:vAlign w:val="center"/>
                </w:tcPr>
                <w:p>
                  <w:pPr>
                    <w:widowControl/>
                    <w:jc w:val="left"/>
                    <w:rPr>
                      <w:rFonts w:hint="eastAsia" w:eastAsia="宋体"/>
                      <w:color w:val="000000"/>
                      <w:szCs w:val="21"/>
                      <w:lang w:val="en-US" w:eastAsia="zh-CN"/>
                    </w:rPr>
                  </w:pPr>
                  <w:r>
                    <w:rPr>
                      <w:rFonts w:hint="eastAsia"/>
                      <w:color w:val="000000"/>
                      <w:szCs w:val="21"/>
                      <w:lang w:val="en-US" w:eastAsia="zh-CN"/>
                    </w:rPr>
                    <w:t>无组织废气</w:t>
                  </w:r>
                </w:p>
              </w:tc>
              <w:tc>
                <w:tcPr>
                  <w:tcW w:w="1135" w:type="pct"/>
                  <w:tcBorders>
                    <w:top w:val="single" w:color="auto" w:sz="4" w:space="0"/>
                    <w:left w:val="single" w:color="auto" w:sz="4" w:space="0"/>
                    <w:bottom w:val="single" w:color="auto" w:sz="4" w:space="0"/>
                    <w:right w:val="single" w:color="auto" w:sz="4" w:space="0"/>
                  </w:tcBorders>
                  <w:vAlign w:val="center"/>
                </w:tcPr>
                <w:p>
                  <w:pPr>
                    <w:ind w:left="-105" w:leftChars="-50" w:right="-105" w:rightChars="-50"/>
                    <w:jc w:val="center"/>
                    <w:rPr>
                      <w:color w:val="FF0000"/>
                      <w:szCs w:val="21"/>
                    </w:rPr>
                  </w:pPr>
                  <w:r>
                    <w:rPr>
                      <w:color w:val="000000"/>
                      <w:kern w:val="0"/>
                      <w:szCs w:val="21"/>
                    </w:rPr>
                    <w:t>厂界无组织监控点</w:t>
                  </w:r>
                </w:p>
              </w:tc>
              <w:tc>
                <w:tcPr>
                  <w:tcW w:w="1068" w:type="pct"/>
                  <w:tcBorders>
                    <w:top w:val="single" w:color="auto" w:sz="4" w:space="0"/>
                    <w:left w:val="single" w:color="auto" w:sz="4" w:space="0"/>
                    <w:bottom w:val="single" w:color="auto" w:sz="4" w:space="0"/>
                    <w:right w:val="single" w:color="auto" w:sz="4" w:space="0"/>
                  </w:tcBorders>
                  <w:vAlign w:val="center"/>
                </w:tcPr>
                <w:p>
                  <w:pPr>
                    <w:ind w:left="-105" w:leftChars="-50" w:right="-105" w:rightChars="-50"/>
                    <w:jc w:val="center"/>
                    <w:rPr>
                      <w:color w:val="000000"/>
                      <w:szCs w:val="21"/>
                    </w:rPr>
                  </w:pPr>
                  <w:r>
                    <w:rPr>
                      <w:color w:val="000000"/>
                      <w:szCs w:val="21"/>
                    </w:rPr>
                    <w:t>颗粒物</w:t>
                  </w:r>
                </w:p>
              </w:tc>
              <w:tc>
                <w:tcPr>
                  <w:tcW w:w="893" w:type="pct"/>
                  <w:tcBorders>
                    <w:top w:val="single" w:color="auto" w:sz="4" w:space="0"/>
                    <w:left w:val="single" w:color="auto" w:sz="4" w:space="0"/>
                    <w:bottom w:val="single" w:color="auto" w:sz="4" w:space="0"/>
                    <w:right w:val="single" w:color="auto" w:sz="4" w:space="0"/>
                  </w:tcBorders>
                  <w:vAlign w:val="center"/>
                </w:tcPr>
                <w:p>
                  <w:pPr>
                    <w:snapToGrid w:val="0"/>
                    <w:jc w:val="center"/>
                    <w:rPr>
                      <w:color w:val="000000"/>
                      <w:szCs w:val="21"/>
                    </w:rPr>
                  </w:pPr>
                  <w:r>
                    <w:rPr>
                      <w:color w:val="000000"/>
                      <w:szCs w:val="21"/>
                    </w:rPr>
                    <w:t>每年一次</w:t>
                  </w:r>
                </w:p>
              </w:tc>
              <w:tc>
                <w:tcPr>
                  <w:tcW w:w="786" w:type="pct"/>
                  <w:vMerge w:val="restart"/>
                  <w:tcBorders>
                    <w:top w:val="nil"/>
                    <w:left w:val="single" w:color="auto" w:sz="4" w:space="0"/>
                  </w:tcBorders>
                  <w:vAlign w:val="center"/>
                </w:tcPr>
                <w:p>
                  <w:pPr>
                    <w:widowControl/>
                    <w:jc w:val="left"/>
                    <w:rPr>
                      <w:color w:val="000000"/>
                      <w:szCs w:val="21"/>
                    </w:rPr>
                  </w:pPr>
                  <w:r>
                    <w:rPr>
                      <w:bCs/>
                      <w:color w:val="000000"/>
                      <w:szCs w:val="21"/>
                    </w:rPr>
                    <w:t>采用国家规定最新监测方法与标准</w:t>
                  </w:r>
                </w:p>
              </w:tc>
            </w:tr>
            <w:tr>
              <w:tblPrEx>
                <w:tblBorders>
                  <w:top w:val="single" w:color="auto" w:sz="4" w:space="0"/>
                  <w:left w:val="single" w:color="auto" w:sz="4"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7" w:type="pct"/>
                  <w:vMerge w:val="continue"/>
                  <w:tcBorders>
                    <w:top w:val="nil"/>
                    <w:bottom w:val="single" w:color="auto" w:sz="4" w:space="0"/>
                    <w:right w:val="single" w:color="auto" w:sz="4" w:space="0"/>
                  </w:tcBorders>
                  <w:vAlign w:val="center"/>
                </w:tcPr>
                <w:p>
                  <w:pPr>
                    <w:widowControl/>
                    <w:jc w:val="left"/>
                    <w:rPr>
                      <w:color w:val="000000"/>
                      <w:szCs w:val="21"/>
                    </w:rPr>
                  </w:pPr>
                </w:p>
              </w:tc>
              <w:tc>
                <w:tcPr>
                  <w:tcW w:w="887" w:type="pct"/>
                  <w:tcBorders>
                    <w:top w:val="single" w:color="auto" w:sz="4" w:space="0"/>
                    <w:left w:val="single" w:color="auto" w:sz="4" w:space="0"/>
                    <w:bottom w:val="single" w:color="auto" w:sz="4" w:space="0"/>
                    <w:right w:val="single" w:color="auto" w:sz="4" w:space="0"/>
                  </w:tcBorders>
                  <w:vAlign w:val="center"/>
                </w:tcPr>
                <w:p>
                  <w:pPr>
                    <w:snapToGrid w:val="0"/>
                    <w:jc w:val="center"/>
                    <w:rPr>
                      <w:color w:val="000000"/>
                      <w:szCs w:val="21"/>
                    </w:rPr>
                  </w:pPr>
                  <w:r>
                    <w:rPr>
                      <w:color w:val="000000"/>
                      <w:szCs w:val="21"/>
                    </w:rPr>
                    <w:t>噪声</w:t>
                  </w:r>
                </w:p>
              </w:tc>
              <w:tc>
                <w:tcPr>
                  <w:tcW w:w="1135"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color w:val="FF0000"/>
                      <w:kern w:val="0"/>
                      <w:sz w:val="21"/>
                      <w:szCs w:val="21"/>
                      <w:lang w:val="en-US" w:eastAsia="zh-CN" w:bidi="ar-SA"/>
                    </w:rPr>
                  </w:pPr>
                  <w:r>
                    <w:rPr>
                      <w:color w:val="000000"/>
                      <w:kern w:val="0"/>
                      <w:szCs w:val="21"/>
                    </w:rPr>
                    <w:t>项目四周厂界</w:t>
                  </w:r>
                </w:p>
              </w:tc>
              <w:tc>
                <w:tcPr>
                  <w:tcW w:w="1068"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color w:val="000000"/>
                      <w:kern w:val="0"/>
                      <w:sz w:val="21"/>
                      <w:szCs w:val="21"/>
                      <w:lang w:val="en-US" w:eastAsia="zh-CN" w:bidi="ar-SA"/>
                    </w:rPr>
                  </w:pPr>
                  <w:r>
                    <w:rPr>
                      <w:color w:val="000000"/>
                      <w:kern w:val="0"/>
                      <w:szCs w:val="21"/>
                    </w:rPr>
                    <w:t>连续等效A声级</w:t>
                  </w:r>
                </w:p>
              </w:tc>
              <w:tc>
                <w:tcPr>
                  <w:tcW w:w="893"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color w:val="000000"/>
                      <w:kern w:val="0"/>
                      <w:sz w:val="21"/>
                      <w:szCs w:val="21"/>
                      <w:lang w:val="en-US" w:eastAsia="zh-CN" w:bidi="ar-SA"/>
                    </w:rPr>
                  </w:pPr>
                  <w:r>
                    <w:rPr>
                      <w:color w:val="000000"/>
                      <w:kern w:val="0"/>
                      <w:szCs w:val="21"/>
                    </w:rPr>
                    <w:t>每季度一次</w:t>
                  </w:r>
                </w:p>
              </w:tc>
              <w:tc>
                <w:tcPr>
                  <w:tcW w:w="786" w:type="pct"/>
                  <w:vMerge w:val="continue"/>
                  <w:tcBorders>
                    <w:top w:val="nil"/>
                    <w:left w:val="single" w:color="auto" w:sz="4" w:space="0"/>
                    <w:bottom w:val="single" w:color="auto" w:sz="4" w:space="0"/>
                  </w:tcBorders>
                  <w:vAlign w:val="center"/>
                </w:tcPr>
                <w:p>
                  <w:pPr>
                    <w:widowControl/>
                    <w:jc w:val="left"/>
                    <w:rPr>
                      <w:color w:val="000000"/>
                      <w:szCs w:val="21"/>
                    </w:rPr>
                  </w:pPr>
                </w:p>
              </w:tc>
            </w:tr>
            <w:tr>
              <w:tblPrEx>
                <w:tblBorders>
                  <w:top w:val="single" w:color="auto" w:sz="4" w:space="0"/>
                  <w:left w:val="single" w:color="auto" w:sz="4"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7" w:type="pct"/>
                  <w:vMerge w:val="continue"/>
                  <w:tcBorders>
                    <w:top w:val="nil"/>
                    <w:right w:val="single" w:color="auto" w:sz="4" w:space="0"/>
                  </w:tcBorders>
                  <w:vAlign w:val="center"/>
                </w:tcPr>
                <w:p>
                  <w:pPr>
                    <w:widowControl/>
                    <w:jc w:val="left"/>
                    <w:rPr>
                      <w:color w:val="000000"/>
                      <w:szCs w:val="21"/>
                    </w:rPr>
                  </w:pPr>
                </w:p>
              </w:tc>
              <w:tc>
                <w:tcPr>
                  <w:tcW w:w="887" w:type="pct"/>
                  <w:tcBorders>
                    <w:top w:val="single" w:color="auto" w:sz="4" w:space="0"/>
                    <w:left w:val="single" w:color="auto" w:sz="4" w:space="0"/>
                    <w:right w:val="single" w:color="auto" w:sz="4" w:space="0"/>
                  </w:tcBorders>
                  <w:vAlign w:val="center"/>
                </w:tcPr>
                <w:p>
                  <w:pPr>
                    <w:snapToGrid w:val="0"/>
                    <w:jc w:val="center"/>
                    <w:rPr>
                      <w:color w:val="000000"/>
                      <w:szCs w:val="21"/>
                    </w:rPr>
                  </w:pPr>
                  <w:r>
                    <w:rPr>
                      <w:color w:val="000000"/>
                      <w:szCs w:val="21"/>
                    </w:rPr>
                    <w:t>固废</w:t>
                  </w:r>
                </w:p>
              </w:tc>
              <w:tc>
                <w:tcPr>
                  <w:tcW w:w="1135" w:type="pct"/>
                  <w:tcBorders>
                    <w:top w:val="single" w:color="auto" w:sz="4" w:space="0"/>
                    <w:left w:val="single" w:color="auto" w:sz="4" w:space="0"/>
                    <w:right w:val="single" w:color="auto" w:sz="4" w:space="0"/>
                  </w:tcBorders>
                  <w:vAlign w:val="center"/>
                </w:tcPr>
                <w:p>
                  <w:pPr>
                    <w:snapToGrid w:val="0"/>
                    <w:jc w:val="center"/>
                    <w:rPr>
                      <w:color w:val="FF0000"/>
                      <w:szCs w:val="21"/>
                    </w:rPr>
                  </w:pPr>
                  <w:r>
                    <w:rPr>
                      <w:color w:val="auto"/>
                      <w:szCs w:val="21"/>
                    </w:rPr>
                    <w:t>统计各类固废量</w:t>
                  </w:r>
                </w:p>
              </w:tc>
              <w:tc>
                <w:tcPr>
                  <w:tcW w:w="1068" w:type="pct"/>
                  <w:tcBorders>
                    <w:top w:val="single" w:color="auto" w:sz="4" w:space="0"/>
                    <w:left w:val="single" w:color="auto" w:sz="4" w:space="0"/>
                    <w:right w:val="single" w:color="auto" w:sz="4" w:space="0"/>
                  </w:tcBorders>
                  <w:vAlign w:val="center"/>
                </w:tcPr>
                <w:p>
                  <w:pPr>
                    <w:snapToGrid w:val="0"/>
                    <w:jc w:val="center"/>
                    <w:rPr>
                      <w:color w:val="000000"/>
                      <w:szCs w:val="21"/>
                    </w:rPr>
                  </w:pPr>
                  <w:r>
                    <w:rPr>
                      <w:color w:val="000000"/>
                      <w:szCs w:val="21"/>
                    </w:rPr>
                    <w:t>统计固废种类、处置方式及去向</w:t>
                  </w:r>
                </w:p>
              </w:tc>
              <w:tc>
                <w:tcPr>
                  <w:tcW w:w="893" w:type="pct"/>
                  <w:tcBorders>
                    <w:top w:val="single" w:color="auto" w:sz="4" w:space="0"/>
                    <w:left w:val="single" w:color="auto" w:sz="4" w:space="0"/>
                    <w:right w:val="single" w:color="auto" w:sz="4" w:space="0"/>
                  </w:tcBorders>
                  <w:vAlign w:val="center"/>
                </w:tcPr>
                <w:p>
                  <w:pPr>
                    <w:snapToGrid w:val="0"/>
                    <w:jc w:val="center"/>
                    <w:rPr>
                      <w:color w:val="000000"/>
                      <w:szCs w:val="21"/>
                    </w:rPr>
                  </w:pPr>
                  <w:r>
                    <w:rPr>
                      <w:color w:val="000000"/>
                      <w:szCs w:val="21"/>
                    </w:rPr>
                    <w:t>每月统计一次</w:t>
                  </w:r>
                </w:p>
              </w:tc>
              <w:tc>
                <w:tcPr>
                  <w:tcW w:w="786" w:type="pct"/>
                  <w:vMerge w:val="continue"/>
                  <w:tcBorders>
                    <w:top w:val="nil"/>
                    <w:left w:val="single" w:color="auto" w:sz="4" w:space="0"/>
                  </w:tcBorders>
                  <w:vAlign w:val="center"/>
                </w:tcPr>
                <w:p>
                  <w:pPr>
                    <w:widowControl/>
                    <w:jc w:val="left"/>
                    <w:rPr>
                      <w:color w:val="000000"/>
                      <w:szCs w:val="21"/>
                    </w:rPr>
                  </w:pPr>
                </w:p>
              </w:tc>
            </w:tr>
          </w:tbl>
          <w:p>
            <w:pPr>
              <w:spacing w:line="440" w:lineRule="exact"/>
              <w:ind w:firstLine="482" w:firstLineChars="200"/>
              <w:rPr>
                <w:b/>
                <w:color w:val="000000"/>
                <w:sz w:val="24"/>
              </w:rPr>
            </w:pPr>
            <w:r>
              <w:rPr>
                <w:rFonts w:hint="eastAsia"/>
                <w:b/>
                <w:color w:val="000000"/>
                <w:sz w:val="24"/>
              </w:rPr>
              <w:t>九</w:t>
            </w:r>
            <w:r>
              <w:rPr>
                <w:b/>
                <w:color w:val="000000"/>
                <w:sz w:val="24"/>
              </w:rPr>
              <w:t>、环保投资</w:t>
            </w:r>
          </w:p>
          <w:p>
            <w:pPr>
              <w:spacing w:line="400" w:lineRule="exact"/>
              <w:ind w:firstLine="480" w:firstLineChars="200"/>
              <w:rPr>
                <w:color w:val="000000"/>
                <w:sz w:val="24"/>
              </w:rPr>
            </w:pPr>
            <w:r>
              <w:rPr>
                <w:color w:val="000000"/>
                <w:sz w:val="24"/>
              </w:rPr>
              <w:t>该项目环保投资</w:t>
            </w:r>
            <w:r>
              <w:rPr>
                <w:rFonts w:hint="eastAsia"/>
                <w:color w:val="000000"/>
                <w:sz w:val="24"/>
                <w:lang w:val="en-US" w:eastAsia="zh-CN"/>
              </w:rPr>
              <w:t>9.5</w:t>
            </w:r>
            <w:r>
              <w:rPr>
                <w:color w:val="000000"/>
                <w:sz w:val="24"/>
              </w:rPr>
              <w:t>万元，占本项目总投资</w:t>
            </w:r>
            <w:r>
              <w:rPr>
                <w:rFonts w:hint="eastAsia"/>
                <w:color w:val="000000"/>
                <w:sz w:val="24"/>
                <w:lang w:val="en-US" w:eastAsia="zh-CN"/>
              </w:rPr>
              <w:t>3500</w:t>
            </w:r>
            <w:r>
              <w:rPr>
                <w:color w:val="000000"/>
                <w:sz w:val="24"/>
              </w:rPr>
              <w:t>万元的的</w:t>
            </w:r>
            <w:r>
              <w:rPr>
                <w:rFonts w:hint="eastAsia"/>
                <w:color w:val="000000"/>
                <w:sz w:val="24"/>
              </w:rPr>
              <w:t>0.</w:t>
            </w:r>
            <w:r>
              <w:rPr>
                <w:rFonts w:hint="eastAsia"/>
                <w:color w:val="000000"/>
                <w:sz w:val="24"/>
                <w:lang w:val="en-US" w:eastAsia="zh-CN"/>
              </w:rPr>
              <w:t>27</w:t>
            </w:r>
            <w:r>
              <w:rPr>
                <w:color w:val="000000"/>
                <w:sz w:val="24"/>
              </w:rPr>
              <w:t>%，具体见</w:t>
            </w:r>
            <w:r>
              <w:rPr>
                <w:rFonts w:hint="eastAsia"/>
                <w:color w:val="000000"/>
                <w:sz w:val="24"/>
              </w:rPr>
              <w:t>下</w:t>
            </w:r>
            <w:r>
              <w:rPr>
                <w:color w:val="000000"/>
                <w:sz w:val="24"/>
              </w:rPr>
              <w:t>表：</w:t>
            </w:r>
          </w:p>
          <w:p>
            <w:pPr>
              <w:spacing w:line="400" w:lineRule="exact"/>
              <w:jc w:val="center"/>
              <w:rPr>
                <w:b/>
                <w:bCs/>
                <w:color w:val="000000"/>
                <w:kern w:val="0"/>
                <w:sz w:val="24"/>
              </w:rPr>
            </w:pPr>
            <w:r>
              <w:rPr>
                <w:b/>
                <w:bCs/>
                <w:color w:val="000000"/>
                <w:sz w:val="24"/>
              </w:rPr>
              <w:t>表4-</w:t>
            </w:r>
            <w:r>
              <w:rPr>
                <w:rFonts w:hint="eastAsia"/>
                <w:b/>
                <w:bCs/>
                <w:color w:val="000000"/>
                <w:sz w:val="24"/>
                <w:lang w:val="en-US" w:eastAsia="zh-CN"/>
              </w:rPr>
              <w:t>12</w:t>
            </w:r>
            <w:r>
              <w:rPr>
                <w:b/>
                <w:bCs/>
                <w:color w:val="000000"/>
                <w:sz w:val="24"/>
              </w:rPr>
              <w:t xml:space="preserve"> </w:t>
            </w:r>
            <w:r>
              <w:rPr>
                <w:b/>
                <w:bCs/>
                <w:color w:val="000000"/>
                <w:kern w:val="0"/>
                <w:sz w:val="24"/>
              </w:rPr>
              <w:t>建设项目环保措施投资一览表  单位：万元</w:t>
            </w:r>
          </w:p>
          <w:tbl>
            <w:tblPr>
              <w:tblStyle w:val="26"/>
              <w:tblW w:w="5000" w:type="pct"/>
              <w:jc w:val="center"/>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99"/>
              <w:gridCol w:w="4223"/>
              <w:gridCol w:w="530"/>
              <w:gridCol w:w="2206"/>
            </w:tblGrid>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24" w:hRule="atLeast"/>
                <w:jc w:val="center"/>
              </w:trPr>
              <w:tc>
                <w:tcPr>
                  <w:tcW w:w="572" w:type="pct"/>
                  <w:tcBorders>
                    <w:top w:val="single" w:color="auto" w:sz="8" w:space="0"/>
                    <w:left w:val="nil"/>
                    <w:bottom w:val="single" w:color="auto" w:sz="4" w:space="0"/>
                    <w:right w:val="single" w:color="auto" w:sz="4" w:space="0"/>
                  </w:tcBorders>
                  <w:vAlign w:val="center"/>
                </w:tcPr>
                <w:p>
                  <w:pPr>
                    <w:spacing w:line="340" w:lineRule="exact"/>
                    <w:jc w:val="center"/>
                    <w:rPr>
                      <w:rFonts w:hint="eastAsia" w:eastAsia="宋体"/>
                      <w:b/>
                      <w:color w:val="000000"/>
                      <w:szCs w:val="21"/>
                      <w:lang w:eastAsia="zh-CN"/>
                    </w:rPr>
                  </w:pPr>
                  <w:r>
                    <w:rPr>
                      <w:rFonts w:hint="eastAsia"/>
                      <w:b/>
                      <w:color w:val="000000"/>
                      <w:szCs w:val="21"/>
                      <w:lang w:val="en-US" w:eastAsia="zh-CN"/>
                    </w:rPr>
                    <w:t>污染源</w:t>
                  </w:r>
                </w:p>
              </w:tc>
              <w:tc>
                <w:tcPr>
                  <w:tcW w:w="2687" w:type="pct"/>
                  <w:tcBorders>
                    <w:top w:val="single" w:color="auto" w:sz="8" w:space="0"/>
                    <w:left w:val="single" w:color="auto" w:sz="4" w:space="0"/>
                    <w:bottom w:val="single" w:color="auto" w:sz="4" w:space="0"/>
                    <w:right w:val="single" w:color="auto" w:sz="4" w:space="0"/>
                  </w:tcBorders>
                  <w:vAlign w:val="center"/>
                </w:tcPr>
                <w:p>
                  <w:pPr>
                    <w:spacing w:line="340" w:lineRule="exact"/>
                    <w:jc w:val="center"/>
                    <w:rPr>
                      <w:rFonts w:hint="default" w:eastAsia="宋体"/>
                      <w:b/>
                      <w:color w:val="000000"/>
                      <w:szCs w:val="21"/>
                      <w:lang w:val="en-US" w:eastAsia="zh-CN"/>
                    </w:rPr>
                  </w:pPr>
                  <w:r>
                    <w:rPr>
                      <w:rFonts w:hint="eastAsia"/>
                      <w:b/>
                      <w:color w:val="000000"/>
                      <w:szCs w:val="21"/>
                      <w:lang w:val="en-US" w:eastAsia="zh-CN"/>
                    </w:rPr>
                    <w:t>处理设施名称</w:t>
                  </w:r>
                </w:p>
              </w:tc>
              <w:tc>
                <w:tcPr>
                  <w:tcW w:w="337" w:type="pct"/>
                  <w:tcBorders>
                    <w:top w:val="single" w:color="auto" w:sz="8" w:space="0"/>
                    <w:left w:val="single" w:color="auto" w:sz="4" w:space="0"/>
                    <w:bottom w:val="single" w:color="auto" w:sz="4" w:space="0"/>
                    <w:right w:val="nil"/>
                  </w:tcBorders>
                  <w:vAlign w:val="center"/>
                </w:tcPr>
                <w:p>
                  <w:pPr>
                    <w:spacing w:line="340" w:lineRule="exact"/>
                    <w:ind w:left="-108" w:right="-108"/>
                    <w:jc w:val="center"/>
                    <w:rPr>
                      <w:b/>
                      <w:color w:val="000000"/>
                      <w:szCs w:val="21"/>
                    </w:rPr>
                  </w:pPr>
                  <w:r>
                    <w:rPr>
                      <w:b/>
                      <w:color w:val="000000"/>
                      <w:szCs w:val="21"/>
                    </w:rPr>
                    <w:t>投资</w:t>
                  </w:r>
                </w:p>
              </w:tc>
              <w:tc>
                <w:tcPr>
                  <w:tcW w:w="1403" w:type="pct"/>
                  <w:tcBorders>
                    <w:top w:val="single" w:color="auto" w:sz="8" w:space="0"/>
                    <w:left w:val="single" w:color="auto" w:sz="4" w:space="0"/>
                    <w:bottom w:val="single" w:color="auto" w:sz="4" w:space="0"/>
                    <w:right w:val="nil"/>
                  </w:tcBorders>
                  <w:vAlign w:val="center"/>
                </w:tcPr>
                <w:p>
                  <w:pPr>
                    <w:spacing w:line="340" w:lineRule="exact"/>
                    <w:ind w:left="-108" w:right="-108"/>
                    <w:jc w:val="center"/>
                    <w:rPr>
                      <w:b/>
                      <w:color w:val="000000"/>
                      <w:szCs w:val="21"/>
                    </w:rPr>
                  </w:pPr>
                  <w:r>
                    <w:rPr>
                      <w:rFonts w:ascii="Times New Roman" w:hAnsi="Times New Roman"/>
                      <w:szCs w:val="21"/>
                    </w:rPr>
                    <w:t>治理效果</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46" w:hRule="atLeast"/>
                <w:jc w:val="center"/>
              </w:trPr>
              <w:tc>
                <w:tcPr>
                  <w:tcW w:w="572" w:type="pct"/>
                  <w:tcBorders>
                    <w:top w:val="single" w:color="auto" w:sz="4" w:space="0"/>
                    <w:left w:val="nil"/>
                    <w:bottom w:val="single" w:color="auto" w:sz="4" w:space="0"/>
                    <w:right w:val="single" w:color="auto" w:sz="4" w:space="0"/>
                  </w:tcBorders>
                  <w:vAlign w:val="center"/>
                </w:tcPr>
                <w:p>
                  <w:pPr>
                    <w:spacing w:line="340" w:lineRule="exact"/>
                    <w:ind w:left="-63" w:leftChars="-30" w:right="-63" w:rightChars="-30"/>
                    <w:jc w:val="center"/>
                    <w:rPr>
                      <w:rFonts w:hint="eastAsia" w:eastAsia="宋体"/>
                      <w:color w:val="000000"/>
                      <w:szCs w:val="21"/>
                      <w:lang w:eastAsia="zh-CN"/>
                    </w:rPr>
                  </w:pPr>
                  <w:r>
                    <w:rPr>
                      <w:color w:val="000000"/>
                      <w:szCs w:val="21"/>
                    </w:rPr>
                    <w:t>噪声</w:t>
                  </w:r>
                  <w:r>
                    <w:rPr>
                      <w:rFonts w:hint="eastAsia"/>
                      <w:color w:val="000000"/>
                      <w:szCs w:val="21"/>
                      <w:lang w:val="en-US" w:eastAsia="zh-CN"/>
                    </w:rPr>
                    <w:t>治理</w:t>
                  </w:r>
                </w:p>
              </w:tc>
              <w:tc>
                <w:tcPr>
                  <w:tcW w:w="2687" w:type="pct"/>
                  <w:tcBorders>
                    <w:top w:val="single" w:color="auto" w:sz="4" w:space="0"/>
                    <w:left w:val="single" w:color="auto" w:sz="4" w:space="0"/>
                    <w:bottom w:val="single" w:color="auto" w:sz="4" w:space="0"/>
                    <w:right w:val="single" w:color="auto" w:sz="4" w:space="0"/>
                  </w:tcBorders>
                  <w:vAlign w:val="center"/>
                </w:tcPr>
                <w:p>
                  <w:pPr>
                    <w:spacing w:line="340" w:lineRule="exact"/>
                    <w:ind w:left="-82" w:leftChars="-39" w:right="-189" w:rightChars="-90"/>
                    <w:jc w:val="center"/>
                    <w:rPr>
                      <w:color w:val="000000"/>
                      <w:szCs w:val="21"/>
                    </w:rPr>
                  </w:pPr>
                  <w:r>
                    <w:rPr>
                      <w:rFonts w:ascii="Times New Roman" w:hAnsi="Times New Roman" w:cs="Times New Roman"/>
                      <w:szCs w:val="21"/>
                    </w:rPr>
                    <w:t>优选低噪设备；设隔声、减震基座等</w:t>
                  </w:r>
                  <w:r>
                    <w:rPr>
                      <w:rFonts w:hint="eastAsia" w:ascii="Times New Roman" w:hAnsi="Times New Roman" w:cs="Times New Roman"/>
                      <w:szCs w:val="21"/>
                    </w:rPr>
                    <w:t>；加强厂区绿化；运输车辆不得超载超速，路过敏感点禁止鸣笛</w:t>
                  </w:r>
                </w:p>
              </w:tc>
              <w:tc>
                <w:tcPr>
                  <w:tcW w:w="337" w:type="pct"/>
                  <w:tcBorders>
                    <w:top w:val="single" w:color="auto" w:sz="4" w:space="0"/>
                    <w:left w:val="single" w:color="auto" w:sz="4" w:space="0"/>
                    <w:bottom w:val="single" w:color="auto" w:sz="4" w:space="0"/>
                    <w:right w:val="nil"/>
                  </w:tcBorders>
                  <w:vAlign w:val="center"/>
                </w:tcPr>
                <w:p>
                  <w:pPr>
                    <w:spacing w:line="340" w:lineRule="exact"/>
                    <w:jc w:val="center"/>
                    <w:rPr>
                      <w:rFonts w:hint="eastAsia" w:eastAsia="宋体"/>
                      <w:color w:val="000000"/>
                      <w:szCs w:val="21"/>
                      <w:lang w:eastAsia="zh-CN"/>
                    </w:rPr>
                  </w:pPr>
                  <w:r>
                    <w:rPr>
                      <w:rFonts w:hint="eastAsia"/>
                      <w:color w:val="000000"/>
                      <w:szCs w:val="21"/>
                      <w:lang w:val="en-US" w:eastAsia="zh-CN"/>
                    </w:rPr>
                    <w:t>3</w:t>
                  </w:r>
                </w:p>
              </w:tc>
              <w:tc>
                <w:tcPr>
                  <w:tcW w:w="1403" w:type="pct"/>
                  <w:tcBorders>
                    <w:top w:val="single" w:color="auto" w:sz="4" w:space="0"/>
                    <w:left w:val="single" w:color="auto" w:sz="4" w:space="0"/>
                    <w:bottom w:val="single" w:color="auto" w:sz="4" w:space="0"/>
                    <w:right w:val="nil"/>
                  </w:tcBorders>
                  <w:vAlign w:val="center"/>
                </w:tcPr>
                <w:p>
                  <w:pPr>
                    <w:spacing w:line="340" w:lineRule="exact"/>
                    <w:jc w:val="center"/>
                    <w:rPr>
                      <w:rFonts w:hint="eastAsia"/>
                      <w:color w:val="000000"/>
                      <w:szCs w:val="21"/>
                      <w:lang w:val="en-US" w:eastAsia="zh-CN"/>
                    </w:rPr>
                  </w:pPr>
                  <w:r>
                    <w:rPr>
                      <w:rFonts w:ascii="Times New Roman" w:hAnsi="Times New Roman"/>
                      <w:szCs w:val="22"/>
                    </w:rPr>
                    <w:t>满足《建筑施工场界环境噪声排放标准（GB12523-2011）中相关标准</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46" w:hRule="atLeast"/>
                <w:jc w:val="center"/>
              </w:trPr>
              <w:tc>
                <w:tcPr>
                  <w:tcW w:w="572" w:type="pct"/>
                  <w:vMerge w:val="restart"/>
                  <w:tcBorders>
                    <w:top w:val="single" w:color="auto" w:sz="4" w:space="0"/>
                    <w:left w:val="nil"/>
                    <w:bottom w:val="single" w:color="auto" w:sz="4" w:space="0"/>
                    <w:right w:val="single" w:color="auto" w:sz="4" w:space="0"/>
                  </w:tcBorders>
                  <w:vAlign w:val="center"/>
                </w:tcPr>
                <w:p>
                  <w:pPr>
                    <w:spacing w:line="340" w:lineRule="exact"/>
                    <w:jc w:val="center"/>
                    <w:rPr>
                      <w:rFonts w:hint="eastAsia" w:eastAsia="宋体"/>
                      <w:color w:val="000000"/>
                      <w:szCs w:val="21"/>
                      <w:lang w:val="en-US" w:eastAsia="zh-CN"/>
                    </w:rPr>
                  </w:pPr>
                  <w:r>
                    <w:rPr>
                      <w:color w:val="000000"/>
                      <w:szCs w:val="21"/>
                    </w:rPr>
                    <w:t>固废</w:t>
                  </w:r>
                  <w:r>
                    <w:rPr>
                      <w:rFonts w:hint="eastAsia"/>
                      <w:color w:val="000000"/>
                      <w:szCs w:val="21"/>
                      <w:lang w:val="en-US" w:eastAsia="zh-CN"/>
                    </w:rPr>
                    <w:t>处理</w:t>
                  </w:r>
                </w:p>
              </w:tc>
              <w:tc>
                <w:tcPr>
                  <w:tcW w:w="2687" w:type="pct"/>
                  <w:tcBorders>
                    <w:top w:val="single" w:color="auto" w:sz="4" w:space="0"/>
                    <w:left w:val="single" w:color="auto" w:sz="4" w:space="0"/>
                    <w:bottom w:val="single" w:color="auto" w:sz="4" w:space="0"/>
                    <w:right w:val="single" w:color="auto" w:sz="4" w:space="0"/>
                  </w:tcBorders>
                  <w:vAlign w:val="center"/>
                </w:tcPr>
                <w:p>
                  <w:pPr>
                    <w:spacing w:line="340" w:lineRule="exact"/>
                    <w:jc w:val="center"/>
                    <w:rPr>
                      <w:color w:val="000000"/>
                      <w:szCs w:val="21"/>
                    </w:rPr>
                  </w:pPr>
                  <w:r>
                    <w:rPr>
                      <w:rFonts w:hint="eastAsia"/>
                      <w:color w:val="000000"/>
                      <w:szCs w:val="21"/>
                    </w:rPr>
                    <w:t>建设</w:t>
                  </w:r>
                  <w:r>
                    <w:rPr>
                      <w:color w:val="000000"/>
                      <w:szCs w:val="21"/>
                    </w:rPr>
                    <w:t>危废暂存间（</w:t>
                  </w:r>
                  <w:r>
                    <w:rPr>
                      <w:rFonts w:hint="eastAsia"/>
                      <w:color w:val="000000"/>
                      <w:szCs w:val="21"/>
                    </w:rPr>
                    <w:t>1</w:t>
                  </w:r>
                  <w:r>
                    <w:rPr>
                      <w:rFonts w:hint="eastAsia"/>
                      <w:color w:val="000000"/>
                      <w:szCs w:val="21"/>
                      <w:lang w:val="en-US" w:eastAsia="zh-CN"/>
                    </w:rPr>
                    <w:t>0</w:t>
                  </w:r>
                  <w:r>
                    <w:rPr>
                      <w:color w:val="000000"/>
                      <w:szCs w:val="21"/>
                    </w:rPr>
                    <w:t>m</w:t>
                  </w:r>
                  <w:r>
                    <w:rPr>
                      <w:color w:val="000000"/>
                      <w:szCs w:val="21"/>
                      <w:vertAlign w:val="superscript"/>
                    </w:rPr>
                    <w:t>2</w:t>
                  </w:r>
                  <w:r>
                    <w:rPr>
                      <w:color w:val="000000"/>
                      <w:szCs w:val="21"/>
                    </w:rPr>
                    <w:t>），并采取防雨、防腐、防渗等处理，危废收集后委托有危废处置资质的单位进行处理</w:t>
                  </w:r>
                </w:p>
              </w:tc>
              <w:tc>
                <w:tcPr>
                  <w:tcW w:w="337" w:type="pct"/>
                  <w:tcBorders>
                    <w:top w:val="single" w:color="auto" w:sz="4" w:space="0"/>
                    <w:left w:val="single" w:color="auto" w:sz="4" w:space="0"/>
                    <w:bottom w:val="single" w:color="auto" w:sz="4" w:space="0"/>
                    <w:right w:val="nil"/>
                  </w:tcBorders>
                  <w:vAlign w:val="center"/>
                </w:tcPr>
                <w:p>
                  <w:pPr>
                    <w:spacing w:line="340" w:lineRule="exact"/>
                    <w:jc w:val="center"/>
                    <w:rPr>
                      <w:rFonts w:hint="eastAsia" w:eastAsia="宋体"/>
                      <w:color w:val="000000"/>
                      <w:szCs w:val="21"/>
                      <w:lang w:eastAsia="zh-CN"/>
                    </w:rPr>
                  </w:pPr>
                  <w:r>
                    <w:rPr>
                      <w:rFonts w:hint="eastAsia"/>
                      <w:color w:val="000000"/>
                      <w:szCs w:val="21"/>
                      <w:lang w:val="en-US" w:eastAsia="zh-CN"/>
                    </w:rPr>
                    <w:t>1</w:t>
                  </w:r>
                </w:p>
              </w:tc>
              <w:tc>
                <w:tcPr>
                  <w:tcW w:w="1403" w:type="pct"/>
                  <w:tcBorders>
                    <w:top w:val="single" w:color="auto" w:sz="4" w:space="0"/>
                    <w:left w:val="single" w:color="auto" w:sz="4" w:space="0"/>
                    <w:bottom w:val="single" w:color="auto" w:sz="4" w:space="0"/>
                    <w:right w:val="nil"/>
                  </w:tcBorders>
                  <w:vAlign w:val="center"/>
                </w:tcPr>
                <w:p>
                  <w:pPr>
                    <w:spacing w:line="340" w:lineRule="exact"/>
                    <w:jc w:val="center"/>
                    <w:rPr>
                      <w:rFonts w:hint="eastAsia"/>
                      <w:color w:val="000000"/>
                      <w:szCs w:val="21"/>
                      <w:lang w:val="en-US" w:eastAsia="zh-CN"/>
                    </w:rPr>
                  </w:pPr>
                  <w:r>
                    <w:rPr>
                      <w:rFonts w:ascii="Times New Roman" w:hAnsi="Times New Roman"/>
                      <w:szCs w:val="22"/>
                    </w:rPr>
                    <w:t>符合危废暂存场所建设要求</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09" w:hRule="atLeast"/>
                <w:jc w:val="center"/>
              </w:trPr>
              <w:tc>
                <w:tcPr>
                  <w:tcW w:w="572" w:type="pct"/>
                  <w:vMerge w:val="continue"/>
                  <w:tcBorders>
                    <w:top w:val="single" w:color="auto" w:sz="4" w:space="0"/>
                    <w:left w:val="nil"/>
                    <w:bottom w:val="single" w:color="auto" w:sz="4" w:space="0"/>
                    <w:right w:val="single" w:color="auto" w:sz="4" w:space="0"/>
                  </w:tcBorders>
                  <w:vAlign w:val="center"/>
                </w:tcPr>
                <w:p>
                  <w:pPr>
                    <w:widowControl/>
                    <w:jc w:val="center"/>
                    <w:rPr>
                      <w:color w:val="000000"/>
                      <w:szCs w:val="21"/>
                    </w:rPr>
                  </w:pPr>
                </w:p>
              </w:tc>
              <w:tc>
                <w:tcPr>
                  <w:tcW w:w="2687" w:type="pct"/>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hint="eastAsia" w:eastAsia="宋体"/>
                      <w:color w:val="000000"/>
                      <w:szCs w:val="21"/>
                      <w:lang w:eastAsia="zh-CN"/>
                    </w:rPr>
                  </w:pPr>
                  <w:r>
                    <w:rPr>
                      <w:color w:val="000000"/>
                      <w:szCs w:val="21"/>
                    </w:rPr>
                    <w:t>收集后暂存一般固废暂存场所</w:t>
                  </w:r>
                  <w:r>
                    <w:rPr>
                      <w:rFonts w:hint="eastAsia"/>
                      <w:color w:val="000000"/>
                      <w:szCs w:val="21"/>
                    </w:rPr>
                    <w:t>（依托）</w:t>
                  </w:r>
                  <w:r>
                    <w:rPr>
                      <w:color w:val="000000"/>
                      <w:szCs w:val="21"/>
                    </w:rPr>
                    <w:t>，</w:t>
                  </w:r>
                  <w:r>
                    <w:rPr>
                      <w:rFonts w:hint="eastAsia"/>
                      <w:color w:val="000000"/>
                      <w:szCs w:val="21"/>
                      <w:lang w:val="en-US" w:eastAsia="zh-CN"/>
                    </w:rPr>
                    <w:t>外售</w:t>
                  </w:r>
                </w:p>
              </w:tc>
              <w:tc>
                <w:tcPr>
                  <w:tcW w:w="337" w:type="pct"/>
                  <w:tcBorders>
                    <w:top w:val="single" w:color="auto" w:sz="4" w:space="0"/>
                    <w:left w:val="single" w:color="auto" w:sz="4" w:space="0"/>
                    <w:bottom w:val="single" w:color="auto" w:sz="4" w:space="0"/>
                    <w:right w:val="nil"/>
                  </w:tcBorders>
                  <w:vAlign w:val="center"/>
                </w:tcPr>
                <w:p>
                  <w:pPr>
                    <w:spacing w:line="340" w:lineRule="exact"/>
                    <w:jc w:val="center"/>
                    <w:rPr>
                      <w:color w:val="000000"/>
                      <w:szCs w:val="21"/>
                    </w:rPr>
                  </w:pPr>
                  <w:r>
                    <w:rPr>
                      <w:rFonts w:hint="eastAsia"/>
                      <w:color w:val="000000"/>
                      <w:szCs w:val="21"/>
                    </w:rPr>
                    <w:t>0</w:t>
                  </w:r>
                </w:p>
              </w:tc>
              <w:tc>
                <w:tcPr>
                  <w:tcW w:w="1403" w:type="pct"/>
                  <w:tcBorders>
                    <w:top w:val="single" w:color="auto" w:sz="4" w:space="0"/>
                    <w:left w:val="single" w:color="auto" w:sz="4" w:space="0"/>
                    <w:bottom w:val="single" w:color="auto" w:sz="4" w:space="0"/>
                    <w:right w:val="nil"/>
                  </w:tcBorders>
                  <w:vAlign w:val="center"/>
                </w:tcPr>
                <w:p>
                  <w:pPr>
                    <w:spacing w:line="340" w:lineRule="exact"/>
                    <w:jc w:val="center"/>
                    <w:rPr>
                      <w:rFonts w:hint="eastAsia"/>
                      <w:color w:val="000000"/>
                      <w:szCs w:val="21"/>
                    </w:rPr>
                  </w:pPr>
                  <w:r>
                    <w:rPr>
                      <w:rFonts w:ascii="Times New Roman" w:hAnsi="Times New Roman"/>
                      <w:szCs w:val="21"/>
                    </w:rPr>
                    <w:t>符合环境卫生管理要求</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79" w:hRule="atLeast"/>
                <w:jc w:val="center"/>
              </w:trPr>
              <w:tc>
                <w:tcPr>
                  <w:tcW w:w="572" w:type="pct"/>
                  <w:tcBorders>
                    <w:top w:val="single" w:color="auto" w:sz="4" w:space="0"/>
                    <w:left w:val="nil"/>
                    <w:bottom w:val="single" w:color="auto" w:sz="4" w:space="0"/>
                    <w:right w:val="single" w:color="auto" w:sz="4" w:space="0"/>
                  </w:tcBorders>
                  <w:vAlign w:val="center"/>
                </w:tcPr>
                <w:p>
                  <w:pPr>
                    <w:snapToGrid w:val="0"/>
                    <w:ind w:left="-63" w:leftChars="-30" w:right="-63" w:rightChars="-30"/>
                    <w:jc w:val="center"/>
                    <w:rPr>
                      <w:rFonts w:hint="default"/>
                      <w:color w:val="000000"/>
                      <w:szCs w:val="21"/>
                      <w:lang w:val="en-US" w:eastAsia="zh-CN"/>
                    </w:rPr>
                  </w:pPr>
                  <w:r>
                    <w:rPr>
                      <w:rFonts w:hint="eastAsia"/>
                      <w:color w:val="000000"/>
                      <w:szCs w:val="21"/>
                      <w:lang w:val="en-US" w:eastAsia="zh-CN"/>
                    </w:rPr>
                    <w:t>粉尘处理</w:t>
                  </w:r>
                </w:p>
              </w:tc>
              <w:tc>
                <w:tcPr>
                  <w:tcW w:w="2687" w:type="pct"/>
                  <w:tcBorders>
                    <w:top w:val="single" w:color="auto" w:sz="4" w:space="0"/>
                    <w:left w:val="single" w:color="auto" w:sz="4" w:space="0"/>
                    <w:bottom w:val="single" w:color="auto" w:sz="4" w:space="0"/>
                    <w:right w:val="single" w:color="auto" w:sz="4" w:space="0"/>
                  </w:tcBorders>
                  <w:vAlign w:val="center"/>
                </w:tcPr>
                <w:p>
                  <w:pPr>
                    <w:adjustRightInd w:val="0"/>
                    <w:snapToGrid w:val="0"/>
                    <w:ind w:left="-63" w:leftChars="-30" w:right="-63" w:rightChars="-30"/>
                    <w:jc w:val="center"/>
                    <w:rPr>
                      <w:rFonts w:hint="default"/>
                      <w:color w:val="000000"/>
                      <w:szCs w:val="21"/>
                      <w:lang w:val="en-US" w:eastAsia="zh-CN"/>
                    </w:rPr>
                  </w:pPr>
                  <w:r>
                    <w:rPr>
                      <w:rFonts w:hint="eastAsia"/>
                      <w:color w:val="000000"/>
                      <w:szCs w:val="21"/>
                      <w:lang w:val="en-US" w:eastAsia="zh-CN"/>
                    </w:rPr>
                    <w:t>原料喷淋、堆场及车间喷淋</w:t>
                  </w:r>
                </w:p>
              </w:tc>
              <w:tc>
                <w:tcPr>
                  <w:tcW w:w="337" w:type="pct"/>
                  <w:tcBorders>
                    <w:top w:val="single" w:color="auto" w:sz="4" w:space="0"/>
                    <w:left w:val="single" w:color="auto" w:sz="4" w:space="0"/>
                    <w:bottom w:val="single" w:color="auto" w:sz="4" w:space="0"/>
                    <w:right w:val="nil"/>
                  </w:tcBorders>
                  <w:vAlign w:val="center"/>
                </w:tcPr>
                <w:p>
                  <w:pPr>
                    <w:spacing w:line="340" w:lineRule="exact"/>
                    <w:jc w:val="center"/>
                    <w:rPr>
                      <w:rFonts w:hint="default"/>
                      <w:color w:val="000000"/>
                      <w:szCs w:val="21"/>
                      <w:lang w:val="en-US" w:eastAsia="zh-CN"/>
                    </w:rPr>
                  </w:pPr>
                  <w:r>
                    <w:rPr>
                      <w:rFonts w:hint="eastAsia"/>
                      <w:color w:val="000000"/>
                      <w:szCs w:val="21"/>
                      <w:lang w:val="en-US" w:eastAsia="zh-CN"/>
                    </w:rPr>
                    <w:t>4</w:t>
                  </w:r>
                </w:p>
              </w:tc>
              <w:tc>
                <w:tcPr>
                  <w:tcW w:w="1403" w:type="pct"/>
                  <w:tcBorders>
                    <w:top w:val="single" w:color="auto" w:sz="4" w:space="0"/>
                    <w:left w:val="single" w:color="auto" w:sz="4" w:space="0"/>
                    <w:bottom w:val="single" w:color="auto" w:sz="4" w:space="0"/>
                    <w:right w:val="nil"/>
                  </w:tcBorders>
                  <w:vAlign w:val="center"/>
                </w:tcPr>
                <w:p>
                  <w:pPr>
                    <w:spacing w:line="340" w:lineRule="exact"/>
                    <w:jc w:val="center"/>
                    <w:rPr>
                      <w:rFonts w:hint="default" w:ascii="Times New Roman" w:hAnsi="Times New Roman" w:eastAsia="宋体"/>
                      <w:szCs w:val="21"/>
                      <w:lang w:val="en-US" w:eastAsia="zh-CN"/>
                    </w:rPr>
                  </w:pPr>
                  <w:r>
                    <w:rPr>
                      <w:rFonts w:hint="eastAsia"/>
                      <w:szCs w:val="21"/>
                      <w:lang w:val="en-US" w:eastAsia="zh-CN"/>
                    </w:rPr>
                    <w:t>降低粉尘排放</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94" w:hRule="atLeast"/>
                <w:jc w:val="center"/>
              </w:trPr>
              <w:tc>
                <w:tcPr>
                  <w:tcW w:w="572" w:type="pct"/>
                  <w:tcBorders>
                    <w:top w:val="single" w:color="auto" w:sz="4" w:space="0"/>
                    <w:left w:val="nil"/>
                    <w:bottom w:val="single" w:color="auto" w:sz="4" w:space="0"/>
                    <w:right w:val="single" w:color="auto" w:sz="4" w:space="0"/>
                  </w:tcBorders>
                  <w:vAlign w:val="center"/>
                </w:tcPr>
                <w:p>
                  <w:pPr>
                    <w:snapToGrid w:val="0"/>
                    <w:ind w:left="-63" w:leftChars="-30" w:right="-63" w:rightChars="-30"/>
                    <w:jc w:val="center"/>
                    <w:rPr>
                      <w:rFonts w:hint="default" w:eastAsia="宋体"/>
                      <w:color w:val="000000"/>
                      <w:szCs w:val="21"/>
                      <w:lang w:val="en-US" w:eastAsia="zh-CN"/>
                    </w:rPr>
                  </w:pPr>
                  <w:r>
                    <w:rPr>
                      <w:rFonts w:hint="eastAsia"/>
                      <w:color w:val="000000"/>
                      <w:szCs w:val="21"/>
                      <w:lang w:val="en-US" w:eastAsia="zh-CN"/>
                    </w:rPr>
                    <w:t>污水处理与收集</w:t>
                  </w:r>
                </w:p>
              </w:tc>
              <w:tc>
                <w:tcPr>
                  <w:tcW w:w="2687" w:type="pct"/>
                  <w:tcBorders>
                    <w:top w:val="single" w:color="auto" w:sz="4" w:space="0"/>
                    <w:left w:val="single" w:color="auto" w:sz="4" w:space="0"/>
                    <w:bottom w:val="single" w:color="auto" w:sz="4" w:space="0"/>
                    <w:right w:val="single" w:color="auto" w:sz="4" w:space="0"/>
                  </w:tcBorders>
                  <w:vAlign w:val="center"/>
                </w:tcPr>
                <w:p>
                  <w:pPr>
                    <w:adjustRightInd w:val="0"/>
                    <w:snapToGrid w:val="0"/>
                    <w:ind w:left="-63" w:leftChars="-30" w:right="-63" w:rightChars="-30"/>
                    <w:jc w:val="center"/>
                    <w:rPr>
                      <w:rFonts w:hint="default" w:eastAsia="宋体"/>
                      <w:color w:val="000000"/>
                      <w:szCs w:val="21"/>
                      <w:lang w:val="en-US" w:eastAsia="zh-CN"/>
                    </w:rPr>
                  </w:pPr>
                  <w:r>
                    <w:rPr>
                      <w:rFonts w:hint="eastAsia"/>
                      <w:color w:val="000000"/>
                      <w:szCs w:val="21"/>
                      <w:lang w:val="en-US" w:eastAsia="zh-CN"/>
                    </w:rPr>
                    <w:t>依托现有污水处理系统，铺设污水管道</w:t>
                  </w:r>
                </w:p>
              </w:tc>
              <w:tc>
                <w:tcPr>
                  <w:tcW w:w="337" w:type="pct"/>
                  <w:tcBorders>
                    <w:top w:val="single" w:color="auto" w:sz="4" w:space="0"/>
                    <w:left w:val="single" w:color="auto" w:sz="4" w:space="0"/>
                    <w:bottom w:val="single" w:color="auto" w:sz="4" w:space="0"/>
                    <w:right w:val="nil"/>
                  </w:tcBorders>
                  <w:vAlign w:val="center"/>
                </w:tcPr>
                <w:p>
                  <w:pPr>
                    <w:spacing w:line="340" w:lineRule="exact"/>
                    <w:jc w:val="center"/>
                    <w:rPr>
                      <w:rFonts w:hint="default" w:eastAsia="宋体"/>
                      <w:color w:val="000000"/>
                      <w:szCs w:val="21"/>
                      <w:lang w:val="en-US" w:eastAsia="zh-CN"/>
                    </w:rPr>
                  </w:pPr>
                  <w:r>
                    <w:rPr>
                      <w:rFonts w:hint="eastAsia"/>
                      <w:color w:val="000000"/>
                      <w:szCs w:val="21"/>
                      <w:lang w:val="en-US" w:eastAsia="zh-CN"/>
                    </w:rPr>
                    <w:t>0.5</w:t>
                  </w:r>
                </w:p>
              </w:tc>
              <w:tc>
                <w:tcPr>
                  <w:tcW w:w="1403" w:type="pct"/>
                  <w:tcBorders>
                    <w:top w:val="single" w:color="auto" w:sz="4" w:space="0"/>
                    <w:left w:val="single" w:color="auto" w:sz="4" w:space="0"/>
                    <w:bottom w:val="single" w:color="auto" w:sz="4" w:space="0"/>
                    <w:right w:val="nil"/>
                  </w:tcBorders>
                  <w:vAlign w:val="center"/>
                </w:tcPr>
                <w:p>
                  <w:pPr>
                    <w:spacing w:line="340" w:lineRule="exact"/>
                    <w:jc w:val="center"/>
                    <w:rPr>
                      <w:rFonts w:hint="eastAsia"/>
                      <w:color w:val="000000"/>
                      <w:szCs w:val="21"/>
                    </w:rPr>
                  </w:pPr>
                  <w:r>
                    <w:rPr>
                      <w:rFonts w:ascii="Times New Roman" w:hAnsi="Times New Roman"/>
                      <w:szCs w:val="21"/>
                    </w:rPr>
                    <w:t>废水不外排</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7" w:hRule="atLeast"/>
                <w:jc w:val="center"/>
              </w:trPr>
              <w:tc>
                <w:tcPr>
                  <w:tcW w:w="572" w:type="pct"/>
                  <w:tcBorders>
                    <w:top w:val="single" w:color="auto" w:sz="4" w:space="0"/>
                    <w:left w:val="nil"/>
                    <w:bottom w:val="single" w:color="auto" w:sz="4" w:space="0"/>
                    <w:right w:val="single" w:color="auto" w:sz="4" w:space="0"/>
                  </w:tcBorders>
                  <w:vAlign w:val="center"/>
                </w:tcPr>
                <w:p>
                  <w:pPr>
                    <w:snapToGrid w:val="0"/>
                    <w:ind w:left="-63" w:leftChars="-30" w:right="-63" w:rightChars="-30"/>
                    <w:jc w:val="center"/>
                    <w:rPr>
                      <w:color w:val="000000"/>
                      <w:szCs w:val="21"/>
                    </w:rPr>
                  </w:pPr>
                  <w:r>
                    <w:rPr>
                      <w:color w:val="000000"/>
                      <w:szCs w:val="21"/>
                    </w:rPr>
                    <w:t>地下水</w:t>
                  </w:r>
                </w:p>
              </w:tc>
              <w:tc>
                <w:tcPr>
                  <w:tcW w:w="2687" w:type="pct"/>
                  <w:tcBorders>
                    <w:top w:val="single" w:color="auto" w:sz="4" w:space="0"/>
                    <w:left w:val="single" w:color="auto" w:sz="4" w:space="0"/>
                    <w:bottom w:val="single" w:color="auto" w:sz="4" w:space="0"/>
                    <w:right w:val="single" w:color="auto" w:sz="4" w:space="0"/>
                  </w:tcBorders>
                  <w:vAlign w:val="center"/>
                </w:tcPr>
                <w:p>
                  <w:pPr>
                    <w:adjustRightInd w:val="0"/>
                    <w:snapToGrid w:val="0"/>
                    <w:ind w:left="-63" w:leftChars="-30" w:right="-63" w:rightChars="-30"/>
                    <w:jc w:val="center"/>
                    <w:rPr>
                      <w:color w:val="000000"/>
                      <w:szCs w:val="21"/>
                    </w:rPr>
                  </w:pPr>
                  <w:r>
                    <w:rPr>
                      <w:color w:val="000000"/>
                      <w:szCs w:val="21"/>
                    </w:rPr>
                    <w:t>生产车间一般防渗，危废</w:t>
                  </w:r>
                  <w:r>
                    <w:rPr>
                      <w:rFonts w:hint="eastAsia"/>
                      <w:color w:val="000000"/>
                      <w:szCs w:val="21"/>
                      <w:lang w:val="en-US" w:eastAsia="zh-CN"/>
                    </w:rPr>
                    <w:t>暂存间</w:t>
                  </w:r>
                  <w:r>
                    <w:rPr>
                      <w:rFonts w:hint="eastAsia"/>
                      <w:color w:val="000000"/>
                      <w:szCs w:val="21"/>
                    </w:rPr>
                    <w:t>、</w:t>
                  </w:r>
                  <w:r>
                    <w:rPr>
                      <w:rFonts w:hint="eastAsia"/>
                      <w:color w:val="000000"/>
                      <w:szCs w:val="21"/>
                      <w:lang w:val="en-US" w:eastAsia="zh-CN"/>
                    </w:rPr>
                    <w:t>污水池</w:t>
                  </w:r>
                  <w:r>
                    <w:rPr>
                      <w:color w:val="000000"/>
                      <w:szCs w:val="21"/>
                    </w:rPr>
                    <w:t>重点防渗</w:t>
                  </w:r>
                </w:p>
              </w:tc>
              <w:tc>
                <w:tcPr>
                  <w:tcW w:w="337" w:type="pct"/>
                  <w:tcBorders>
                    <w:top w:val="single" w:color="auto" w:sz="4" w:space="0"/>
                    <w:left w:val="single" w:color="auto" w:sz="4" w:space="0"/>
                    <w:bottom w:val="single" w:color="auto" w:sz="4" w:space="0"/>
                    <w:right w:val="nil"/>
                  </w:tcBorders>
                  <w:vAlign w:val="center"/>
                </w:tcPr>
                <w:p>
                  <w:pPr>
                    <w:spacing w:line="340" w:lineRule="exact"/>
                    <w:jc w:val="center"/>
                    <w:rPr>
                      <w:color w:val="000000"/>
                      <w:szCs w:val="21"/>
                    </w:rPr>
                  </w:pPr>
                  <w:r>
                    <w:rPr>
                      <w:rFonts w:hint="eastAsia"/>
                      <w:color w:val="000000"/>
                      <w:szCs w:val="21"/>
                    </w:rPr>
                    <w:t>1</w:t>
                  </w:r>
                </w:p>
              </w:tc>
              <w:tc>
                <w:tcPr>
                  <w:tcW w:w="1403" w:type="pct"/>
                  <w:tcBorders>
                    <w:top w:val="single" w:color="auto" w:sz="4" w:space="0"/>
                    <w:left w:val="single" w:color="auto" w:sz="4" w:space="0"/>
                    <w:bottom w:val="single" w:color="auto" w:sz="4" w:space="0"/>
                    <w:right w:val="nil"/>
                  </w:tcBorders>
                  <w:vAlign w:val="center"/>
                </w:tcPr>
                <w:p>
                  <w:pPr>
                    <w:spacing w:line="340" w:lineRule="exact"/>
                    <w:jc w:val="center"/>
                    <w:rPr>
                      <w:rFonts w:hint="eastAsia"/>
                      <w:color w:val="000000"/>
                      <w:szCs w:val="21"/>
                    </w:rPr>
                  </w:pP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7" w:hRule="atLeast"/>
                <w:jc w:val="center"/>
              </w:trPr>
              <w:tc>
                <w:tcPr>
                  <w:tcW w:w="3259" w:type="pct"/>
                  <w:gridSpan w:val="2"/>
                  <w:tcBorders>
                    <w:top w:val="single" w:color="auto" w:sz="4" w:space="0"/>
                    <w:left w:val="nil"/>
                    <w:bottom w:val="single" w:color="auto" w:sz="4" w:space="0"/>
                    <w:right w:val="single" w:color="auto" w:sz="4" w:space="0"/>
                  </w:tcBorders>
                  <w:vAlign w:val="center"/>
                </w:tcPr>
                <w:p>
                  <w:pPr>
                    <w:adjustRightInd w:val="0"/>
                    <w:snapToGrid w:val="0"/>
                    <w:ind w:left="-63" w:leftChars="-30" w:right="-63" w:rightChars="-30"/>
                    <w:jc w:val="center"/>
                    <w:rPr>
                      <w:color w:val="000000"/>
                      <w:szCs w:val="21"/>
                    </w:rPr>
                  </w:pPr>
                  <w:r>
                    <w:rPr>
                      <w:rFonts w:hint="eastAsia"/>
                      <w:color w:val="000000"/>
                      <w:szCs w:val="21"/>
                      <w:lang w:val="en-US" w:eastAsia="zh-CN"/>
                    </w:rPr>
                    <w:t>合计</w:t>
                  </w:r>
                </w:p>
              </w:tc>
              <w:tc>
                <w:tcPr>
                  <w:tcW w:w="337" w:type="pct"/>
                  <w:tcBorders>
                    <w:top w:val="single" w:color="auto" w:sz="4" w:space="0"/>
                    <w:left w:val="single" w:color="auto" w:sz="4" w:space="0"/>
                    <w:bottom w:val="single" w:color="auto" w:sz="4" w:space="0"/>
                    <w:right w:val="nil"/>
                  </w:tcBorders>
                  <w:vAlign w:val="center"/>
                </w:tcPr>
                <w:p>
                  <w:pPr>
                    <w:spacing w:line="340" w:lineRule="exact"/>
                    <w:jc w:val="center"/>
                    <w:rPr>
                      <w:rFonts w:hint="default" w:eastAsia="宋体"/>
                      <w:color w:val="000000"/>
                      <w:szCs w:val="21"/>
                      <w:lang w:val="en-US" w:eastAsia="zh-CN"/>
                    </w:rPr>
                  </w:pPr>
                  <w:r>
                    <w:rPr>
                      <w:rFonts w:hint="eastAsia"/>
                      <w:color w:val="000000"/>
                      <w:szCs w:val="21"/>
                      <w:lang w:val="en-US" w:eastAsia="zh-CN"/>
                    </w:rPr>
                    <w:t>9.5</w:t>
                  </w:r>
                </w:p>
              </w:tc>
              <w:tc>
                <w:tcPr>
                  <w:tcW w:w="1403" w:type="pct"/>
                  <w:tcBorders>
                    <w:top w:val="single" w:color="auto" w:sz="4" w:space="0"/>
                    <w:left w:val="single" w:color="auto" w:sz="4" w:space="0"/>
                    <w:bottom w:val="single" w:color="auto" w:sz="4" w:space="0"/>
                    <w:right w:val="nil"/>
                  </w:tcBorders>
                  <w:vAlign w:val="center"/>
                </w:tcPr>
                <w:p>
                  <w:pPr>
                    <w:spacing w:line="340" w:lineRule="exact"/>
                    <w:jc w:val="center"/>
                    <w:rPr>
                      <w:rFonts w:hint="default" w:eastAsia="宋体"/>
                      <w:color w:val="000000"/>
                      <w:szCs w:val="21"/>
                      <w:lang w:val="en-US" w:eastAsia="zh-CN"/>
                    </w:rPr>
                  </w:pPr>
                  <w:r>
                    <w:rPr>
                      <w:rFonts w:hint="eastAsia"/>
                      <w:color w:val="000000"/>
                      <w:szCs w:val="21"/>
                      <w:lang w:val="en-US" w:eastAsia="zh-CN"/>
                    </w:rPr>
                    <w:t>-</w:t>
                  </w:r>
                </w:p>
              </w:tc>
            </w:tr>
          </w:tbl>
          <w:p>
            <w:pPr>
              <w:rPr>
                <w:rFonts w:hint="eastAsia"/>
              </w:rPr>
            </w:pPr>
          </w:p>
          <w:p>
            <w:pPr>
              <w:pStyle w:val="31"/>
              <w:spacing w:line="360" w:lineRule="auto"/>
              <w:ind w:firstLine="482" w:firstLineChars="200"/>
              <w:jc w:val="left"/>
              <w:rPr>
                <w:rFonts w:ascii="Times New Roman" w:hAnsi="Times New Roman" w:cs="Times New Roman"/>
                <w:b/>
                <w:color w:val="000000" w:themeColor="text1"/>
                <w14:textFill>
                  <w14:solidFill>
                    <w14:schemeClr w14:val="tx1"/>
                  </w14:solidFill>
                </w14:textFill>
              </w:rPr>
            </w:pPr>
            <w:r>
              <w:rPr>
                <w:rFonts w:hint="eastAsia" w:ascii="Times New Roman" w:hAnsi="Times New Roman" w:cs="Times New Roman"/>
                <w:b/>
                <w:color w:val="000000" w:themeColor="text1"/>
                <w14:textFill>
                  <w14:solidFill>
                    <w14:schemeClr w14:val="tx1"/>
                  </w14:solidFill>
                </w14:textFill>
              </w:rPr>
              <w:t>十、三本账</w:t>
            </w:r>
          </w:p>
          <w:p>
            <w:pPr>
              <w:pStyle w:val="31"/>
              <w:spacing w:line="360" w:lineRule="auto"/>
              <w:rPr>
                <w:rFonts w:ascii="Times New Roman" w:hAnsi="Times New Roman" w:cs="Times New Roman"/>
                <w:b/>
                <w:color w:val="auto"/>
              </w:rPr>
            </w:pPr>
            <w:r>
              <w:rPr>
                <w:rFonts w:ascii="Times New Roman" w:hAnsi="Times New Roman" w:cs="Times New Roman"/>
                <w:b/>
                <w:color w:val="auto"/>
              </w:rPr>
              <w:t>表</w:t>
            </w:r>
            <w:r>
              <w:rPr>
                <w:rFonts w:hint="eastAsia" w:ascii="Times New Roman" w:hAnsi="Times New Roman" w:cs="Times New Roman"/>
                <w:b/>
                <w:color w:val="auto"/>
              </w:rPr>
              <w:t>4</w:t>
            </w:r>
            <w:r>
              <w:rPr>
                <w:rFonts w:ascii="Times New Roman" w:hAnsi="Times New Roman" w:cs="Times New Roman"/>
                <w:b/>
                <w:color w:val="auto"/>
              </w:rPr>
              <w:t>-</w:t>
            </w:r>
            <w:r>
              <w:rPr>
                <w:rFonts w:hint="eastAsia" w:ascii="Times New Roman" w:hAnsi="Times New Roman" w:cs="Times New Roman"/>
                <w:b/>
                <w:color w:val="auto"/>
                <w:lang w:val="en-US" w:eastAsia="zh-CN"/>
              </w:rPr>
              <w:t xml:space="preserve">13 </w:t>
            </w:r>
            <w:r>
              <w:rPr>
                <w:rFonts w:hint="eastAsia" w:ascii="Times New Roman" w:hAnsi="Times New Roman" w:cs="Times New Roman"/>
                <w:b/>
                <w:color w:val="auto"/>
              </w:rPr>
              <w:t>项目</w:t>
            </w:r>
            <w:r>
              <w:rPr>
                <w:rFonts w:ascii="Times New Roman" w:hAnsi="Times New Roman" w:cs="Times New Roman"/>
                <w:b/>
                <w:color w:val="auto"/>
              </w:rPr>
              <w:t>污染物排放量</w:t>
            </w:r>
            <w:r>
              <w:rPr>
                <w:rFonts w:hint="eastAsia" w:ascii="Times New Roman" w:hAnsi="Times New Roman" w:cs="Times New Roman"/>
                <w:b/>
                <w:color w:val="auto"/>
              </w:rPr>
              <w:t>三本账</w:t>
            </w:r>
            <w:r>
              <w:rPr>
                <w:rFonts w:ascii="Times New Roman" w:hAnsi="Times New Roman" w:cs="Times New Roman"/>
                <w:b/>
                <w:color w:val="auto"/>
              </w:rPr>
              <w:t xml:space="preserve">  单位：t/a</w:t>
            </w:r>
          </w:p>
          <w:tbl>
            <w:tblPr>
              <w:tblStyle w:val="26"/>
              <w:tblW w:w="5000" w:type="pct"/>
              <w:tblInd w:w="5"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18"/>
              <w:gridCol w:w="1858"/>
              <w:gridCol w:w="1329"/>
              <w:gridCol w:w="1724"/>
              <w:gridCol w:w="1301"/>
              <w:gridCol w:w="1028"/>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39" w:hRule="atLeast"/>
              </w:trPr>
              <w:tc>
                <w:tcPr>
                  <w:tcW w:w="393" w:type="pct"/>
                  <w:vAlign w:val="center"/>
                </w:tcPr>
                <w:p>
                  <w:pPr>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种类</w:t>
                  </w:r>
                </w:p>
              </w:tc>
              <w:tc>
                <w:tcPr>
                  <w:tcW w:w="1182" w:type="pct"/>
                  <w:vAlign w:val="center"/>
                </w:tcPr>
                <w:p>
                  <w:pPr>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污染物名称</w:t>
                  </w:r>
                </w:p>
              </w:tc>
              <w:tc>
                <w:tcPr>
                  <w:tcW w:w="845" w:type="pct"/>
                  <w:vAlign w:val="center"/>
                </w:tcPr>
                <w:p>
                  <w:pPr>
                    <w:adjustRightInd w:val="0"/>
                    <w:snapToGrid w:val="0"/>
                    <w:jc w:val="center"/>
                    <w:rPr>
                      <w:rFonts w:hint="eastAsia"/>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现有工程</w:t>
                  </w:r>
                </w:p>
                <w:p>
                  <w:pPr>
                    <w:adjustRightInd w:val="0"/>
                    <w:snapToGrid w:val="0"/>
                    <w:ind w:left="-107" w:leftChars="-51" w:right="-107" w:rightChars="-51"/>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排放量</w:t>
                  </w:r>
                </w:p>
              </w:tc>
              <w:tc>
                <w:tcPr>
                  <w:tcW w:w="1096" w:type="pct"/>
                  <w:vAlign w:val="center"/>
                </w:tcPr>
                <w:p>
                  <w:pPr>
                    <w:adjustRightInd w:val="0"/>
                    <w:snapToGrid w:val="0"/>
                    <w:jc w:val="center"/>
                    <w:rPr>
                      <w:rFonts w:hint="eastAsia"/>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改扩建工程</w:t>
                  </w:r>
                </w:p>
                <w:p>
                  <w:pPr>
                    <w:adjustRightInd w:val="0"/>
                    <w:snapToGrid w:val="0"/>
                    <w:ind w:left="-107" w:leftChars="-51" w:right="-107" w:rightChars="-51"/>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排放量</w:t>
                  </w:r>
                </w:p>
              </w:tc>
              <w:tc>
                <w:tcPr>
                  <w:tcW w:w="827" w:type="pct"/>
                  <w:vAlign w:val="center"/>
                </w:tcPr>
                <w:p>
                  <w:pPr>
                    <w:adjustRightInd w:val="0"/>
                    <w:snapToGrid w:val="0"/>
                    <w:jc w:val="center"/>
                    <w:rPr>
                      <w:rFonts w:hint="eastAsia"/>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总体工程</w:t>
                  </w:r>
                </w:p>
                <w:p>
                  <w:pPr>
                    <w:adjustRightInd w:val="0"/>
                    <w:snapToGrid w:val="0"/>
                    <w:ind w:left="-107" w:leftChars="-51" w:right="-84" w:rightChars="-4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排放量</w:t>
                  </w:r>
                </w:p>
              </w:tc>
              <w:tc>
                <w:tcPr>
                  <w:tcW w:w="654" w:type="pct"/>
                  <w:vAlign w:val="center"/>
                </w:tcPr>
                <w:p>
                  <w:pPr>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排放增减量</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93" w:type="pct"/>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废气</w:t>
                  </w:r>
                </w:p>
              </w:tc>
              <w:tc>
                <w:tcPr>
                  <w:tcW w:w="1182" w:type="pct"/>
                  <w:vAlign w:val="center"/>
                </w:tcPr>
                <w:p>
                  <w:pPr>
                    <w:adjustRightInd w:val="0"/>
                    <w:snapToGrid w:val="0"/>
                    <w:jc w:val="center"/>
                    <w:rPr>
                      <w:color w:val="000000" w:themeColor="text1"/>
                      <w:szCs w:val="21"/>
                      <w:vertAlign w:val="subscript"/>
                      <w14:textFill>
                        <w14:solidFill>
                          <w14:schemeClr w14:val="tx1"/>
                        </w14:solidFill>
                      </w14:textFill>
                    </w:rPr>
                  </w:pPr>
                  <w:r>
                    <w:rPr>
                      <w:rFonts w:hint="eastAsia"/>
                      <w:color w:val="000000" w:themeColor="text1"/>
                      <w:szCs w:val="21"/>
                      <w14:textFill>
                        <w14:solidFill>
                          <w14:schemeClr w14:val="tx1"/>
                        </w14:solidFill>
                      </w14:textFill>
                    </w:rPr>
                    <w:t>颗粒物</w:t>
                  </w:r>
                </w:p>
              </w:tc>
              <w:tc>
                <w:tcPr>
                  <w:tcW w:w="845" w:type="pct"/>
                  <w:vAlign w:val="center"/>
                </w:tcPr>
                <w:p>
                  <w:pPr>
                    <w:adjustRightInd w:val="0"/>
                    <w:snapToGrid w:val="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0.126</w:t>
                  </w:r>
                </w:p>
              </w:tc>
              <w:tc>
                <w:tcPr>
                  <w:tcW w:w="1096" w:type="pct"/>
                  <w:vAlign w:val="center"/>
                </w:tcPr>
                <w:p>
                  <w:pPr>
                    <w:adjustRightInd w:val="0"/>
                    <w:snapToGrid w:val="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4.6267</w:t>
                  </w:r>
                </w:p>
              </w:tc>
              <w:tc>
                <w:tcPr>
                  <w:tcW w:w="827" w:type="pct"/>
                  <w:vAlign w:val="center"/>
                </w:tcPr>
                <w:p>
                  <w:pPr>
                    <w:adjustRightInd w:val="0"/>
                    <w:snapToGrid w:val="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4.7527</w:t>
                  </w:r>
                </w:p>
              </w:tc>
              <w:tc>
                <w:tcPr>
                  <w:tcW w:w="654" w:type="pct"/>
                  <w:vAlign w:val="center"/>
                </w:tcPr>
                <w:p>
                  <w:pPr>
                    <w:adjustRightInd w:val="0"/>
                    <w:snapToGrid w:val="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14:textFill>
                        <w14:solidFill>
                          <w14:schemeClr w14:val="tx1"/>
                        </w14:solidFill>
                      </w14:textFill>
                    </w:rPr>
                    <w:t>+</w:t>
                  </w:r>
                  <w:r>
                    <w:rPr>
                      <w:rFonts w:hint="eastAsia"/>
                      <w:color w:val="000000" w:themeColor="text1"/>
                      <w:szCs w:val="21"/>
                      <w:lang w:val="en-US" w:eastAsia="zh-CN"/>
                      <w14:textFill>
                        <w14:solidFill>
                          <w14:schemeClr w14:val="tx1"/>
                        </w14:solidFill>
                      </w14:textFill>
                    </w:rPr>
                    <w:t>4.6267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93" w:type="pct"/>
                  <w:vMerge w:val="restart"/>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固废</w:t>
                  </w:r>
                </w:p>
              </w:tc>
              <w:tc>
                <w:tcPr>
                  <w:tcW w:w="1182" w:type="pct"/>
                  <w:vAlign w:val="center"/>
                </w:tcPr>
                <w:p>
                  <w:pPr>
                    <w:pStyle w:val="41"/>
                    <w:spacing w:beforeLines="0" w:afterLines="0" w:line="240" w:lineRule="auto"/>
                    <w:rPr>
                      <w:rFonts w:ascii="Times New Roman"/>
                      <w:color w:val="000000" w:themeColor="text1"/>
                      <w:szCs w:val="21"/>
                      <w14:textFill>
                        <w14:solidFill>
                          <w14:schemeClr w14:val="tx1"/>
                        </w14:solidFill>
                      </w14:textFill>
                    </w:rPr>
                  </w:pPr>
                  <w:r>
                    <w:rPr>
                      <w:rFonts w:ascii="Times New Roman"/>
                      <w:color w:val="000000"/>
                      <w:spacing w:val="4"/>
                      <w:kern w:val="18"/>
                      <w:szCs w:val="21"/>
                    </w:rPr>
                    <w:t>废油</w:t>
                  </w:r>
                </w:p>
              </w:tc>
              <w:tc>
                <w:tcPr>
                  <w:tcW w:w="845" w:type="pct"/>
                  <w:vAlign w:val="center"/>
                </w:tcPr>
                <w:p>
                  <w:pPr>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0</w:t>
                  </w:r>
                </w:p>
              </w:tc>
              <w:tc>
                <w:tcPr>
                  <w:tcW w:w="1096" w:type="pct"/>
                  <w:vAlign w:val="center"/>
                </w:tcPr>
                <w:p>
                  <w:pPr>
                    <w:pStyle w:val="41"/>
                    <w:spacing w:beforeLines="0" w:afterLines="0" w:line="240" w:lineRule="auto"/>
                    <w:rPr>
                      <w:rFonts w:hint="default" w:ascii="Times New Roman" w:eastAsia="宋体"/>
                      <w:szCs w:val="21"/>
                      <w:lang w:val="en-US" w:eastAsia="zh-CN"/>
                    </w:rPr>
                  </w:pPr>
                  <w:r>
                    <w:rPr>
                      <w:rFonts w:hint="eastAsia" w:ascii="Times New Roman"/>
                      <w:szCs w:val="21"/>
                      <w:lang w:val="en-US" w:eastAsia="zh-CN"/>
                    </w:rPr>
                    <w:t>0.15</w:t>
                  </w:r>
                </w:p>
              </w:tc>
              <w:tc>
                <w:tcPr>
                  <w:tcW w:w="827" w:type="pct"/>
                  <w:vAlign w:val="center"/>
                </w:tcPr>
                <w:p>
                  <w:pPr>
                    <w:adjustRightInd w:val="0"/>
                    <w:snapToGrid w:val="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0.15</w:t>
                  </w:r>
                </w:p>
              </w:tc>
              <w:tc>
                <w:tcPr>
                  <w:tcW w:w="654" w:type="pct"/>
                  <w:vAlign w:val="center"/>
                </w:tcPr>
                <w:p>
                  <w:pPr>
                    <w:adjustRightInd w:val="0"/>
                    <w:snapToGrid w:val="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14:textFill>
                        <w14:solidFill>
                          <w14:schemeClr w14:val="tx1"/>
                        </w14:solidFill>
                      </w14:textFill>
                    </w:rPr>
                    <w:t>+</w:t>
                  </w:r>
                  <w:r>
                    <w:rPr>
                      <w:rFonts w:hint="eastAsia"/>
                      <w:color w:val="000000" w:themeColor="text1"/>
                      <w:szCs w:val="21"/>
                      <w:lang w:val="en-US" w:eastAsia="zh-CN"/>
                      <w14:textFill>
                        <w14:solidFill>
                          <w14:schemeClr w14:val="tx1"/>
                        </w14:solidFill>
                      </w14:textFill>
                    </w:rPr>
                    <w:t>0.15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93" w:type="pct"/>
                  <w:vMerge w:val="continue"/>
                  <w:vAlign w:val="center"/>
                </w:tcPr>
                <w:p>
                  <w:pPr>
                    <w:adjustRightInd w:val="0"/>
                    <w:snapToGrid w:val="0"/>
                    <w:jc w:val="center"/>
                    <w:rPr>
                      <w:color w:val="000000" w:themeColor="text1"/>
                      <w:szCs w:val="21"/>
                      <w14:textFill>
                        <w14:solidFill>
                          <w14:schemeClr w14:val="tx1"/>
                        </w14:solidFill>
                      </w14:textFill>
                    </w:rPr>
                  </w:pPr>
                </w:p>
              </w:tc>
              <w:tc>
                <w:tcPr>
                  <w:tcW w:w="1182" w:type="pct"/>
                  <w:vAlign w:val="center"/>
                </w:tcPr>
                <w:p>
                  <w:pPr>
                    <w:pStyle w:val="41"/>
                    <w:spacing w:beforeLines="0" w:afterLines="0" w:line="240" w:lineRule="auto"/>
                    <w:rPr>
                      <w:rFonts w:ascii="Times New Roman"/>
                      <w:color w:val="000000" w:themeColor="text1"/>
                      <w:szCs w:val="21"/>
                      <w14:textFill>
                        <w14:solidFill>
                          <w14:schemeClr w14:val="tx1"/>
                        </w14:solidFill>
                      </w14:textFill>
                    </w:rPr>
                  </w:pPr>
                  <w:r>
                    <w:rPr>
                      <w:rFonts w:ascii="Times New Roman"/>
                      <w:color w:val="000000"/>
                      <w:spacing w:val="4"/>
                      <w:kern w:val="18"/>
                      <w:szCs w:val="21"/>
                    </w:rPr>
                    <w:t>废</w:t>
                  </w:r>
                  <w:r>
                    <w:rPr>
                      <w:rFonts w:hint="eastAsia" w:ascii="Times New Roman"/>
                      <w:color w:val="000000"/>
                      <w:spacing w:val="4"/>
                      <w:kern w:val="18"/>
                      <w:szCs w:val="21"/>
                      <w:lang w:val="en-US" w:eastAsia="zh-CN"/>
                    </w:rPr>
                    <w:t>油</w:t>
                  </w:r>
                  <w:r>
                    <w:rPr>
                      <w:rFonts w:ascii="Times New Roman"/>
                      <w:color w:val="000000"/>
                      <w:spacing w:val="4"/>
                      <w:kern w:val="18"/>
                      <w:szCs w:val="21"/>
                    </w:rPr>
                    <w:t>桶</w:t>
                  </w:r>
                </w:p>
              </w:tc>
              <w:tc>
                <w:tcPr>
                  <w:tcW w:w="845" w:type="pct"/>
                  <w:vAlign w:val="center"/>
                </w:tcPr>
                <w:p>
                  <w:pPr>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0</w:t>
                  </w:r>
                </w:p>
              </w:tc>
              <w:tc>
                <w:tcPr>
                  <w:tcW w:w="1096" w:type="pct"/>
                  <w:vAlign w:val="center"/>
                </w:tcPr>
                <w:p>
                  <w:pPr>
                    <w:pStyle w:val="41"/>
                    <w:spacing w:beforeLines="0" w:afterLines="0" w:line="240" w:lineRule="auto"/>
                    <w:rPr>
                      <w:rFonts w:hint="default" w:ascii="Times New Roman" w:eastAsia="宋体"/>
                      <w:color w:val="000000"/>
                      <w:spacing w:val="4"/>
                      <w:kern w:val="18"/>
                      <w:szCs w:val="21"/>
                      <w:lang w:val="en-US" w:eastAsia="zh-CN"/>
                    </w:rPr>
                  </w:pPr>
                  <w:r>
                    <w:rPr>
                      <w:rFonts w:hint="eastAsia" w:ascii="Times New Roman"/>
                      <w:color w:val="000000"/>
                      <w:spacing w:val="4"/>
                      <w:kern w:val="18"/>
                      <w:szCs w:val="21"/>
                      <w:lang w:val="en-US" w:eastAsia="zh-CN"/>
                    </w:rPr>
                    <w:t>0.01</w:t>
                  </w:r>
                </w:p>
              </w:tc>
              <w:tc>
                <w:tcPr>
                  <w:tcW w:w="827" w:type="pct"/>
                  <w:vAlign w:val="center"/>
                </w:tcPr>
                <w:p>
                  <w:pPr>
                    <w:adjustRightInd w:val="0"/>
                    <w:snapToGrid w:val="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0.01</w:t>
                  </w:r>
                </w:p>
              </w:tc>
              <w:tc>
                <w:tcPr>
                  <w:tcW w:w="654" w:type="pct"/>
                  <w:vAlign w:val="center"/>
                </w:tcPr>
                <w:p>
                  <w:pPr>
                    <w:adjustRightInd w:val="0"/>
                    <w:snapToGrid w:val="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14:textFill>
                        <w14:solidFill>
                          <w14:schemeClr w14:val="tx1"/>
                        </w14:solidFill>
                      </w14:textFill>
                    </w:rPr>
                    <w:t>+</w:t>
                  </w:r>
                  <w:r>
                    <w:rPr>
                      <w:rFonts w:hint="eastAsia"/>
                      <w:color w:val="000000" w:themeColor="text1"/>
                      <w:szCs w:val="21"/>
                      <w:lang w:val="en-US" w:eastAsia="zh-CN"/>
                      <w14:textFill>
                        <w14:solidFill>
                          <w14:schemeClr w14:val="tx1"/>
                        </w14:solidFill>
                      </w14:textFill>
                    </w:rPr>
                    <w:t>0.01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93" w:type="pct"/>
                  <w:vMerge w:val="continue"/>
                  <w:vAlign w:val="center"/>
                </w:tcPr>
                <w:p>
                  <w:pPr>
                    <w:adjustRightInd w:val="0"/>
                    <w:snapToGrid w:val="0"/>
                    <w:jc w:val="center"/>
                    <w:rPr>
                      <w:color w:val="000000" w:themeColor="text1"/>
                      <w:szCs w:val="21"/>
                      <w14:textFill>
                        <w14:solidFill>
                          <w14:schemeClr w14:val="tx1"/>
                        </w14:solidFill>
                      </w14:textFill>
                    </w:rPr>
                  </w:pPr>
                </w:p>
              </w:tc>
              <w:tc>
                <w:tcPr>
                  <w:tcW w:w="1182" w:type="pct"/>
                  <w:vAlign w:val="center"/>
                </w:tcPr>
                <w:p>
                  <w:pPr>
                    <w:pStyle w:val="41"/>
                    <w:spacing w:beforeLines="0" w:afterLines="0" w:line="240" w:lineRule="auto"/>
                    <w:rPr>
                      <w:rFonts w:hint="eastAsia" w:ascii="Times New Roman"/>
                      <w:color w:val="000000"/>
                      <w:spacing w:val="4"/>
                      <w:kern w:val="18"/>
                      <w:szCs w:val="21"/>
                      <w:lang w:val="en-US" w:eastAsia="zh-CN"/>
                    </w:rPr>
                  </w:pPr>
                  <w:r>
                    <w:rPr>
                      <w:rFonts w:hint="eastAsia" w:ascii="Times New Roman"/>
                      <w:color w:val="000000"/>
                      <w:spacing w:val="4"/>
                      <w:kern w:val="18"/>
                      <w:szCs w:val="21"/>
                      <w:lang w:val="en-US" w:eastAsia="zh-CN"/>
                    </w:rPr>
                    <w:t>废含油手套、抹布</w:t>
                  </w:r>
                </w:p>
              </w:tc>
              <w:tc>
                <w:tcPr>
                  <w:tcW w:w="845" w:type="pct"/>
                  <w:vAlign w:val="center"/>
                </w:tcPr>
                <w:p>
                  <w:pPr>
                    <w:jc w:val="center"/>
                    <w:rPr>
                      <w:rFonts w:hint="default"/>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0</w:t>
                  </w:r>
                </w:p>
              </w:tc>
              <w:tc>
                <w:tcPr>
                  <w:tcW w:w="1096" w:type="pct"/>
                  <w:vAlign w:val="center"/>
                </w:tcPr>
                <w:p>
                  <w:pPr>
                    <w:pStyle w:val="41"/>
                    <w:spacing w:beforeLines="0" w:afterLines="0" w:line="240" w:lineRule="auto"/>
                    <w:rPr>
                      <w:rFonts w:hint="default" w:ascii="Times New Roman"/>
                      <w:color w:val="000000"/>
                      <w:spacing w:val="4"/>
                      <w:kern w:val="18"/>
                      <w:szCs w:val="21"/>
                      <w:lang w:val="en-US" w:eastAsia="zh-CN"/>
                    </w:rPr>
                  </w:pPr>
                  <w:r>
                    <w:rPr>
                      <w:rFonts w:hint="eastAsia" w:ascii="Times New Roman"/>
                      <w:color w:val="000000"/>
                      <w:spacing w:val="4"/>
                      <w:kern w:val="18"/>
                      <w:szCs w:val="21"/>
                      <w:lang w:val="en-US" w:eastAsia="zh-CN"/>
                    </w:rPr>
                    <w:t>0.001</w:t>
                  </w:r>
                </w:p>
              </w:tc>
              <w:tc>
                <w:tcPr>
                  <w:tcW w:w="827" w:type="pct"/>
                  <w:vAlign w:val="center"/>
                </w:tcPr>
                <w:p>
                  <w:pPr>
                    <w:adjustRightInd w:val="0"/>
                    <w:snapToGrid w:val="0"/>
                    <w:jc w:val="center"/>
                    <w:rPr>
                      <w:rFonts w:hint="default"/>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0.001</w:t>
                  </w:r>
                </w:p>
              </w:tc>
              <w:tc>
                <w:tcPr>
                  <w:tcW w:w="654" w:type="pct"/>
                  <w:vAlign w:val="center"/>
                </w:tcPr>
                <w:p>
                  <w:pPr>
                    <w:adjustRightInd w:val="0"/>
                    <w:snapToGrid w:val="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r>
                    <w:rPr>
                      <w:rFonts w:hint="eastAsia"/>
                      <w:color w:val="000000" w:themeColor="text1"/>
                      <w:szCs w:val="21"/>
                      <w:lang w:val="en-US" w:eastAsia="zh-CN"/>
                      <w14:textFill>
                        <w14:solidFill>
                          <w14:schemeClr w14:val="tx1"/>
                        </w14:solidFill>
                      </w14:textFill>
                    </w:rPr>
                    <w:t>0.001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93" w:type="pct"/>
                  <w:vMerge w:val="continue"/>
                  <w:vAlign w:val="center"/>
                </w:tcPr>
                <w:p>
                  <w:pPr>
                    <w:adjustRightInd w:val="0"/>
                    <w:snapToGrid w:val="0"/>
                    <w:jc w:val="center"/>
                    <w:rPr>
                      <w:color w:val="000000" w:themeColor="text1"/>
                      <w:szCs w:val="21"/>
                      <w14:textFill>
                        <w14:solidFill>
                          <w14:schemeClr w14:val="tx1"/>
                        </w14:solidFill>
                      </w14:textFill>
                    </w:rPr>
                  </w:pPr>
                </w:p>
              </w:tc>
              <w:tc>
                <w:tcPr>
                  <w:tcW w:w="1182" w:type="pct"/>
                  <w:vAlign w:val="center"/>
                </w:tcPr>
                <w:p>
                  <w:pPr>
                    <w:pStyle w:val="41"/>
                    <w:spacing w:beforeLines="0" w:afterLines="0" w:line="240" w:lineRule="auto"/>
                    <w:rPr>
                      <w:rFonts w:hint="eastAsia" w:ascii="Times New Roman" w:eastAsia="宋体"/>
                      <w:color w:val="000000" w:themeColor="text1"/>
                      <w:szCs w:val="21"/>
                      <w:lang w:eastAsia="zh-CN"/>
                      <w14:textFill>
                        <w14:solidFill>
                          <w14:schemeClr w14:val="tx1"/>
                        </w14:solidFill>
                      </w14:textFill>
                    </w:rPr>
                  </w:pPr>
                  <w:r>
                    <w:rPr>
                      <w:rFonts w:hint="eastAsia" w:ascii="Times New Roman"/>
                      <w:color w:val="000000"/>
                      <w:spacing w:val="4"/>
                      <w:kern w:val="18"/>
                      <w:szCs w:val="21"/>
                      <w:lang w:val="en-US" w:eastAsia="zh-CN"/>
                    </w:rPr>
                    <w:t>沉渣</w:t>
                  </w:r>
                </w:p>
              </w:tc>
              <w:tc>
                <w:tcPr>
                  <w:tcW w:w="845" w:type="pct"/>
                  <w:vAlign w:val="center"/>
                </w:tcPr>
                <w:p>
                  <w:pPr>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9878</w:t>
                  </w:r>
                </w:p>
              </w:tc>
              <w:tc>
                <w:tcPr>
                  <w:tcW w:w="1096" w:type="pct"/>
                  <w:vAlign w:val="center"/>
                </w:tcPr>
                <w:p>
                  <w:pPr>
                    <w:pStyle w:val="41"/>
                    <w:spacing w:beforeLines="0" w:afterLines="0" w:line="240" w:lineRule="auto"/>
                    <w:rPr>
                      <w:rFonts w:hint="default" w:ascii="Times New Roman" w:eastAsia="宋体"/>
                      <w:color w:val="000000"/>
                      <w:spacing w:val="4"/>
                      <w:kern w:val="18"/>
                      <w:szCs w:val="21"/>
                      <w:lang w:val="en-US" w:eastAsia="zh-CN"/>
                    </w:rPr>
                  </w:pPr>
                  <w:r>
                    <w:rPr>
                      <w:rFonts w:hint="eastAsia" w:ascii="Times New Roman"/>
                      <w:color w:val="000000"/>
                      <w:spacing w:val="4"/>
                      <w:kern w:val="18"/>
                      <w:szCs w:val="21"/>
                      <w:lang w:val="en-US" w:eastAsia="zh-CN"/>
                    </w:rPr>
                    <w:t>14143.6</w:t>
                  </w:r>
                </w:p>
              </w:tc>
              <w:tc>
                <w:tcPr>
                  <w:tcW w:w="827" w:type="pct"/>
                  <w:vAlign w:val="center"/>
                </w:tcPr>
                <w:p>
                  <w:pPr>
                    <w:adjustRightInd w:val="0"/>
                    <w:snapToGrid w:val="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24021.6</w:t>
                  </w:r>
                </w:p>
              </w:tc>
              <w:tc>
                <w:tcPr>
                  <w:tcW w:w="654" w:type="pct"/>
                  <w:vAlign w:val="center"/>
                </w:tcPr>
                <w:p>
                  <w:pPr>
                    <w:adjustRightInd w:val="0"/>
                    <w:snapToGrid w:val="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14:textFill>
                        <w14:solidFill>
                          <w14:schemeClr w14:val="tx1"/>
                        </w14:solidFill>
                      </w14:textFill>
                    </w:rPr>
                    <w:t>+</w:t>
                  </w:r>
                  <w:r>
                    <w:rPr>
                      <w:rFonts w:hint="eastAsia"/>
                      <w:color w:val="000000" w:themeColor="text1"/>
                      <w:szCs w:val="21"/>
                      <w:lang w:val="en-US" w:eastAsia="zh-CN"/>
                      <w14:textFill>
                        <w14:solidFill>
                          <w14:schemeClr w14:val="tx1"/>
                        </w14:solidFill>
                      </w14:textFill>
                    </w:rPr>
                    <w:t>14143.6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93" w:type="pct"/>
                  <w:vMerge w:val="continue"/>
                  <w:vAlign w:val="center"/>
                </w:tcPr>
                <w:p>
                  <w:pPr>
                    <w:adjustRightInd w:val="0"/>
                    <w:snapToGrid w:val="0"/>
                    <w:jc w:val="center"/>
                    <w:rPr>
                      <w:color w:val="000000" w:themeColor="text1"/>
                      <w:szCs w:val="21"/>
                      <w14:textFill>
                        <w14:solidFill>
                          <w14:schemeClr w14:val="tx1"/>
                        </w14:solidFill>
                      </w14:textFill>
                    </w:rPr>
                  </w:pPr>
                </w:p>
              </w:tc>
              <w:tc>
                <w:tcPr>
                  <w:tcW w:w="1182" w:type="pct"/>
                  <w:vAlign w:val="center"/>
                </w:tcPr>
                <w:p>
                  <w:pPr>
                    <w:pStyle w:val="41"/>
                    <w:spacing w:beforeLines="0" w:afterLines="0" w:line="240" w:lineRule="auto"/>
                    <w:rPr>
                      <w:rFonts w:hint="eastAsia" w:ascii="Times New Roman"/>
                      <w:color w:val="000000"/>
                      <w:spacing w:val="4"/>
                      <w:kern w:val="18"/>
                      <w:szCs w:val="21"/>
                      <w:lang w:val="en-US" w:eastAsia="zh-CN"/>
                    </w:rPr>
                  </w:pPr>
                  <w:r>
                    <w:rPr>
                      <w:rFonts w:hint="default" w:ascii="Times New Roman" w:hAnsi="Times New Roman" w:eastAsia="宋体" w:cs="Times New Roman"/>
                      <w:color w:val="auto"/>
                      <w:spacing w:val="0"/>
                      <w:position w:val="0"/>
                      <w:sz w:val="21"/>
                      <w:szCs w:val="21"/>
                      <w:highlight w:val="none"/>
                      <w:lang w:val="en-US" w:eastAsia="zh-CN"/>
                    </w:rPr>
                    <w:t>碎石杂质</w:t>
                  </w:r>
                </w:p>
              </w:tc>
              <w:tc>
                <w:tcPr>
                  <w:tcW w:w="845" w:type="pct"/>
                  <w:vAlign w:val="center"/>
                </w:tcPr>
                <w:p>
                  <w:pPr>
                    <w:jc w:val="center"/>
                    <w:rPr>
                      <w:rFonts w:hint="default"/>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2870</w:t>
                  </w:r>
                </w:p>
              </w:tc>
              <w:tc>
                <w:tcPr>
                  <w:tcW w:w="1096" w:type="pct"/>
                  <w:vAlign w:val="center"/>
                </w:tcPr>
                <w:p>
                  <w:pPr>
                    <w:pStyle w:val="41"/>
                    <w:spacing w:beforeLines="0" w:afterLines="0" w:line="240" w:lineRule="auto"/>
                    <w:rPr>
                      <w:rFonts w:hint="eastAsia" w:ascii="Times New Roman" w:eastAsia="宋体"/>
                      <w:color w:val="000000"/>
                      <w:spacing w:val="4"/>
                      <w:kern w:val="18"/>
                      <w:szCs w:val="21"/>
                      <w:lang w:val="en-US" w:eastAsia="zh-CN"/>
                    </w:rPr>
                  </w:pPr>
                  <w:r>
                    <w:rPr>
                      <w:rFonts w:hint="eastAsia" w:ascii="Times New Roman"/>
                      <w:color w:val="000000"/>
                      <w:spacing w:val="4"/>
                      <w:kern w:val="18"/>
                      <w:szCs w:val="21"/>
                      <w:lang w:val="en-US" w:eastAsia="zh-CN"/>
                    </w:rPr>
                    <w:t>0</w:t>
                  </w:r>
                </w:p>
              </w:tc>
              <w:tc>
                <w:tcPr>
                  <w:tcW w:w="827" w:type="pct"/>
                  <w:vAlign w:val="center"/>
                </w:tcPr>
                <w:p>
                  <w:pPr>
                    <w:adjustRightInd w:val="0"/>
                    <w:snapToGrid w:val="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2878</w:t>
                  </w:r>
                </w:p>
              </w:tc>
              <w:tc>
                <w:tcPr>
                  <w:tcW w:w="654" w:type="pct"/>
                  <w:vAlign w:val="center"/>
                </w:tcPr>
                <w:p>
                  <w:pPr>
                    <w:adjustRightInd w:val="0"/>
                    <w:snapToGrid w:val="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93" w:type="pct"/>
                  <w:vAlign w:val="center"/>
                </w:tcPr>
                <w:p>
                  <w:pPr>
                    <w:adjustRightInd w:val="0"/>
                    <w:snapToGrid w:val="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废水</w:t>
                  </w:r>
                </w:p>
              </w:tc>
              <w:tc>
                <w:tcPr>
                  <w:tcW w:w="1182" w:type="pct"/>
                  <w:vAlign w:val="center"/>
                </w:tcPr>
                <w:p>
                  <w:pPr>
                    <w:pStyle w:val="41"/>
                    <w:spacing w:beforeLines="0" w:afterLines="0" w:line="240" w:lineRule="auto"/>
                    <w:jc w:val="center"/>
                    <w:rPr>
                      <w:rFonts w:hint="default" w:ascii="Times New Roman" w:hAnsi="Times New Roman" w:eastAsia="宋体" w:cs="Times New Roman"/>
                      <w:color w:val="auto"/>
                      <w:spacing w:val="0"/>
                      <w:position w:val="0"/>
                      <w:sz w:val="21"/>
                      <w:szCs w:val="21"/>
                      <w:highlight w:val="none"/>
                      <w:lang w:val="en-US" w:eastAsia="zh-CN"/>
                    </w:rPr>
                  </w:pPr>
                  <w:r>
                    <w:rPr>
                      <w:rFonts w:hint="eastAsia" w:ascii="Times New Roman" w:cs="Times New Roman"/>
                      <w:color w:val="auto"/>
                      <w:spacing w:val="0"/>
                      <w:position w:val="0"/>
                      <w:sz w:val="21"/>
                      <w:szCs w:val="21"/>
                      <w:highlight w:val="none"/>
                      <w:lang w:val="en-US" w:eastAsia="zh-CN"/>
                    </w:rPr>
                    <w:t>/</w:t>
                  </w:r>
                </w:p>
              </w:tc>
              <w:tc>
                <w:tcPr>
                  <w:tcW w:w="845" w:type="pct"/>
                  <w:vAlign w:val="center"/>
                </w:tcPr>
                <w:p>
                  <w:pPr>
                    <w:jc w:val="center"/>
                    <w:rPr>
                      <w:rFonts w:hint="default"/>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0</w:t>
                  </w:r>
                </w:p>
              </w:tc>
              <w:tc>
                <w:tcPr>
                  <w:tcW w:w="1096" w:type="pct"/>
                  <w:vAlign w:val="center"/>
                </w:tcPr>
                <w:p>
                  <w:pPr>
                    <w:pStyle w:val="41"/>
                    <w:spacing w:beforeLines="0" w:afterLines="0" w:line="240" w:lineRule="auto"/>
                    <w:rPr>
                      <w:rFonts w:hint="default" w:ascii="Times New Roman"/>
                      <w:color w:val="000000"/>
                      <w:spacing w:val="4"/>
                      <w:kern w:val="18"/>
                      <w:szCs w:val="21"/>
                      <w:lang w:val="en-US" w:eastAsia="zh-CN"/>
                    </w:rPr>
                  </w:pPr>
                  <w:r>
                    <w:rPr>
                      <w:rFonts w:hint="eastAsia" w:ascii="Times New Roman"/>
                      <w:color w:val="000000"/>
                      <w:spacing w:val="4"/>
                      <w:kern w:val="18"/>
                      <w:szCs w:val="21"/>
                      <w:lang w:val="en-US" w:eastAsia="zh-CN"/>
                    </w:rPr>
                    <w:t>0</w:t>
                  </w:r>
                </w:p>
              </w:tc>
              <w:tc>
                <w:tcPr>
                  <w:tcW w:w="827" w:type="pct"/>
                  <w:vAlign w:val="center"/>
                </w:tcPr>
                <w:p>
                  <w:pPr>
                    <w:adjustRightInd w:val="0"/>
                    <w:snapToGrid w:val="0"/>
                    <w:jc w:val="center"/>
                    <w:rPr>
                      <w:rFonts w:hint="default"/>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0</w:t>
                  </w:r>
                </w:p>
              </w:tc>
              <w:tc>
                <w:tcPr>
                  <w:tcW w:w="654" w:type="pct"/>
                  <w:vAlign w:val="center"/>
                </w:tcPr>
                <w:p>
                  <w:pPr>
                    <w:adjustRightInd w:val="0"/>
                    <w:snapToGrid w:val="0"/>
                    <w:jc w:val="center"/>
                    <w:rPr>
                      <w:rFonts w:hint="default"/>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0</w:t>
                  </w:r>
                </w:p>
              </w:tc>
            </w:tr>
          </w:tbl>
          <w:p>
            <w:pPr>
              <w:adjustRightInd w:val="0"/>
              <w:snapToGrid w:val="0"/>
              <w:ind w:firstLine="382" w:firstLineChars="200"/>
              <w:rPr>
                <w:rFonts w:cs="宋体"/>
                <w:b/>
                <w:spacing w:val="-10"/>
                <w:szCs w:val="21"/>
              </w:rPr>
            </w:pPr>
          </w:p>
          <w:p>
            <w:pPr>
              <w:adjustRightInd w:val="0"/>
              <w:snapToGrid w:val="0"/>
              <w:ind w:firstLine="382" w:firstLineChars="200"/>
              <w:rPr>
                <w:rFonts w:cs="宋体"/>
                <w:b/>
                <w:spacing w:val="-10"/>
                <w:szCs w:val="21"/>
              </w:rPr>
            </w:pPr>
          </w:p>
          <w:p>
            <w:pPr>
              <w:adjustRightInd w:val="0"/>
              <w:snapToGrid w:val="0"/>
              <w:ind w:firstLine="382" w:firstLineChars="200"/>
              <w:rPr>
                <w:rFonts w:cs="宋体"/>
                <w:b/>
                <w:spacing w:val="-10"/>
                <w:szCs w:val="21"/>
              </w:rPr>
            </w:pPr>
          </w:p>
          <w:p>
            <w:pPr>
              <w:adjustRightInd w:val="0"/>
              <w:snapToGrid w:val="0"/>
              <w:ind w:firstLine="382" w:firstLineChars="200"/>
              <w:rPr>
                <w:rFonts w:cs="宋体"/>
                <w:b/>
                <w:spacing w:val="-10"/>
                <w:szCs w:val="21"/>
              </w:rPr>
            </w:pPr>
          </w:p>
          <w:p>
            <w:pPr>
              <w:adjustRightInd w:val="0"/>
              <w:snapToGrid w:val="0"/>
              <w:ind w:firstLine="382" w:firstLineChars="200"/>
              <w:rPr>
                <w:rFonts w:cs="宋体"/>
                <w:b/>
                <w:spacing w:val="-10"/>
                <w:szCs w:val="21"/>
              </w:rPr>
            </w:pPr>
          </w:p>
          <w:p>
            <w:pPr>
              <w:adjustRightInd w:val="0"/>
              <w:snapToGrid w:val="0"/>
              <w:ind w:firstLine="382" w:firstLineChars="200"/>
              <w:rPr>
                <w:rFonts w:cs="宋体"/>
                <w:b/>
                <w:spacing w:val="-10"/>
                <w:szCs w:val="21"/>
              </w:rPr>
            </w:pPr>
          </w:p>
        </w:tc>
      </w:tr>
    </w:tbl>
    <w:p>
      <w:pPr>
        <w:adjustRightInd w:val="0"/>
        <w:snapToGrid w:val="0"/>
        <w:spacing w:line="360" w:lineRule="auto"/>
        <w:rPr>
          <w:rFonts w:cs="宋体"/>
          <w:b/>
          <w:kern w:val="0"/>
          <w:sz w:val="28"/>
          <w:szCs w:val="28"/>
        </w:rPr>
        <w:sectPr>
          <w:pgSz w:w="11907" w:h="16840"/>
          <w:pgMar w:top="1701" w:right="1531" w:bottom="2127" w:left="1531" w:header="851" w:footer="851" w:gutter="0"/>
          <w:cols w:space="720" w:num="1"/>
          <w:docGrid w:linePitch="312" w:charSpace="0"/>
        </w:sectPr>
      </w:pPr>
    </w:p>
    <w:p>
      <w:pPr>
        <w:pStyle w:val="24"/>
        <w:jc w:val="center"/>
        <w:outlineLvl w:val="0"/>
        <w:rPr>
          <w:rFonts w:ascii="Times New Roman" w:hAnsi="Times New Roman"/>
          <w:snapToGrid w:val="0"/>
          <w:sz w:val="30"/>
          <w:szCs w:val="30"/>
        </w:rPr>
      </w:pPr>
      <w:r>
        <w:rPr>
          <w:rFonts w:hint="eastAsia" w:ascii="Times New Roman" w:hAnsi="Times New Roman"/>
          <w:snapToGrid w:val="0"/>
          <w:sz w:val="30"/>
          <w:szCs w:val="30"/>
        </w:rPr>
        <w:t>五、</w:t>
      </w:r>
      <w:bookmarkStart w:id="1" w:name="_Hlk54167917"/>
      <w:r>
        <w:rPr>
          <w:rFonts w:hint="eastAsia" w:ascii="Times New Roman" w:hAnsi="Times New Roman"/>
          <w:snapToGrid w:val="0"/>
          <w:sz w:val="30"/>
          <w:szCs w:val="30"/>
        </w:rPr>
        <w:t>环境保护措施监督检查清单</w:t>
      </w:r>
      <w:bookmarkEnd w:id="1"/>
    </w:p>
    <w:tbl>
      <w:tblPr>
        <w:tblStyle w:val="26"/>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225"/>
        <w:gridCol w:w="1410"/>
        <w:gridCol w:w="1065"/>
        <w:gridCol w:w="1819"/>
        <w:gridCol w:w="330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25" w:type="dxa"/>
            <w:tcBorders>
              <w:tl2br w:val="single" w:color="auto" w:sz="4" w:space="0"/>
            </w:tcBorders>
            <w:vAlign w:val="center"/>
          </w:tcPr>
          <w:p>
            <w:pPr>
              <w:adjustRightInd w:val="0"/>
              <w:snapToGrid w:val="0"/>
              <w:ind w:firstLine="840"/>
              <w:jc w:val="center"/>
              <w:rPr>
                <w:rFonts w:hint="eastAsia" w:ascii="宋体" w:hAnsi="宋体" w:eastAsia="宋体" w:cs="宋体"/>
                <w:b/>
                <w:bCs/>
                <w:sz w:val="21"/>
                <w:szCs w:val="21"/>
              </w:rPr>
            </w:pPr>
            <w:r>
              <w:rPr>
                <w:rFonts w:hint="eastAsia" w:ascii="宋体" w:hAnsi="宋体" w:eastAsia="宋体" w:cs="宋体"/>
                <w:b/>
                <w:bCs/>
                <w:sz w:val="21"/>
                <w:szCs w:val="21"/>
              </w:rPr>
              <w:t>内</w:t>
            </w:r>
            <w:r>
              <w:rPr>
                <w:rFonts w:hint="eastAsia" w:ascii="宋体" w:hAnsi="宋体" w:eastAsia="宋体" w:cs="宋体"/>
                <w:b/>
                <w:bCs/>
                <w:sz w:val="21"/>
                <w:szCs w:val="21"/>
                <w:lang w:val="en-US" w:eastAsia="zh-CN"/>
              </w:rPr>
              <w:t xml:space="preserve">   </w:t>
            </w:r>
            <w:r>
              <w:rPr>
                <w:rFonts w:hint="eastAsia" w:ascii="宋体" w:hAnsi="宋体" w:eastAsia="宋体" w:cs="宋体"/>
                <w:b/>
                <w:bCs/>
                <w:sz w:val="21"/>
                <w:szCs w:val="21"/>
              </w:rPr>
              <w:t>容</w:t>
            </w:r>
          </w:p>
          <w:p>
            <w:pPr>
              <w:adjustRightInd w:val="0"/>
              <w:snapToGrid w:val="0"/>
              <w:jc w:val="center"/>
              <w:rPr>
                <w:rFonts w:hint="eastAsia" w:ascii="宋体" w:hAnsi="宋体" w:eastAsia="宋体" w:cs="宋体"/>
                <w:b/>
                <w:bCs/>
                <w:sz w:val="21"/>
                <w:szCs w:val="21"/>
              </w:rPr>
            </w:pPr>
            <w:r>
              <w:rPr>
                <w:rFonts w:hint="eastAsia" w:ascii="宋体" w:hAnsi="宋体" w:eastAsia="宋体" w:cs="宋体"/>
                <w:b/>
                <w:bCs/>
                <w:sz w:val="21"/>
                <w:szCs w:val="21"/>
              </w:rPr>
              <w:t>要素</w:t>
            </w:r>
          </w:p>
        </w:tc>
        <w:tc>
          <w:tcPr>
            <w:tcW w:w="1410" w:type="dxa"/>
            <w:vAlign w:val="center"/>
          </w:tcPr>
          <w:p>
            <w:pPr>
              <w:adjustRightInd w:val="0"/>
              <w:snapToGrid w:val="0"/>
              <w:jc w:val="center"/>
              <w:rPr>
                <w:rFonts w:hint="eastAsia" w:ascii="宋体" w:hAnsi="宋体" w:eastAsia="宋体" w:cs="宋体"/>
                <w:b/>
                <w:bCs/>
                <w:sz w:val="21"/>
                <w:szCs w:val="21"/>
              </w:rPr>
            </w:pPr>
            <w:r>
              <w:rPr>
                <w:rFonts w:hint="eastAsia" w:ascii="宋体" w:hAnsi="宋体" w:eastAsia="宋体" w:cs="宋体"/>
                <w:b/>
                <w:bCs/>
                <w:sz w:val="21"/>
                <w:szCs w:val="21"/>
              </w:rPr>
              <w:t>排放口(编号、名称)/污染源</w:t>
            </w:r>
          </w:p>
        </w:tc>
        <w:tc>
          <w:tcPr>
            <w:tcW w:w="1065" w:type="dxa"/>
            <w:vAlign w:val="center"/>
          </w:tcPr>
          <w:p>
            <w:pPr>
              <w:adjustRightInd w:val="0"/>
              <w:snapToGrid w:val="0"/>
              <w:jc w:val="center"/>
              <w:rPr>
                <w:rFonts w:hint="eastAsia" w:ascii="宋体" w:hAnsi="宋体" w:eastAsia="宋体" w:cs="宋体"/>
                <w:b/>
                <w:bCs/>
                <w:sz w:val="21"/>
                <w:szCs w:val="21"/>
              </w:rPr>
            </w:pPr>
            <w:r>
              <w:rPr>
                <w:rFonts w:hint="eastAsia" w:ascii="宋体" w:hAnsi="宋体" w:eastAsia="宋体" w:cs="宋体"/>
                <w:b/>
                <w:bCs/>
                <w:sz w:val="21"/>
                <w:szCs w:val="21"/>
              </w:rPr>
              <w:t>污染物项目</w:t>
            </w:r>
          </w:p>
        </w:tc>
        <w:tc>
          <w:tcPr>
            <w:tcW w:w="1819" w:type="dxa"/>
            <w:vAlign w:val="center"/>
          </w:tcPr>
          <w:p>
            <w:pPr>
              <w:adjustRightInd w:val="0"/>
              <w:snapToGrid w:val="0"/>
              <w:jc w:val="center"/>
              <w:rPr>
                <w:rFonts w:hint="eastAsia" w:ascii="宋体" w:hAnsi="宋体" w:eastAsia="宋体" w:cs="宋体"/>
                <w:b/>
                <w:bCs/>
                <w:sz w:val="21"/>
                <w:szCs w:val="21"/>
              </w:rPr>
            </w:pPr>
            <w:r>
              <w:rPr>
                <w:rFonts w:hint="eastAsia" w:ascii="宋体" w:hAnsi="宋体" w:eastAsia="宋体" w:cs="宋体"/>
                <w:b/>
                <w:bCs/>
                <w:sz w:val="21"/>
                <w:szCs w:val="21"/>
              </w:rPr>
              <w:t>环境保护措施</w:t>
            </w:r>
          </w:p>
        </w:tc>
        <w:tc>
          <w:tcPr>
            <w:tcW w:w="3305" w:type="dxa"/>
            <w:vAlign w:val="center"/>
          </w:tcPr>
          <w:p>
            <w:pPr>
              <w:adjustRightInd w:val="0"/>
              <w:snapToGrid w:val="0"/>
              <w:jc w:val="center"/>
              <w:rPr>
                <w:rFonts w:hint="eastAsia" w:ascii="宋体" w:hAnsi="宋体" w:eastAsia="宋体" w:cs="宋体"/>
                <w:b/>
                <w:bCs/>
                <w:sz w:val="21"/>
                <w:szCs w:val="21"/>
              </w:rPr>
            </w:pPr>
            <w:r>
              <w:rPr>
                <w:rFonts w:hint="eastAsia" w:ascii="宋体" w:hAnsi="宋体" w:eastAsia="宋体" w:cs="宋体"/>
                <w:b/>
                <w:bCs/>
                <w:sz w:val="21"/>
                <w:szCs w:val="21"/>
              </w:rPr>
              <w:t>执行标准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25" w:type="dxa"/>
            <w:vMerge w:val="restart"/>
            <w:vAlign w:val="center"/>
          </w:tcPr>
          <w:p>
            <w:pPr>
              <w:adjustRightInd w:val="0"/>
              <w:snapToGrid w:val="0"/>
              <w:jc w:val="center"/>
              <w:rPr>
                <w:rFonts w:hint="eastAsia" w:ascii="宋体" w:hAnsi="宋体" w:eastAsia="宋体" w:cs="宋体"/>
                <w:sz w:val="21"/>
                <w:szCs w:val="21"/>
              </w:rPr>
            </w:pPr>
            <w:bookmarkStart w:id="2" w:name="_GoBack" w:colFirst="4" w:colLast="4"/>
            <w:r>
              <w:rPr>
                <w:rFonts w:hint="eastAsia" w:ascii="宋体" w:hAnsi="宋体" w:eastAsia="宋体" w:cs="宋体"/>
                <w:sz w:val="21"/>
                <w:szCs w:val="21"/>
              </w:rPr>
              <w:t>大气环境</w:t>
            </w:r>
          </w:p>
        </w:tc>
        <w:tc>
          <w:tcPr>
            <w:tcW w:w="1410" w:type="dxa"/>
            <w:vAlign w:val="center"/>
          </w:tcPr>
          <w:p>
            <w:pPr>
              <w:adjustRightInd w:val="0"/>
              <w:snapToGrid w:val="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车辆运输</w:t>
            </w:r>
          </w:p>
        </w:tc>
        <w:tc>
          <w:tcPr>
            <w:tcW w:w="1065" w:type="dxa"/>
            <w:vAlign w:val="center"/>
          </w:tcPr>
          <w:p>
            <w:pPr>
              <w:adjustRightInd w:val="0"/>
              <w:snapToGrid w:val="0"/>
              <w:jc w:val="center"/>
              <w:rPr>
                <w:rFonts w:hint="eastAsia" w:ascii="宋体" w:hAnsi="宋体" w:eastAsia="宋体" w:cs="宋体"/>
                <w:sz w:val="21"/>
                <w:szCs w:val="21"/>
              </w:rPr>
            </w:pPr>
            <w:r>
              <w:rPr>
                <w:rFonts w:hint="eastAsia" w:ascii="宋体" w:hAnsi="宋体" w:eastAsia="宋体" w:cs="宋体"/>
                <w:color w:val="000000"/>
                <w:sz w:val="21"/>
                <w:szCs w:val="21"/>
              </w:rPr>
              <w:t>颗粒物</w:t>
            </w:r>
          </w:p>
        </w:tc>
        <w:tc>
          <w:tcPr>
            <w:tcW w:w="1819" w:type="dxa"/>
            <w:vAlign w:val="center"/>
          </w:tcPr>
          <w:p>
            <w:pPr>
              <w:adjustRightInd w:val="0"/>
              <w:snapToGrid w:val="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洒水抑尘</w:t>
            </w:r>
          </w:p>
        </w:tc>
        <w:tc>
          <w:tcPr>
            <w:tcW w:w="3305" w:type="dxa"/>
            <w:vMerge w:val="restart"/>
            <w:vAlign w:val="center"/>
          </w:tcPr>
          <w:p>
            <w:pPr>
              <w:rPr>
                <w:rFonts w:hint="eastAsia" w:ascii="宋体" w:hAnsi="宋体" w:eastAsia="宋体" w:cs="宋体"/>
                <w:sz w:val="21"/>
                <w:szCs w:val="21"/>
              </w:rPr>
            </w:pPr>
            <w:r>
              <w:rPr>
                <w:rFonts w:hint="eastAsia" w:ascii="宋体" w:hAnsi="宋体" w:eastAsia="宋体" w:cs="宋体"/>
                <w:color w:val="000000"/>
                <w:spacing w:val="-11"/>
                <w:sz w:val="21"/>
                <w:szCs w:val="21"/>
              </w:rPr>
              <w:t>满足上海市《大气污染物综合排放标准》（DB 31/933-2015）表3厂界大气污染物监控点浓度限值</w:t>
            </w:r>
          </w:p>
        </w:tc>
      </w:tr>
      <w:bookmarkEnd w:id="2"/>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25" w:type="dxa"/>
            <w:vMerge w:val="continue"/>
            <w:tcBorders/>
            <w:vAlign w:val="center"/>
          </w:tcPr>
          <w:p>
            <w:pPr>
              <w:adjustRightInd w:val="0"/>
              <w:snapToGrid w:val="0"/>
              <w:jc w:val="center"/>
              <w:rPr>
                <w:rFonts w:hint="eastAsia" w:ascii="宋体" w:hAnsi="宋体" w:eastAsia="宋体" w:cs="宋体"/>
                <w:sz w:val="21"/>
                <w:szCs w:val="21"/>
              </w:rPr>
            </w:pPr>
          </w:p>
        </w:tc>
        <w:tc>
          <w:tcPr>
            <w:tcW w:w="1410" w:type="dxa"/>
            <w:vAlign w:val="center"/>
          </w:tcPr>
          <w:p>
            <w:pPr>
              <w:adjustRightInd w:val="0"/>
              <w:snapToGrid w:val="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装卸</w:t>
            </w:r>
          </w:p>
        </w:tc>
        <w:tc>
          <w:tcPr>
            <w:tcW w:w="1065" w:type="dxa"/>
            <w:vAlign w:val="center"/>
          </w:tcPr>
          <w:p>
            <w:pPr>
              <w:adjustRightInd w:val="0"/>
              <w:snapToGrid w:val="0"/>
              <w:jc w:val="center"/>
              <w:rPr>
                <w:rFonts w:hint="eastAsia" w:ascii="宋体" w:hAnsi="宋体" w:eastAsia="宋体" w:cs="宋体"/>
                <w:sz w:val="21"/>
                <w:szCs w:val="21"/>
              </w:rPr>
            </w:pPr>
            <w:r>
              <w:rPr>
                <w:rFonts w:hint="eastAsia" w:ascii="宋体" w:hAnsi="宋体" w:eastAsia="宋体" w:cs="宋体"/>
                <w:color w:val="000000"/>
                <w:sz w:val="21"/>
                <w:szCs w:val="21"/>
              </w:rPr>
              <w:t>颗粒物</w:t>
            </w:r>
          </w:p>
        </w:tc>
        <w:tc>
          <w:tcPr>
            <w:tcW w:w="1819" w:type="dxa"/>
            <w:vAlign w:val="center"/>
          </w:tcPr>
          <w:p>
            <w:pPr>
              <w:adjustRightInd w:val="0"/>
              <w:snapToGrid w:val="0"/>
              <w:jc w:val="center"/>
              <w:rPr>
                <w:rFonts w:hint="eastAsia" w:ascii="宋体" w:hAnsi="宋体" w:eastAsia="宋体" w:cs="宋体"/>
                <w:sz w:val="21"/>
                <w:szCs w:val="21"/>
              </w:rPr>
            </w:pPr>
            <w:r>
              <w:rPr>
                <w:rFonts w:hint="eastAsia" w:ascii="宋体" w:hAnsi="宋体" w:eastAsia="宋体" w:cs="宋体"/>
                <w:sz w:val="21"/>
                <w:szCs w:val="21"/>
                <w:lang w:val="en-US" w:eastAsia="zh-CN"/>
              </w:rPr>
              <w:t>洒水抑尘</w:t>
            </w:r>
          </w:p>
        </w:tc>
        <w:tc>
          <w:tcPr>
            <w:tcW w:w="3305" w:type="dxa"/>
            <w:vMerge w:val="continue"/>
            <w:tcBorders/>
            <w:vAlign w:val="center"/>
          </w:tcPr>
          <w:p>
            <w:pPr>
              <w:rPr>
                <w:rFonts w:hint="eastAsia" w:ascii="宋体" w:hAnsi="宋体" w:eastAsia="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25" w:type="dxa"/>
            <w:vMerge w:val="continue"/>
            <w:tcBorders/>
            <w:vAlign w:val="center"/>
          </w:tcPr>
          <w:p>
            <w:pPr>
              <w:adjustRightInd w:val="0"/>
              <w:snapToGrid w:val="0"/>
              <w:jc w:val="center"/>
              <w:rPr>
                <w:rFonts w:hint="eastAsia" w:ascii="宋体" w:hAnsi="宋体" w:eastAsia="宋体" w:cs="宋体"/>
                <w:sz w:val="21"/>
                <w:szCs w:val="21"/>
              </w:rPr>
            </w:pPr>
          </w:p>
        </w:tc>
        <w:tc>
          <w:tcPr>
            <w:tcW w:w="1410" w:type="dxa"/>
            <w:vAlign w:val="center"/>
          </w:tcPr>
          <w:p>
            <w:pPr>
              <w:spacing w:line="240" w:lineRule="atLeast"/>
              <w:jc w:val="center"/>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破碎</w:t>
            </w:r>
          </w:p>
        </w:tc>
        <w:tc>
          <w:tcPr>
            <w:tcW w:w="1065" w:type="dxa"/>
            <w:vAlign w:val="center"/>
          </w:tcPr>
          <w:p>
            <w:pPr>
              <w:adjustRightInd w:val="0"/>
              <w:snapToGrid w:val="0"/>
              <w:jc w:val="center"/>
              <w:rPr>
                <w:rFonts w:hint="eastAsia" w:ascii="宋体" w:hAnsi="宋体" w:eastAsia="宋体" w:cs="宋体"/>
                <w:kern w:val="2"/>
                <w:sz w:val="21"/>
                <w:szCs w:val="21"/>
                <w:lang w:val="en-US" w:eastAsia="zh-CN" w:bidi="ar-SA"/>
              </w:rPr>
            </w:pPr>
            <w:r>
              <w:rPr>
                <w:rFonts w:hint="eastAsia" w:ascii="宋体" w:hAnsi="宋体" w:eastAsia="宋体" w:cs="宋体"/>
                <w:color w:val="000000"/>
                <w:sz w:val="21"/>
                <w:szCs w:val="21"/>
              </w:rPr>
              <w:t>颗粒物</w:t>
            </w:r>
          </w:p>
        </w:tc>
        <w:tc>
          <w:tcPr>
            <w:tcW w:w="1819" w:type="dxa"/>
            <w:vAlign w:val="center"/>
          </w:tcPr>
          <w:p>
            <w:pPr>
              <w:adjustRightInd w:val="0"/>
              <w:snapToGrid w:val="0"/>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湿式破碎</w:t>
            </w:r>
          </w:p>
        </w:tc>
        <w:tc>
          <w:tcPr>
            <w:tcW w:w="3305" w:type="dxa"/>
            <w:vMerge w:val="continue"/>
            <w:tcBorders/>
            <w:vAlign w:val="center"/>
          </w:tcPr>
          <w:p>
            <w:pPr>
              <w:adjustRightInd w:val="0"/>
              <w:snapToGrid w:val="0"/>
              <w:jc w:val="center"/>
              <w:rPr>
                <w:rFonts w:hint="eastAsia" w:ascii="宋体" w:hAnsi="宋体" w:eastAsia="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25" w:type="dxa"/>
            <w:vMerge w:val="continue"/>
            <w:tcBorders/>
            <w:vAlign w:val="center"/>
          </w:tcPr>
          <w:p>
            <w:pPr>
              <w:adjustRightInd w:val="0"/>
              <w:snapToGrid w:val="0"/>
              <w:jc w:val="center"/>
              <w:rPr>
                <w:rFonts w:hint="eastAsia" w:ascii="宋体" w:hAnsi="宋体" w:eastAsia="宋体" w:cs="宋体"/>
                <w:sz w:val="21"/>
                <w:szCs w:val="21"/>
              </w:rPr>
            </w:pPr>
          </w:p>
        </w:tc>
        <w:tc>
          <w:tcPr>
            <w:tcW w:w="1410" w:type="dxa"/>
            <w:vAlign w:val="center"/>
          </w:tcPr>
          <w:p>
            <w:pPr>
              <w:spacing w:line="240" w:lineRule="atLeast"/>
              <w:jc w:val="center"/>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筛分</w:t>
            </w:r>
          </w:p>
        </w:tc>
        <w:tc>
          <w:tcPr>
            <w:tcW w:w="1065" w:type="dxa"/>
            <w:vAlign w:val="center"/>
          </w:tcPr>
          <w:p>
            <w:pPr>
              <w:adjustRightInd w:val="0"/>
              <w:snapToGrid w:val="0"/>
              <w:jc w:val="center"/>
              <w:rPr>
                <w:rFonts w:hint="eastAsia" w:ascii="宋体" w:hAnsi="宋体" w:eastAsia="宋体" w:cs="宋体"/>
                <w:kern w:val="2"/>
                <w:sz w:val="21"/>
                <w:szCs w:val="21"/>
                <w:lang w:val="en-US" w:eastAsia="zh-CN" w:bidi="ar-SA"/>
              </w:rPr>
            </w:pPr>
            <w:r>
              <w:rPr>
                <w:rFonts w:hint="eastAsia" w:ascii="宋体" w:hAnsi="宋体" w:eastAsia="宋体" w:cs="宋体"/>
                <w:color w:val="000000"/>
                <w:sz w:val="21"/>
                <w:szCs w:val="21"/>
              </w:rPr>
              <w:t>颗粒物</w:t>
            </w:r>
          </w:p>
        </w:tc>
        <w:tc>
          <w:tcPr>
            <w:tcW w:w="1819" w:type="dxa"/>
            <w:vAlign w:val="center"/>
          </w:tcPr>
          <w:p>
            <w:pPr>
              <w:adjustRightInd w:val="0"/>
              <w:snapToGrid w:val="0"/>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湿式筛分</w:t>
            </w:r>
          </w:p>
        </w:tc>
        <w:tc>
          <w:tcPr>
            <w:tcW w:w="3305" w:type="dxa"/>
            <w:vMerge w:val="continue"/>
            <w:tcBorders/>
            <w:vAlign w:val="center"/>
          </w:tcPr>
          <w:p>
            <w:pPr>
              <w:adjustRightInd w:val="0"/>
              <w:snapToGrid w:val="0"/>
              <w:jc w:val="center"/>
              <w:rPr>
                <w:rFonts w:hint="eastAsia" w:ascii="宋体" w:hAnsi="宋体" w:eastAsia="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25" w:type="dxa"/>
            <w:vMerge w:val="restart"/>
            <w:vAlign w:val="center"/>
          </w:tcPr>
          <w:p>
            <w:pPr>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声环境</w:t>
            </w:r>
          </w:p>
        </w:tc>
        <w:tc>
          <w:tcPr>
            <w:tcW w:w="1410" w:type="dxa"/>
            <w:vAlign w:val="center"/>
          </w:tcPr>
          <w:p>
            <w:pPr>
              <w:spacing w:line="240" w:lineRule="atLeast"/>
              <w:jc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color w:val="auto"/>
                <w:sz w:val="21"/>
                <w:szCs w:val="21"/>
                <w:lang w:val="en-US" w:eastAsia="zh-CN"/>
              </w:rPr>
              <w:t>头破</w:t>
            </w:r>
            <w:r>
              <w:rPr>
                <w:rFonts w:hint="eastAsia" w:ascii="宋体" w:hAnsi="宋体" w:eastAsia="宋体" w:cs="宋体"/>
                <w:color w:val="auto"/>
                <w:sz w:val="21"/>
                <w:szCs w:val="21"/>
              </w:rPr>
              <w:t>机</w:t>
            </w:r>
          </w:p>
        </w:tc>
        <w:tc>
          <w:tcPr>
            <w:tcW w:w="1065" w:type="dxa"/>
            <w:vMerge w:val="restart"/>
            <w:vAlign w:val="center"/>
          </w:tcPr>
          <w:p>
            <w:pPr>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噪声</w:t>
            </w:r>
          </w:p>
        </w:tc>
        <w:tc>
          <w:tcPr>
            <w:tcW w:w="1819" w:type="dxa"/>
            <w:vMerge w:val="restart"/>
            <w:vAlign w:val="center"/>
          </w:tcPr>
          <w:p>
            <w:pPr>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选用低噪声设备，隔声、建筑消声</w:t>
            </w:r>
          </w:p>
        </w:tc>
        <w:tc>
          <w:tcPr>
            <w:tcW w:w="3305" w:type="dxa"/>
            <w:vMerge w:val="restart"/>
            <w:vAlign w:val="center"/>
          </w:tcPr>
          <w:p>
            <w:pPr>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厂界满足《工业企业厂界环境噪声排放标准》（GB12348-2008）中的3类标准，周边敏感点满足《工业企业厂界环境噪声排放标准》（GB12348-2008）中的2类标准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25" w:type="dxa"/>
            <w:vMerge w:val="continue"/>
            <w:vAlign w:val="center"/>
          </w:tcPr>
          <w:p>
            <w:pPr>
              <w:adjustRightInd w:val="0"/>
              <w:snapToGrid w:val="0"/>
              <w:jc w:val="center"/>
              <w:rPr>
                <w:rFonts w:hint="eastAsia" w:ascii="宋体" w:hAnsi="宋体" w:eastAsia="宋体" w:cs="宋体"/>
                <w:sz w:val="21"/>
                <w:szCs w:val="21"/>
              </w:rPr>
            </w:pPr>
          </w:p>
        </w:tc>
        <w:tc>
          <w:tcPr>
            <w:tcW w:w="1410" w:type="dxa"/>
            <w:vAlign w:val="center"/>
          </w:tcPr>
          <w:p>
            <w:pPr>
              <w:spacing w:line="240" w:lineRule="atLeast"/>
              <w:jc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color w:val="auto"/>
                <w:sz w:val="21"/>
                <w:szCs w:val="21"/>
              </w:rPr>
              <w:t>圆锥破</w:t>
            </w:r>
          </w:p>
        </w:tc>
        <w:tc>
          <w:tcPr>
            <w:tcW w:w="1065" w:type="dxa"/>
            <w:vMerge w:val="continue"/>
            <w:vAlign w:val="center"/>
          </w:tcPr>
          <w:p>
            <w:pPr>
              <w:adjustRightInd w:val="0"/>
              <w:snapToGrid w:val="0"/>
              <w:jc w:val="center"/>
              <w:rPr>
                <w:rFonts w:hint="eastAsia" w:ascii="宋体" w:hAnsi="宋体" w:eastAsia="宋体" w:cs="宋体"/>
                <w:sz w:val="21"/>
                <w:szCs w:val="21"/>
              </w:rPr>
            </w:pPr>
          </w:p>
        </w:tc>
        <w:tc>
          <w:tcPr>
            <w:tcW w:w="1819" w:type="dxa"/>
            <w:vMerge w:val="continue"/>
            <w:vAlign w:val="center"/>
          </w:tcPr>
          <w:p>
            <w:pPr>
              <w:adjustRightInd w:val="0"/>
              <w:snapToGrid w:val="0"/>
              <w:jc w:val="center"/>
              <w:rPr>
                <w:rFonts w:hint="eastAsia" w:ascii="宋体" w:hAnsi="宋体" w:eastAsia="宋体" w:cs="宋体"/>
                <w:sz w:val="21"/>
                <w:szCs w:val="21"/>
              </w:rPr>
            </w:pPr>
          </w:p>
        </w:tc>
        <w:tc>
          <w:tcPr>
            <w:tcW w:w="3305" w:type="dxa"/>
            <w:vMerge w:val="continue"/>
            <w:vAlign w:val="center"/>
          </w:tcPr>
          <w:p>
            <w:pPr>
              <w:adjustRightInd w:val="0"/>
              <w:snapToGrid w:val="0"/>
              <w:jc w:val="center"/>
              <w:rPr>
                <w:rFonts w:hint="eastAsia" w:ascii="宋体" w:hAnsi="宋体" w:eastAsia="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25" w:type="dxa"/>
            <w:vMerge w:val="continue"/>
            <w:vAlign w:val="center"/>
          </w:tcPr>
          <w:p>
            <w:pPr>
              <w:adjustRightInd w:val="0"/>
              <w:snapToGrid w:val="0"/>
              <w:jc w:val="center"/>
              <w:rPr>
                <w:rFonts w:hint="eastAsia" w:ascii="宋体" w:hAnsi="宋体" w:eastAsia="宋体" w:cs="宋体"/>
                <w:sz w:val="21"/>
                <w:szCs w:val="21"/>
              </w:rPr>
            </w:pPr>
          </w:p>
        </w:tc>
        <w:tc>
          <w:tcPr>
            <w:tcW w:w="1410" w:type="dxa"/>
            <w:vAlign w:val="center"/>
          </w:tcPr>
          <w:p>
            <w:pPr>
              <w:spacing w:line="240" w:lineRule="atLeast"/>
              <w:jc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color w:val="auto"/>
                <w:sz w:val="21"/>
                <w:szCs w:val="21"/>
                <w:lang w:val="en-US" w:eastAsia="zh-CN"/>
              </w:rPr>
              <w:t>制砂机</w:t>
            </w:r>
          </w:p>
        </w:tc>
        <w:tc>
          <w:tcPr>
            <w:tcW w:w="1065" w:type="dxa"/>
            <w:vMerge w:val="continue"/>
            <w:vAlign w:val="center"/>
          </w:tcPr>
          <w:p>
            <w:pPr>
              <w:adjustRightInd w:val="0"/>
              <w:snapToGrid w:val="0"/>
              <w:jc w:val="center"/>
              <w:rPr>
                <w:rFonts w:hint="eastAsia" w:ascii="宋体" w:hAnsi="宋体" w:eastAsia="宋体" w:cs="宋体"/>
                <w:sz w:val="21"/>
                <w:szCs w:val="21"/>
              </w:rPr>
            </w:pPr>
          </w:p>
        </w:tc>
        <w:tc>
          <w:tcPr>
            <w:tcW w:w="1819" w:type="dxa"/>
            <w:vMerge w:val="continue"/>
            <w:vAlign w:val="center"/>
          </w:tcPr>
          <w:p>
            <w:pPr>
              <w:adjustRightInd w:val="0"/>
              <w:snapToGrid w:val="0"/>
              <w:jc w:val="center"/>
              <w:rPr>
                <w:rFonts w:hint="eastAsia" w:ascii="宋体" w:hAnsi="宋体" w:eastAsia="宋体" w:cs="宋体"/>
                <w:sz w:val="21"/>
                <w:szCs w:val="21"/>
              </w:rPr>
            </w:pPr>
          </w:p>
        </w:tc>
        <w:tc>
          <w:tcPr>
            <w:tcW w:w="3305" w:type="dxa"/>
            <w:vMerge w:val="continue"/>
            <w:vAlign w:val="center"/>
          </w:tcPr>
          <w:p>
            <w:pPr>
              <w:adjustRightInd w:val="0"/>
              <w:snapToGrid w:val="0"/>
              <w:jc w:val="center"/>
              <w:rPr>
                <w:rFonts w:hint="eastAsia" w:ascii="宋体" w:hAnsi="宋体" w:eastAsia="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25" w:type="dxa"/>
            <w:vMerge w:val="continue"/>
            <w:vAlign w:val="center"/>
          </w:tcPr>
          <w:p>
            <w:pPr>
              <w:adjustRightInd w:val="0"/>
              <w:snapToGrid w:val="0"/>
              <w:jc w:val="center"/>
              <w:rPr>
                <w:rFonts w:hint="eastAsia" w:ascii="宋体" w:hAnsi="宋体" w:eastAsia="宋体" w:cs="宋体"/>
                <w:sz w:val="21"/>
                <w:szCs w:val="21"/>
              </w:rPr>
            </w:pPr>
          </w:p>
        </w:tc>
        <w:tc>
          <w:tcPr>
            <w:tcW w:w="1410" w:type="dxa"/>
            <w:vAlign w:val="center"/>
          </w:tcPr>
          <w:p>
            <w:pPr>
              <w:spacing w:line="240" w:lineRule="atLeast"/>
              <w:jc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color w:val="auto"/>
                <w:sz w:val="21"/>
                <w:szCs w:val="21"/>
              </w:rPr>
              <w:t>振动筛</w:t>
            </w:r>
          </w:p>
        </w:tc>
        <w:tc>
          <w:tcPr>
            <w:tcW w:w="1065" w:type="dxa"/>
            <w:vMerge w:val="continue"/>
            <w:vAlign w:val="center"/>
          </w:tcPr>
          <w:p>
            <w:pPr>
              <w:adjustRightInd w:val="0"/>
              <w:snapToGrid w:val="0"/>
              <w:jc w:val="center"/>
              <w:rPr>
                <w:rFonts w:hint="eastAsia" w:ascii="宋体" w:hAnsi="宋体" w:eastAsia="宋体" w:cs="宋体"/>
                <w:sz w:val="21"/>
                <w:szCs w:val="21"/>
              </w:rPr>
            </w:pPr>
          </w:p>
        </w:tc>
        <w:tc>
          <w:tcPr>
            <w:tcW w:w="1819" w:type="dxa"/>
            <w:vMerge w:val="continue"/>
            <w:vAlign w:val="center"/>
          </w:tcPr>
          <w:p>
            <w:pPr>
              <w:adjustRightInd w:val="0"/>
              <w:snapToGrid w:val="0"/>
              <w:jc w:val="center"/>
              <w:rPr>
                <w:rFonts w:hint="eastAsia" w:ascii="宋体" w:hAnsi="宋体" w:eastAsia="宋体" w:cs="宋体"/>
                <w:sz w:val="21"/>
                <w:szCs w:val="21"/>
              </w:rPr>
            </w:pPr>
          </w:p>
        </w:tc>
        <w:tc>
          <w:tcPr>
            <w:tcW w:w="3305" w:type="dxa"/>
            <w:vMerge w:val="continue"/>
            <w:vAlign w:val="center"/>
          </w:tcPr>
          <w:p>
            <w:pPr>
              <w:adjustRightInd w:val="0"/>
              <w:snapToGrid w:val="0"/>
              <w:jc w:val="center"/>
              <w:rPr>
                <w:rFonts w:hint="eastAsia" w:ascii="宋体" w:hAnsi="宋体" w:eastAsia="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25" w:type="dxa"/>
            <w:vMerge w:val="continue"/>
            <w:vAlign w:val="center"/>
          </w:tcPr>
          <w:p>
            <w:pPr>
              <w:adjustRightInd w:val="0"/>
              <w:snapToGrid w:val="0"/>
              <w:jc w:val="center"/>
              <w:rPr>
                <w:rFonts w:hint="eastAsia" w:ascii="宋体" w:hAnsi="宋体" w:eastAsia="宋体" w:cs="宋体"/>
                <w:sz w:val="21"/>
                <w:szCs w:val="21"/>
              </w:rPr>
            </w:pPr>
          </w:p>
        </w:tc>
        <w:tc>
          <w:tcPr>
            <w:tcW w:w="1410" w:type="dxa"/>
            <w:vAlign w:val="center"/>
          </w:tcPr>
          <w:p>
            <w:pPr>
              <w:spacing w:line="240" w:lineRule="atLeast"/>
              <w:jc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color w:val="auto"/>
                <w:sz w:val="21"/>
                <w:szCs w:val="21"/>
                <w:lang w:val="en-US" w:eastAsia="zh-CN"/>
              </w:rPr>
              <w:t>脱水机</w:t>
            </w:r>
          </w:p>
        </w:tc>
        <w:tc>
          <w:tcPr>
            <w:tcW w:w="1065" w:type="dxa"/>
            <w:vMerge w:val="continue"/>
            <w:vAlign w:val="center"/>
          </w:tcPr>
          <w:p>
            <w:pPr>
              <w:adjustRightInd w:val="0"/>
              <w:snapToGrid w:val="0"/>
              <w:jc w:val="center"/>
              <w:rPr>
                <w:rFonts w:hint="eastAsia" w:ascii="宋体" w:hAnsi="宋体" w:eastAsia="宋体" w:cs="宋体"/>
                <w:sz w:val="21"/>
                <w:szCs w:val="21"/>
              </w:rPr>
            </w:pPr>
          </w:p>
        </w:tc>
        <w:tc>
          <w:tcPr>
            <w:tcW w:w="1819" w:type="dxa"/>
            <w:vMerge w:val="continue"/>
            <w:vAlign w:val="center"/>
          </w:tcPr>
          <w:p>
            <w:pPr>
              <w:adjustRightInd w:val="0"/>
              <w:snapToGrid w:val="0"/>
              <w:jc w:val="center"/>
              <w:rPr>
                <w:rFonts w:hint="eastAsia" w:ascii="宋体" w:hAnsi="宋体" w:eastAsia="宋体" w:cs="宋体"/>
                <w:sz w:val="21"/>
                <w:szCs w:val="21"/>
              </w:rPr>
            </w:pPr>
          </w:p>
        </w:tc>
        <w:tc>
          <w:tcPr>
            <w:tcW w:w="3305" w:type="dxa"/>
            <w:vMerge w:val="continue"/>
            <w:vAlign w:val="center"/>
          </w:tcPr>
          <w:p>
            <w:pPr>
              <w:adjustRightInd w:val="0"/>
              <w:snapToGrid w:val="0"/>
              <w:jc w:val="center"/>
              <w:rPr>
                <w:rFonts w:hint="eastAsia" w:ascii="宋体" w:hAnsi="宋体" w:eastAsia="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25" w:type="dxa"/>
            <w:vMerge w:val="continue"/>
            <w:vAlign w:val="center"/>
          </w:tcPr>
          <w:p>
            <w:pPr>
              <w:adjustRightInd w:val="0"/>
              <w:snapToGrid w:val="0"/>
              <w:jc w:val="center"/>
              <w:rPr>
                <w:rFonts w:hint="eastAsia" w:ascii="宋体" w:hAnsi="宋体" w:eastAsia="宋体" w:cs="宋体"/>
                <w:sz w:val="21"/>
                <w:szCs w:val="21"/>
              </w:rPr>
            </w:pPr>
          </w:p>
        </w:tc>
        <w:tc>
          <w:tcPr>
            <w:tcW w:w="1410" w:type="dxa"/>
            <w:vAlign w:val="center"/>
          </w:tcPr>
          <w:p>
            <w:pPr>
              <w:spacing w:line="240" w:lineRule="atLeast"/>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洗砂机</w:t>
            </w:r>
          </w:p>
        </w:tc>
        <w:tc>
          <w:tcPr>
            <w:tcW w:w="1065" w:type="dxa"/>
            <w:vMerge w:val="continue"/>
            <w:vAlign w:val="center"/>
          </w:tcPr>
          <w:p>
            <w:pPr>
              <w:adjustRightInd w:val="0"/>
              <w:snapToGrid w:val="0"/>
              <w:jc w:val="center"/>
              <w:rPr>
                <w:rFonts w:hint="eastAsia" w:ascii="宋体" w:hAnsi="宋体" w:eastAsia="宋体" w:cs="宋体"/>
                <w:sz w:val="21"/>
                <w:szCs w:val="21"/>
              </w:rPr>
            </w:pPr>
          </w:p>
        </w:tc>
        <w:tc>
          <w:tcPr>
            <w:tcW w:w="1819" w:type="dxa"/>
            <w:vMerge w:val="continue"/>
            <w:vAlign w:val="center"/>
          </w:tcPr>
          <w:p>
            <w:pPr>
              <w:adjustRightInd w:val="0"/>
              <w:snapToGrid w:val="0"/>
              <w:jc w:val="center"/>
              <w:rPr>
                <w:rFonts w:hint="eastAsia" w:ascii="宋体" w:hAnsi="宋体" w:eastAsia="宋体" w:cs="宋体"/>
                <w:sz w:val="21"/>
                <w:szCs w:val="21"/>
              </w:rPr>
            </w:pPr>
          </w:p>
        </w:tc>
        <w:tc>
          <w:tcPr>
            <w:tcW w:w="3305" w:type="dxa"/>
            <w:vMerge w:val="continue"/>
            <w:vAlign w:val="center"/>
          </w:tcPr>
          <w:p>
            <w:pPr>
              <w:adjustRightInd w:val="0"/>
              <w:snapToGrid w:val="0"/>
              <w:jc w:val="center"/>
              <w:rPr>
                <w:rFonts w:hint="eastAsia" w:ascii="宋体" w:hAnsi="宋体" w:eastAsia="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25" w:type="dxa"/>
            <w:vAlign w:val="center"/>
          </w:tcPr>
          <w:p>
            <w:pPr>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电磁辐射</w:t>
            </w:r>
          </w:p>
        </w:tc>
        <w:tc>
          <w:tcPr>
            <w:tcW w:w="1410" w:type="dxa"/>
            <w:vAlign w:val="center"/>
          </w:tcPr>
          <w:p>
            <w:pPr>
              <w:spacing w:line="240" w:lineRule="atLeast"/>
              <w:jc w:val="center"/>
              <w:rPr>
                <w:rFonts w:hint="eastAsia" w:ascii="宋体" w:hAnsi="宋体" w:eastAsia="宋体" w:cs="宋体"/>
                <w:color w:val="auto"/>
                <w:kern w:val="2"/>
                <w:sz w:val="21"/>
                <w:szCs w:val="21"/>
                <w:lang w:val="en-US" w:eastAsia="zh-CN" w:bidi="ar-SA"/>
              </w:rPr>
            </w:pPr>
            <w:r>
              <w:rPr>
                <w:rFonts w:hint="eastAsia" w:ascii="宋体" w:hAnsi="宋体" w:eastAsia="宋体" w:cs="宋体"/>
                <w:sz w:val="21"/>
                <w:szCs w:val="21"/>
              </w:rPr>
              <w:t>/</w:t>
            </w:r>
          </w:p>
        </w:tc>
        <w:tc>
          <w:tcPr>
            <w:tcW w:w="1065" w:type="dxa"/>
            <w:vAlign w:val="center"/>
          </w:tcPr>
          <w:p>
            <w:pPr>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1819" w:type="dxa"/>
            <w:vAlign w:val="center"/>
          </w:tcPr>
          <w:p>
            <w:pPr>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3305" w:type="dxa"/>
            <w:vAlign w:val="center"/>
          </w:tcPr>
          <w:p>
            <w:pPr>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1225" w:type="dxa"/>
            <w:vAlign w:val="center"/>
          </w:tcPr>
          <w:p>
            <w:pPr>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固体废物</w:t>
            </w:r>
          </w:p>
        </w:tc>
        <w:tc>
          <w:tcPr>
            <w:tcW w:w="7599" w:type="dxa"/>
            <w:gridSpan w:val="4"/>
            <w:vAlign w:val="center"/>
          </w:tcPr>
          <w:p>
            <w:pPr>
              <w:adjustRightInd w:val="0"/>
              <w:snapToGrid w:val="0"/>
              <w:rPr>
                <w:rFonts w:hint="eastAsia" w:ascii="宋体" w:hAnsi="宋体" w:eastAsia="宋体" w:cs="宋体"/>
                <w:sz w:val="21"/>
                <w:szCs w:val="21"/>
              </w:rPr>
            </w:pPr>
            <w:r>
              <w:rPr>
                <w:rFonts w:hint="eastAsia" w:ascii="宋体" w:hAnsi="宋体" w:eastAsia="宋体" w:cs="宋体"/>
                <w:color w:val="000000"/>
                <w:sz w:val="21"/>
                <w:szCs w:val="21"/>
                <w:lang w:val="en-US" w:eastAsia="zh-CN"/>
              </w:rPr>
              <w:t>沉淀池沉渣收集于一般固废库外售</w:t>
            </w:r>
            <w:r>
              <w:rPr>
                <w:rFonts w:hint="eastAsia" w:ascii="宋体" w:hAnsi="宋体" w:eastAsia="宋体" w:cs="宋体"/>
                <w:color w:val="000000"/>
                <w:sz w:val="21"/>
                <w:szCs w:val="21"/>
              </w:rPr>
              <w:t>处理；废</w:t>
            </w:r>
            <w:r>
              <w:rPr>
                <w:rFonts w:hint="eastAsia" w:ascii="宋体" w:hAnsi="宋体" w:eastAsia="宋体" w:cs="宋体"/>
                <w:color w:val="000000"/>
                <w:sz w:val="21"/>
                <w:szCs w:val="21"/>
                <w:lang w:val="en-US" w:eastAsia="zh-CN"/>
              </w:rPr>
              <w:t>油</w:t>
            </w:r>
            <w:r>
              <w:rPr>
                <w:rFonts w:hint="eastAsia" w:ascii="宋体" w:hAnsi="宋体" w:eastAsia="宋体" w:cs="宋体"/>
                <w:color w:val="000000"/>
                <w:sz w:val="21"/>
                <w:szCs w:val="21"/>
              </w:rPr>
              <w:t>桶、废油</w:t>
            </w:r>
            <w:r>
              <w:rPr>
                <w:rFonts w:hint="eastAsia" w:ascii="宋体" w:hAnsi="宋体" w:cs="宋体"/>
                <w:color w:val="000000"/>
                <w:sz w:val="21"/>
                <w:szCs w:val="21"/>
                <w:lang w:val="en-US" w:eastAsia="zh-CN"/>
              </w:rPr>
              <w:t>和废含油手套、抹布</w:t>
            </w:r>
            <w:r>
              <w:rPr>
                <w:rFonts w:hint="eastAsia" w:ascii="宋体" w:hAnsi="宋体" w:eastAsia="宋体" w:cs="宋体"/>
                <w:color w:val="000000"/>
                <w:sz w:val="21"/>
                <w:szCs w:val="21"/>
              </w:rPr>
              <w:t>收集后交由资质单位处理（危废暂存</w:t>
            </w:r>
            <w:r>
              <w:rPr>
                <w:rFonts w:hint="eastAsia" w:ascii="宋体" w:hAnsi="宋体" w:eastAsia="宋体" w:cs="宋体"/>
                <w:color w:val="000000"/>
                <w:sz w:val="21"/>
                <w:szCs w:val="21"/>
                <w:lang w:val="en-US" w:eastAsia="zh-CN"/>
              </w:rPr>
              <w:t>间</w:t>
            </w:r>
            <w:r>
              <w:rPr>
                <w:rFonts w:hint="eastAsia" w:ascii="宋体" w:hAnsi="宋体" w:eastAsia="宋体" w:cs="宋体"/>
                <w:color w:val="000000"/>
                <w:sz w:val="21"/>
                <w:szCs w:val="21"/>
              </w:rPr>
              <w:t>约1</w:t>
            </w:r>
            <w:r>
              <w:rPr>
                <w:rFonts w:hint="eastAsia" w:ascii="宋体" w:hAnsi="宋体" w:eastAsia="宋体" w:cs="宋体"/>
                <w:color w:val="000000"/>
                <w:sz w:val="21"/>
                <w:szCs w:val="21"/>
                <w:lang w:val="en-US" w:eastAsia="zh-CN"/>
              </w:rPr>
              <w:t>0</w:t>
            </w:r>
            <w:r>
              <w:rPr>
                <w:rFonts w:hint="eastAsia" w:ascii="宋体" w:hAnsi="宋体" w:eastAsia="宋体" w:cs="宋体"/>
                <w:color w:val="000000"/>
                <w:sz w:val="21"/>
                <w:szCs w:val="21"/>
              </w:rPr>
              <w:t>m</w:t>
            </w:r>
            <w:r>
              <w:rPr>
                <w:rFonts w:hint="eastAsia" w:ascii="宋体" w:hAnsi="宋体" w:eastAsia="宋体" w:cs="宋体"/>
                <w:color w:val="000000"/>
                <w:sz w:val="21"/>
                <w:szCs w:val="21"/>
                <w:vertAlign w:val="superscript"/>
              </w:rPr>
              <w:t>2</w:t>
            </w:r>
            <w:r>
              <w:rPr>
                <w:rFonts w:hint="eastAsia" w:ascii="宋体" w:hAnsi="宋体" w:eastAsia="宋体" w:cs="宋体"/>
                <w:color w:val="000000"/>
                <w:sz w:val="21"/>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1225" w:type="dxa"/>
            <w:vAlign w:val="center"/>
          </w:tcPr>
          <w:p>
            <w:pPr>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土壤及地下水</w:t>
            </w:r>
          </w:p>
          <w:p>
            <w:pPr>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污染防治措施</w:t>
            </w:r>
          </w:p>
        </w:tc>
        <w:tc>
          <w:tcPr>
            <w:tcW w:w="7599" w:type="dxa"/>
            <w:gridSpan w:val="4"/>
            <w:vAlign w:val="center"/>
          </w:tcPr>
          <w:p>
            <w:pPr>
              <w:adjustRightInd w:val="0"/>
              <w:snapToGrid w:val="0"/>
              <w:rPr>
                <w:rFonts w:hint="eastAsia" w:ascii="宋体" w:hAnsi="宋体" w:eastAsia="宋体" w:cs="宋体"/>
                <w:sz w:val="21"/>
                <w:szCs w:val="21"/>
                <w:lang w:eastAsia="zh-CN"/>
              </w:rPr>
            </w:pPr>
            <w:r>
              <w:rPr>
                <w:rFonts w:hint="eastAsia" w:ascii="宋体" w:hAnsi="宋体" w:eastAsia="宋体" w:cs="宋体"/>
                <w:color w:val="000000"/>
                <w:sz w:val="21"/>
                <w:szCs w:val="21"/>
              </w:rPr>
              <w:t>一般固废</w:t>
            </w:r>
            <w:r>
              <w:rPr>
                <w:rFonts w:hint="eastAsia" w:ascii="宋体" w:hAnsi="宋体" w:eastAsia="宋体" w:cs="宋体"/>
                <w:color w:val="000000"/>
                <w:sz w:val="21"/>
                <w:szCs w:val="21"/>
                <w:lang w:val="en-US" w:eastAsia="zh-CN"/>
              </w:rPr>
              <w:t>库和</w:t>
            </w:r>
            <w:r>
              <w:rPr>
                <w:rFonts w:hint="eastAsia" w:ascii="宋体" w:hAnsi="宋体" w:eastAsia="宋体" w:cs="宋体"/>
                <w:color w:val="000000"/>
                <w:sz w:val="21"/>
                <w:szCs w:val="21"/>
              </w:rPr>
              <w:t>材料库</w:t>
            </w:r>
            <w:r>
              <w:rPr>
                <w:rFonts w:hint="eastAsia" w:ascii="宋体" w:hAnsi="宋体" w:eastAsia="宋体" w:cs="宋体"/>
                <w:color w:val="000000"/>
                <w:sz w:val="21"/>
                <w:szCs w:val="21"/>
                <w:lang w:eastAsia="zh-CN"/>
              </w:rPr>
              <w:t>，</w:t>
            </w:r>
            <w:r>
              <w:rPr>
                <w:rFonts w:hint="eastAsia" w:ascii="宋体" w:hAnsi="宋体" w:eastAsia="宋体" w:cs="宋体"/>
                <w:color w:val="000000"/>
                <w:sz w:val="21"/>
                <w:szCs w:val="21"/>
                <w:lang w:val="en-US" w:eastAsia="zh-CN"/>
              </w:rPr>
              <w:t>生产车间为一般防渗，</w:t>
            </w:r>
            <w:r>
              <w:rPr>
                <w:rFonts w:hint="eastAsia" w:ascii="宋体" w:hAnsi="宋体" w:eastAsia="宋体" w:cs="宋体"/>
                <w:color w:val="000000"/>
                <w:sz w:val="21"/>
                <w:szCs w:val="21"/>
              </w:rPr>
              <w:t>危废暂存</w:t>
            </w:r>
            <w:r>
              <w:rPr>
                <w:rFonts w:hint="eastAsia" w:ascii="宋体" w:hAnsi="宋体" w:eastAsia="宋体" w:cs="宋体"/>
                <w:color w:val="000000"/>
                <w:sz w:val="21"/>
                <w:szCs w:val="21"/>
                <w:lang w:val="en-US" w:eastAsia="zh-CN"/>
              </w:rPr>
              <w:t>间和混合水</w:t>
            </w:r>
            <w:r>
              <w:rPr>
                <w:rFonts w:hint="eastAsia" w:ascii="宋体" w:hAnsi="宋体" w:eastAsia="宋体" w:cs="宋体"/>
                <w:color w:val="000000"/>
                <w:sz w:val="21"/>
                <w:szCs w:val="21"/>
              </w:rPr>
              <w:t>池为重点防渗</w:t>
            </w:r>
            <w:r>
              <w:rPr>
                <w:rFonts w:hint="eastAsia" w:ascii="宋体" w:hAnsi="宋体" w:eastAsia="宋体" w:cs="宋体"/>
                <w:color w:val="000000"/>
                <w:sz w:val="21"/>
                <w:szCs w:val="21"/>
                <w:lang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1225" w:type="dxa"/>
            <w:vAlign w:val="center"/>
          </w:tcPr>
          <w:p>
            <w:pPr>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生态保护措施</w:t>
            </w:r>
          </w:p>
        </w:tc>
        <w:tc>
          <w:tcPr>
            <w:tcW w:w="7599" w:type="dxa"/>
            <w:gridSpan w:val="4"/>
            <w:vAlign w:val="center"/>
          </w:tcPr>
          <w:p>
            <w:pPr>
              <w:adjustRightInd w:val="0"/>
              <w:snapToGrid w:val="0"/>
              <w:rPr>
                <w:rFonts w:hint="eastAsia" w:ascii="宋体" w:hAnsi="宋体" w:eastAsia="宋体" w:cs="宋体"/>
                <w:sz w:val="21"/>
                <w:szCs w:val="21"/>
              </w:rPr>
            </w:pPr>
            <w:r>
              <w:rPr>
                <w:rFonts w:hint="eastAsia" w:ascii="宋体" w:hAnsi="宋体" w:eastAsia="宋体" w:cs="宋体"/>
                <w:sz w:val="21"/>
                <w:szCs w:val="21"/>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1225" w:type="dxa"/>
            <w:vAlign w:val="center"/>
          </w:tcPr>
          <w:p>
            <w:pPr>
              <w:adjustRightInd w:val="0"/>
              <w:snapToGrid w:val="0"/>
              <w:jc w:val="center"/>
              <w:rPr>
                <w:rFonts w:hint="eastAsia" w:ascii="宋体" w:hAnsi="宋体" w:eastAsia="宋体" w:cs="宋体"/>
                <w:spacing w:val="-8"/>
                <w:sz w:val="21"/>
                <w:szCs w:val="21"/>
              </w:rPr>
            </w:pPr>
            <w:r>
              <w:rPr>
                <w:rFonts w:hint="eastAsia" w:ascii="宋体" w:hAnsi="宋体" w:eastAsia="宋体" w:cs="宋体"/>
                <w:spacing w:val="-8"/>
                <w:sz w:val="21"/>
                <w:szCs w:val="21"/>
              </w:rPr>
              <w:t>环境风险</w:t>
            </w:r>
          </w:p>
          <w:p>
            <w:pPr>
              <w:adjustRightInd w:val="0"/>
              <w:snapToGrid w:val="0"/>
              <w:jc w:val="center"/>
              <w:rPr>
                <w:rFonts w:hint="eastAsia" w:ascii="宋体" w:hAnsi="宋体" w:eastAsia="宋体" w:cs="宋体"/>
                <w:spacing w:val="-8"/>
                <w:sz w:val="21"/>
                <w:szCs w:val="21"/>
              </w:rPr>
            </w:pPr>
            <w:r>
              <w:rPr>
                <w:rFonts w:hint="eastAsia" w:ascii="宋体" w:hAnsi="宋体" w:eastAsia="宋体" w:cs="宋体"/>
                <w:spacing w:val="-8"/>
                <w:sz w:val="21"/>
                <w:szCs w:val="21"/>
              </w:rPr>
              <w:t>防范措施</w:t>
            </w:r>
          </w:p>
        </w:tc>
        <w:tc>
          <w:tcPr>
            <w:tcW w:w="7599" w:type="dxa"/>
            <w:gridSpan w:val="4"/>
            <w:vAlign w:val="center"/>
          </w:tcPr>
          <w:p>
            <w:pPr>
              <w:adjustRightInd w:val="0"/>
              <w:snapToGrid w:val="0"/>
              <w:rPr>
                <w:rFonts w:hint="eastAsia" w:ascii="宋体" w:hAnsi="宋体" w:eastAsia="宋体" w:cs="宋体"/>
                <w:sz w:val="21"/>
                <w:szCs w:val="21"/>
              </w:rPr>
            </w:pPr>
            <w:r>
              <w:rPr>
                <w:rFonts w:hint="eastAsia" w:ascii="宋体" w:hAnsi="宋体" w:eastAsia="宋体" w:cs="宋体"/>
                <w:color w:val="000000"/>
                <w:sz w:val="21"/>
                <w:szCs w:val="21"/>
              </w:rPr>
              <w:t>配备相应风险防范物资。危废暂存间</w:t>
            </w:r>
            <w:r>
              <w:rPr>
                <w:rFonts w:hint="eastAsia" w:ascii="宋体" w:hAnsi="宋体" w:eastAsia="宋体" w:cs="宋体"/>
                <w:color w:val="auto"/>
                <w:sz w:val="21"/>
                <w:szCs w:val="21"/>
              </w:rPr>
              <w:t>、</w:t>
            </w:r>
            <w:r>
              <w:rPr>
                <w:rFonts w:hint="eastAsia" w:ascii="宋体" w:hAnsi="宋体" w:eastAsia="宋体" w:cs="宋体"/>
                <w:color w:val="auto"/>
                <w:sz w:val="21"/>
                <w:szCs w:val="21"/>
                <w:lang w:val="en-US" w:eastAsia="zh-CN"/>
              </w:rPr>
              <w:t>混合水</w:t>
            </w:r>
            <w:r>
              <w:rPr>
                <w:rFonts w:hint="eastAsia" w:ascii="宋体" w:hAnsi="宋体" w:eastAsia="宋体" w:cs="宋体"/>
                <w:color w:val="000000"/>
                <w:sz w:val="21"/>
                <w:szCs w:val="21"/>
              </w:rPr>
              <w:t>池按照重点防渗区进行防渗</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1225" w:type="dxa"/>
            <w:vAlign w:val="center"/>
          </w:tcPr>
          <w:p>
            <w:pPr>
              <w:adjustRightInd w:val="0"/>
              <w:snapToGrid w:val="0"/>
              <w:jc w:val="center"/>
              <w:rPr>
                <w:rFonts w:hint="eastAsia" w:ascii="宋体" w:hAnsi="宋体" w:eastAsia="宋体" w:cs="宋体"/>
                <w:spacing w:val="-8"/>
                <w:sz w:val="21"/>
                <w:szCs w:val="21"/>
              </w:rPr>
            </w:pPr>
            <w:r>
              <w:rPr>
                <w:rFonts w:hint="eastAsia" w:ascii="宋体" w:hAnsi="宋体" w:eastAsia="宋体" w:cs="宋体"/>
                <w:spacing w:val="-8"/>
                <w:sz w:val="21"/>
                <w:szCs w:val="21"/>
              </w:rPr>
              <w:t>其他环境</w:t>
            </w:r>
          </w:p>
          <w:p>
            <w:pPr>
              <w:adjustRightInd w:val="0"/>
              <w:snapToGrid w:val="0"/>
              <w:jc w:val="center"/>
              <w:rPr>
                <w:rFonts w:hint="eastAsia" w:ascii="宋体" w:hAnsi="宋体" w:eastAsia="宋体" w:cs="宋体"/>
                <w:spacing w:val="-8"/>
                <w:sz w:val="21"/>
                <w:szCs w:val="21"/>
              </w:rPr>
            </w:pPr>
            <w:r>
              <w:rPr>
                <w:rFonts w:hint="eastAsia" w:ascii="宋体" w:hAnsi="宋体" w:eastAsia="宋体" w:cs="宋体"/>
                <w:spacing w:val="-8"/>
                <w:sz w:val="21"/>
                <w:szCs w:val="21"/>
              </w:rPr>
              <w:t>管理要求</w:t>
            </w:r>
          </w:p>
        </w:tc>
        <w:tc>
          <w:tcPr>
            <w:tcW w:w="7599" w:type="dxa"/>
            <w:gridSpan w:val="4"/>
            <w:vAlign w:val="center"/>
          </w:tcPr>
          <w:p>
            <w:pPr>
              <w:pStyle w:val="14"/>
              <w:spacing w:after="0" w:line="360" w:lineRule="auto"/>
              <w:ind w:left="0" w:leftChars="0"/>
              <w:rPr>
                <w:rFonts w:hint="eastAsia" w:ascii="宋体" w:hAnsi="宋体" w:eastAsia="宋体" w:cs="宋体"/>
                <w:sz w:val="21"/>
                <w:szCs w:val="21"/>
              </w:rPr>
            </w:pPr>
            <w:r>
              <w:rPr>
                <w:rFonts w:hint="eastAsia" w:ascii="宋体" w:hAnsi="宋体" w:eastAsia="宋体" w:cs="宋体"/>
                <w:sz w:val="21"/>
                <w:szCs w:val="21"/>
              </w:rPr>
              <w:t>/</w:t>
            </w:r>
          </w:p>
        </w:tc>
      </w:tr>
    </w:tbl>
    <w:p>
      <w:pPr>
        <w:pStyle w:val="24"/>
        <w:jc w:val="center"/>
        <w:outlineLvl w:val="0"/>
        <w:rPr>
          <w:rFonts w:ascii="Times New Roman" w:hAnsi="Times New Roman"/>
          <w:snapToGrid w:val="0"/>
          <w:sz w:val="30"/>
          <w:szCs w:val="30"/>
        </w:rPr>
      </w:pPr>
      <w:r>
        <w:rPr>
          <w:rFonts w:ascii="Times New Roman" w:hAnsi="Times New Roman"/>
          <w:snapToGrid w:val="0"/>
        </w:rPr>
        <w:br w:type="page"/>
      </w:r>
      <w:r>
        <w:rPr>
          <w:rFonts w:hint="eastAsia" w:ascii="Times New Roman" w:hAnsi="Times New Roman"/>
          <w:snapToGrid w:val="0"/>
          <w:sz w:val="30"/>
          <w:szCs w:val="30"/>
        </w:rPr>
        <w:t>六、结论</w:t>
      </w:r>
    </w:p>
    <w:tbl>
      <w:tblPr>
        <w:tblStyle w:val="26"/>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886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8865" w:type="dxa"/>
            <w:vAlign w:val="center"/>
          </w:tcPr>
          <w:p>
            <w:pPr>
              <w:spacing w:line="360" w:lineRule="auto"/>
              <w:ind w:firstLine="720" w:firstLineChars="300"/>
              <w:rPr>
                <w:rFonts w:cs="宋体"/>
                <w:sz w:val="24"/>
              </w:rPr>
            </w:pPr>
            <w:r>
              <w:rPr>
                <w:rFonts w:hint="eastAsia" w:cs="宋体"/>
                <w:sz w:val="24"/>
              </w:rPr>
              <w:t>项目的建设符合国家和地方产业政策，项目在落实环评中的污染防治措施后， 各项污染物可以达标排放，对环境的影响也比较小。因此，从环境保护的角度来讲， 本评价认为项目在坚持“三同时”原则并采取一定的环保措施后，项目建设是可行的</w:t>
            </w:r>
          </w:p>
        </w:tc>
      </w:tr>
    </w:tbl>
    <w:p/>
    <w:p/>
    <w:tbl>
      <w:tblPr>
        <w:tblStyle w:val="2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7" w:hRule="atLeast"/>
          <w:jc w:val="center"/>
        </w:trPr>
        <w:tc>
          <w:tcPr>
            <w:tcW w:w="9185" w:type="dxa"/>
            <w:tcBorders>
              <w:top w:val="single" w:color="auto" w:sz="4" w:space="0"/>
              <w:left w:val="single" w:color="auto" w:sz="4" w:space="0"/>
              <w:bottom w:val="single" w:color="auto" w:sz="4" w:space="0"/>
              <w:right w:val="single" w:color="auto" w:sz="4" w:space="0"/>
            </w:tcBorders>
          </w:tcPr>
          <w:p>
            <w:pPr>
              <w:rPr>
                <w:color w:val="000000"/>
                <w:kern w:val="0"/>
                <w:sz w:val="24"/>
              </w:rPr>
            </w:pPr>
            <w:r>
              <w:rPr>
                <w:color w:val="000000"/>
                <w:kern w:val="0"/>
                <w:sz w:val="24"/>
              </w:rPr>
              <w:t>预审意见：</w:t>
            </w: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kern w:val="0"/>
                <w:sz w:val="24"/>
              </w:rPr>
            </w:pPr>
          </w:p>
          <w:p>
            <w:pPr>
              <w:rPr>
                <w:color w:val="000000"/>
                <w:kern w:val="0"/>
                <w:sz w:val="24"/>
              </w:rPr>
            </w:pPr>
          </w:p>
          <w:p>
            <w:pPr>
              <w:rPr>
                <w:color w:val="000000"/>
                <w:kern w:val="0"/>
                <w:sz w:val="24"/>
              </w:rPr>
            </w:pPr>
            <w:r>
              <w:rPr>
                <w:color w:val="000000"/>
                <w:kern w:val="0"/>
                <w:sz w:val="24"/>
              </w:rPr>
              <w:t xml:space="preserve">                                                       </w:t>
            </w:r>
            <w:r>
              <w:rPr>
                <w:color w:val="000000"/>
                <w:sz w:val="24"/>
              </w:rPr>
              <w:t> </w:t>
            </w:r>
            <w:r>
              <w:rPr>
                <w:color w:val="000000"/>
                <w:kern w:val="0"/>
                <w:sz w:val="24"/>
              </w:rPr>
              <w:t>公   章</w:t>
            </w:r>
          </w:p>
          <w:p>
            <w:pPr>
              <w:ind w:firstLine="720" w:firstLineChars="300"/>
              <w:rPr>
                <w:color w:val="000000"/>
                <w:sz w:val="24"/>
              </w:rPr>
            </w:pPr>
          </w:p>
          <w:p>
            <w:pPr>
              <w:rPr>
                <w:color w:val="000000"/>
                <w:sz w:val="24"/>
              </w:rPr>
            </w:pPr>
          </w:p>
          <w:p>
            <w:pPr>
              <w:rPr>
                <w:color w:val="000000"/>
                <w:sz w:val="24"/>
              </w:rPr>
            </w:pPr>
            <w:r>
              <w:rPr>
                <w:color w:val="000000"/>
                <w:sz w:val="24"/>
              </w:rPr>
              <w:t xml:space="preserve">           </w:t>
            </w:r>
            <w:r>
              <w:rPr>
                <w:color w:val="000000"/>
                <w:kern w:val="0"/>
                <w:sz w:val="24"/>
              </w:rPr>
              <w:t xml:space="preserve">经办人： </w:t>
            </w:r>
            <w:r>
              <w:rPr>
                <w:color w:val="000000"/>
                <w:sz w:val="24"/>
              </w:rPr>
              <w:t xml:space="preserve">                                       </w:t>
            </w:r>
            <w:r>
              <w:rPr>
                <w:color w:val="000000"/>
                <w:kern w:val="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5" w:hRule="atLeast"/>
          <w:jc w:val="center"/>
        </w:trPr>
        <w:tc>
          <w:tcPr>
            <w:tcW w:w="9185" w:type="dxa"/>
            <w:tcBorders>
              <w:top w:val="single" w:color="auto" w:sz="4" w:space="0"/>
              <w:left w:val="single" w:color="auto" w:sz="4" w:space="0"/>
              <w:bottom w:val="single" w:color="auto" w:sz="4" w:space="0"/>
              <w:right w:val="single" w:color="auto" w:sz="4" w:space="0"/>
            </w:tcBorders>
          </w:tcPr>
          <w:p>
            <w:pPr>
              <w:rPr>
                <w:color w:val="000000"/>
                <w:kern w:val="0"/>
                <w:sz w:val="24"/>
              </w:rPr>
            </w:pPr>
            <w:r>
              <w:rPr>
                <w:color w:val="000000"/>
                <w:kern w:val="0"/>
                <w:sz w:val="24"/>
              </w:rPr>
              <w:t>下一级环境保护行政主管部门审查意见：</w:t>
            </w:r>
          </w:p>
          <w:p>
            <w:pPr>
              <w:rPr>
                <w:color w:val="000000"/>
                <w:kern w:val="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kern w:val="0"/>
                <w:sz w:val="24"/>
              </w:rPr>
            </w:pPr>
            <w:r>
              <w:rPr>
                <w:color w:val="000000"/>
                <w:sz w:val="24"/>
              </w:rPr>
              <w:t xml:space="preserve">                                                             </w:t>
            </w:r>
            <w:r>
              <w:rPr>
                <w:color w:val="000000"/>
                <w:kern w:val="0"/>
                <w:sz w:val="24"/>
              </w:rPr>
              <w:t>公   章</w:t>
            </w:r>
          </w:p>
          <w:p>
            <w:pPr>
              <w:rPr>
                <w:color w:val="000000"/>
                <w:sz w:val="24"/>
              </w:rPr>
            </w:pPr>
          </w:p>
          <w:p>
            <w:pPr>
              <w:rPr>
                <w:color w:val="000000"/>
                <w:sz w:val="24"/>
              </w:rPr>
            </w:pPr>
          </w:p>
          <w:p>
            <w:pPr>
              <w:rPr>
                <w:color w:val="000000"/>
                <w:sz w:val="24"/>
              </w:rPr>
            </w:pPr>
            <w:r>
              <w:rPr>
                <w:color w:val="000000"/>
                <w:sz w:val="24"/>
              </w:rPr>
              <w:t xml:space="preserve">          </w:t>
            </w:r>
            <w:r>
              <w:rPr>
                <w:color w:val="000000"/>
                <w:kern w:val="0"/>
                <w:sz w:val="24"/>
              </w:rPr>
              <w:t>经办人：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7" w:hRule="atLeast"/>
          <w:jc w:val="center"/>
        </w:trPr>
        <w:tc>
          <w:tcPr>
            <w:tcW w:w="9185" w:type="dxa"/>
            <w:tcBorders>
              <w:top w:val="single" w:color="auto" w:sz="4" w:space="0"/>
              <w:left w:val="single" w:color="auto" w:sz="4" w:space="0"/>
              <w:bottom w:val="single" w:color="auto" w:sz="4" w:space="0"/>
              <w:right w:val="single" w:color="auto" w:sz="4" w:space="0"/>
            </w:tcBorders>
            <w:vAlign w:val="center"/>
          </w:tcPr>
          <w:p>
            <w:pPr>
              <w:rPr>
                <w:color w:val="000000"/>
                <w:sz w:val="24"/>
              </w:rPr>
            </w:pPr>
            <w:r>
              <w:rPr>
                <w:color w:val="000000"/>
                <w:sz w:val="24"/>
              </w:rPr>
              <w:t>审批意见：</w:t>
            </w: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r>
              <w:rPr>
                <w:color w:val="000000"/>
                <w:sz w:val="24"/>
              </w:rPr>
              <w:t xml:space="preserve">                                                    公   章</w:t>
            </w:r>
          </w:p>
          <w:p>
            <w:pPr>
              <w:rPr>
                <w:color w:val="000000"/>
                <w:sz w:val="24"/>
              </w:rPr>
            </w:pPr>
            <w:r>
              <w:rPr>
                <w:color w:val="000000"/>
                <w:sz w:val="24"/>
              </w:rPr>
              <w:t xml:space="preserve"> 经办人                                         年   月   日</w:t>
            </w:r>
          </w:p>
          <w:p>
            <w:pPr>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7" w:hRule="atLeast"/>
          <w:jc w:val="center"/>
        </w:trPr>
        <w:tc>
          <w:tcPr>
            <w:tcW w:w="918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b/>
                <w:color w:val="000000"/>
                <w:kern w:val="0"/>
                <w:sz w:val="24"/>
              </w:rPr>
            </w:pPr>
            <w:r>
              <w:rPr>
                <w:rFonts w:hint="eastAsia"/>
                <w:b/>
                <w:color w:val="000000"/>
                <w:kern w:val="0"/>
                <w:sz w:val="24"/>
              </w:rPr>
              <w:t>附件:</w:t>
            </w:r>
          </w:p>
          <w:p>
            <w:pPr>
              <w:widowControl/>
              <w:spacing w:line="360" w:lineRule="auto"/>
              <w:ind w:firstLine="700" w:firstLineChars="292"/>
              <w:jc w:val="left"/>
              <w:rPr>
                <w:color w:val="000000"/>
                <w:kern w:val="0"/>
                <w:sz w:val="24"/>
              </w:rPr>
            </w:pPr>
            <w:r>
              <w:rPr>
                <w:color w:val="000000"/>
                <w:kern w:val="0"/>
                <w:sz w:val="24"/>
              </w:rPr>
              <w:t>附件1  委托书</w:t>
            </w:r>
          </w:p>
          <w:p>
            <w:pPr>
              <w:widowControl/>
              <w:spacing w:line="360" w:lineRule="auto"/>
              <w:ind w:firstLine="700" w:firstLineChars="292"/>
              <w:jc w:val="left"/>
              <w:rPr>
                <w:color w:val="000000"/>
                <w:kern w:val="0"/>
                <w:sz w:val="24"/>
              </w:rPr>
            </w:pPr>
            <w:r>
              <w:rPr>
                <w:color w:val="000000"/>
                <w:kern w:val="0"/>
                <w:sz w:val="24"/>
              </w:rPr>
              <w:t>附件2  危废承诺</w:t>
            </w:r>
          </w:p>
          <w:p>
            <w:pPr>
              <w:widowControl/>
              <w:spacing w:line="360" w:lineRule="auto"/>
              <w:ind w:firstLine="700" w:firstLineChars="292"/>
              <w:jc w:val="left"/>
              <w:rPr>
                <w:color w:val="000000"/>
                <w:kern w:val="0"/>
                <w:sz w:val="24"/>
              </w:rPr>
            </w:pPr>
            <w:r>
              <w:rPr>
                <w:color w:val="000000"/>
                <w:kern w:val="0"/>
                <w:sz w:val="24"/>
              </w:rPr>
              <w:t>附件3  真实性承诺</w:t>
            </w:r>
          </w:p>
          <w:p>
            <w:pPr>
              <w:widowControl/>
              <w:spacing w:line="360" w:lineRule="auto"/>
              <w:ind w:firstLine="700" w:firstLineChars="292"/>
              <w:jc w:val="left"/>
              <w:rPr>
                <w:color w:val="000000"/>
                <w:kern w:val="0"/>
                <w:sz w:val="24"/>
              </w:rPr>
            </w:pPr>
            <w:r>
              <w:rPr>
                <w:color w:val="000000"/>
                <w:kern w:val="0"/>
                <w:sz w:val="24"/>
              </w:rPr>
              <w:t>附件4  立项文件</w:t>
            </w:r>
          </w:p>
          <w:p>
            <w:pPr>
              <w:widowControl/>
              <w:spacing w:line="360" w:lineRule="auto"/>
              <w:ind w:firstLine="700" w:firstLineChars="292"/>
              <w:jc w:val="left"/>
              <w:rPr>
                <w:color w:val="000000"/>
                <w:kern w:val="0"/>
                <w:sz w:val="24"/>
              </w:rPr>
            </w:pPr>
            <w:r>
              <w:rPr>
                <w:color w:val="000000"/>
                <w:kern w:val="0"/>
                <w:sz w:val="24"/>
              </w:rPr>
              <w:t>附件5  原项目环评批复</w:t>
            </w:r>
          </w:p>
          <w:p>
            <w:pPr>
              <w:widowControl/>
              <w:spacing w:line="360" w:lineRule="auto"/>
              <w:ind w:firstLine="700" w:firstLineChars="292"/>
              <w:jc w:val="left"/>
              <w:rPr>
                <w:color w:val="000000"/>
                <w:kern w:val="0"/>
                <w:sz w:val="24"/>
              </w:rPr>
            </w:pPr>
            <w:r>
              <w:rPr>
                <w:color w:val="000000"/>
                <w:kern w:val="0"/>
                <w:sz w:val="24"/>
              </w:rPr>
              <w:t>附件6  营业执照</w:t>
            </w:r>
          </w:p>
          <w:p>
            <w:pPr>
              <w:widowControl/>
              <w:spacing w:line="360" w:lineRule="auto"/>
              <w:ind w:firstLine="700" w:firstLineChars="292"/>
              <w:jc w:val="left"/>
              <w:rPr>
                <w:color w:val="000000"/>
                <w:kern w:val="0"/>
                <w:sz w:val="24"/>
              </w:rPr>
            </w:pPr>
            <w:r>
              <w:rPr>
                <w:color w:val="000000"/>
                <w:kern w:val="0"/>
                <w:sz w:val="24"/>
              </w:rPr>
              <w:t xml:space="preserve">附件7  </w:t>
            </w:r>
            <w:r>
              <w:rPr>
                <w:rFonts w:hint="eastAsia"/>
                <w:color w:val="000000"/>
                <w:kern w:val="0"/>
                <w:sz w:val="24"/>
                <w:lang w:val="en-US" w:eastAsia="zh-CN"/>
              </w:rPr>
              <w:t>噪声</w:t>
            </w:r>
            <w:r>
              <w:rPr>
                <w:color w:val="000000"/>
                <w:kern w:val="0"/>
                <w:sz w:val="24"/>
              </w:rPr>
              <w:t>检测报告</w:t>
            </w:r>
          </w:p>
          <w:p>
            <w:pPr>
              <w:widowControl/>
              <w:spacing w:line="360" w:lineRule="auto"/>
              <w:ind w:firstLine="700" w:firstLineChars="292"/>
              <w:jc w:val="left"/>
              <w:rPr>
                <w:color w:val="000000"/>
                <w:kern w:val="0"/>
                <w:sz w:val="24"/>
              </w:rPr>
            </w:pPr>
            <w:r>
              <w:rPr>
                <w:color w:val="000000"/>
                <w:kern w:val="0"/>
                <w:sz w:val="24"/>
              </w:rPr>
              <w:t>附件</w:t>
            </w:r>
            <w:r>
              <w:rPr>
                <w:rFonts w:hint="eastAsia"/>
                <w:color w:val="000000"/>
                <w:kern w:val="0"/>
                <w:sz w:val="24"/>
                <w:lang w:val="en-US" w:eastAsia="zh-CN"/>
              </w:rPr>
              <w:t>8</w:t>
            </w:r>
            <w:r>
              <w:rPr>
                <w:color w:val="000000"/>
                <w:kern w:val="0"/>
                <w:sz w:val="24"/>
              </w:rPr>
              <w:t xml:space="preserve">  全本公示证明</w:t>
            </w:r>
          </w:p>
          <w:p>
            <w:pPr>
              <w:widowControl/>
              <w:spacing w:line="360" w:lineRule="auto"/>
              <w:ind w:firstLine="700" w:firstLineChars="292"/>
              <w:jc w:val="left"/>
              <w:rPr>
                <w:rFonts w:hint="eastAsia" w:eastAsia="宋体"/>
                <w:color w:val="000000"/>
                <w:kern w:val="0"/>
                <w:sz w:val="24"/>
                <w:lang w:val="en-US" w:eastAsia="zh-CN"/>
              </w:rPr>
            </w:pPr>
            <w:r>
              <w:rPr>
                <w:color w:val="000000"/>
                <w:kern w:val="0"/>
                <w:sz w:val="24"/>
              </w:rPr>
              <w:t>附件</w:t>
            </w:r>
            <w:r>
              <w:rPr>
                <w:rFonts w:hint="eastAsia"/>
                <w:color w:val="000000"/>
                <w:kern w:val="0"/>
                <w:sz w:val="24"/>
                <w:lang w:val="en-US" w:eastAsia="zh-CN"/>
              </w:rPr>
              <w:t>9</w:t>
            </w:r>
            <w:r>
              <w:rPr>
                <w:color w:val="000000"/>
                <w:kern w:val="0"/>
                <w:sz w:val="24"/>
              </w:rPr>
              <w:t xml:space="preserve">  排污许可</w:t>
            </w:r>
            <w:r>
              <w:rPr>
                <w:rFonts w:hint="eastAsia"/>
                <w:color w:val="000000"/>
                <w:kern w:val="0"/>
                <w:sz w:val="24"/>
                <w:lang w:val="en-US" w:eastAsia="zh-CN"/>
              </w:rPr>
              <w:t>证</w:t>
            </w:r>
          </w:p>
          <w:p>
            <w:pPr>
              <w:widowControl/>
              <w:spacing w:line="360" w:lineRule="auto"/>
              <w:ind w:firstLine="700" w:firstLineChars="292"/>
              <w:jc w:val="left"/>
              <w:rPr>
                <w:rFonts w:hint="eastAsia"/>
                <w:color w:val="000000"/>
                <w:kern w:val="0"/>
                <w:sz w:val="24"/>
              </w:rPr>
            </w:pPr>
            <w:r>
              <w:rPr>
                <w:color w:val="000000"/>
                <w:kern w:val="0"/>
                <w:sz w:val="24"/>
              </w:rPr>
              <w:t>附件1</w:t>
            </w:r>
            <w:r>
              <w:rPr>
                <w:rFonts w:hint="eastAsia"/>
                <w:color w:val="000000"/>
                <w:kern w:val="0"/>
                <w:sz w:val="24"/>
                <w:lang w:val="en-US" w:eastAsia="zh-CN"/>
              </w:rPr>
              <w:t>0</w:t>
            </w:r>
            <w:r>
              <w:rPr>
                <w:color w:val="000000"/>
                <w:kern w:val="0"/>
                <w:sz w:val="24"/>
              </w:rPr>
              <w:t xml:space="preserve">  </w:t>
            </w:r>
            <w:r>
              <w:rPr>
                <w:rFonts w:hint="eastAsia"/>
                <w:color w:val="000000"/>
                <w:kern w:val="0"/>
                <w:sz w:val="24"/>
              </w:rPr>
              <w:t>土地证</w:t>
            </w:r>
          </w:p>
          <w:p>
            <w:pPr>
              <w:widowControl/>
              <w:spacing w:line="360" w:lineRule="auto"/>
              <w:ind w:firstLine="700" w:firstLineChars="292"/>
              <w:jc w:val="left"/>
              <w:rPr>
                <w:rFonts w:hint="default" w:eastAsia="宋体"/>
                <w:color w:val="000000"/>
                <w:kern w:val="0"/>
                <w:sz w:val="24"/>
                <w:lang w:val="en-US" w:eastAsia="zh-CN"/>
              </w:rPr>
            </w:pPr>
            <w:r>
              <w:rPr>
                <w:rFonts w:hint="eastAsia"/>
                <w:color w:val="000000"/>
                <w:kern w:val="0"/>
                <w:sz w:val="24"/>
                <w:lang w:val="en-US" w:eastAsia="zh-CN"/>
              </w:rPr>
              <w:t>附件11  高耗能行业重点领域能效标杆水平和基准水平（2021年版）</w:t>
            </w:r>
          </w:p>
          <w:p>
            <w:pPr>
              <w:widowControl/>
              <w:spacing w:line="440" w:lineRule="exact"/>
              <w:jc w:val="left"/>
              <w:rPr>
                <w:b/>
                <w:color w:val="000000"/>
                <w:kern w:val="0"/>
                <w:sz w:val="24"/>
              </w:rPr>
            </w:pPr>
            <w:r>
              <w:rPr>
                <w:rFonts w:hint="eastAsia"/>
                <w:b/>
                <w:color w:val="000000"/>
                <w:kern w:val="0"/>
                <w:sz w:val="24"/>
              </w:rPr>
              <w:t>附图:</w:t>
            </w:r>
          </w:p>
          <w:p>
            <w:pPr>
              <w:widowControl/>
              <w:spacing w:line="440" w:lineRule="exact"/>
              <w:ind w:firstLine="700" w:firstLineChars="292"/>
              <w:jc w:val="left"/>
              <w:rPr>
                <w:color w:val="000000"/>
                <w:kern w:val="0"/>
                <w:sz w:val="24"/>
              </w:rPr>
            </w:pPr>
            <w:r>
              <w:rPr>
                <w:color w:val="000000"/>
                <w:kern w:val="0"/>
                <w:sz w:val="24"/>
              </w:rPr>
              <w:t>附图1  项目地理</w:t>
            </w:r>
            <w:r>
              <w:rPr>
                <w:rFonts w:hint="eastAsia"/>
                <w:color w:val="000000"/>
                <w:kern w:val="0"/>
                <w:sz w:val="24"/>
              </w:rPr>
              <w:t>位置</w:t>
            </w:r>
            <w:r>
              <w:rPr>
                <w:color w:val="000000"/>
                <w:kern w:val="0"/>
                <w:sz w:val="24"/>
              </w:rPr>
              <w:t>图</w:t>
            </w:r>
          </w:p>
          <w:p>
            <w:pPr>
              <w:widowControl/>
              <w:spacing w:line="440" w:lineRule="exact"/>
              <w:ind w:firstLine="700" w:firstLineChars="292"/>
              <w:jc w:val="left"/>
              <w:rPr>
                <w:color w:val="000000"/>
                <w:kern w:val="0"/>
                <w:sz w:val="24"/>
              </w:rPr>
            </w:pPr>
            <w:r>
              <w:rPr>
                <w:color w:val="000000"/>
                <w:kern w:val="0"/>
                <w:sz w:val="24"/>
              </w:rPr>
              <w:t xml:space="preserve">附图2  </w:t>
            </w:r>
            <w:r>
              <w:rPr>
                <w:rFonts w:hint="eastAsia"/>
                <w:color w:val="000000"/>
                <w:kern w:val="0"/>
                <w:sz w:val="24"/>
              </w:rPr>
              <w:t>项目</w:t>
            </w:r>
            <w:r>
              <w:rPr>
                <w:color w:val="000000"/>
                <w:kern w:val="0"/>
                <w:sz w:val="24"/>
              </w:rPr>
              <w:t>周边关系图</w:t>
            </w:r>
          </w:p>
          <w:p>
            <w:pPr>
              <w:widowControl/>
              <w:spacing w:line="440" w:lineRule="exact"/>
              <w:ind w:firstLine="700" w:firstLineChars="292"/>
              <w:jc w:val="left"/>
              <w:rPr>
                <w:color w:val="000000"/>
                <w:kern w:val="0"/>
                <w:sz w:val="24"/>
              </w:rPr>
            </w:pPr>
            <w:r>
              <w:rPr>
                <w:color w:val="000000"/>
                <w:kern w:val="0"/>
                <w:sz w:val="24"/>
              </w:rPr>
              <w:t>附图3  项目平面布置图</w:t>
            </w:r>
          </w:p>
          <w:p>
            <w:pPr>
              <w:widowControl/>
              <w:spacing w:line="440" w:lineRule="exact"/>
              <w:ind w:firstLine="700" w:firstLineChars="292"/>
              <w:jc w:val="left"/>
              <w:rPr>
                <w:color w:val="000000"/>
                <w:kern w:val="0"/>
                <w:sz w:val="24"/>
              </w:rPr>
            </w:pPr>
            <w:r>
              <w:rPr>
                <w:rFonts w:hint="eastAsia"/>
                <w:color w:val="000000"/>
                <w:kern w:val="0"/>
                <w:sz w:val="24"/>
              </w:rPr>
              <w:t>附图</w:t>
            </w:r>
            <w:r>
              <w:rPr>
                <w:rFonts w:hint="eastAsia"/>
                <w:color w:val="000000"/>
                <w:kern w:val="0"/>
                <w:sz w:val="24"/>
                <w:lang w:val="en-US" w:eastAsia="zh-CN"/>
              </w:rPr>
              <w:t>4</w:t>
            </w:r>
            <w:r>
              <w:rPr>
                <w:rFonts w:hint="eastAsia"/>
                <w:color w:val="000000"/>
                <w:kern w:val="0"/>
                <w:sz w:val="24"/>
              </w:rPr>
              <w:t xml:space="preserve">  芜湖三山经济开发区用地布局规划图</w:t>
            </w:r>
          </w:p>
          <w:p>
            <w:pPr>
              <w:pStyle w:val="24"/>
              <w:adjustRightInd w:val="0"/>
              <w:snapToGrid w:val="0"/>
              <w:spacing w:before="648" w:beforeLines="270" w:beforeAutospacing="0" w:after="648" w:afterLines="270" w:afterAutospacing="0"/>
              <w:outlineLvl w:val="0"/>
              <w:rPr>
                <w:rFonts w:ascii="Times New Roman" w:hAnsi="Times New Roman"/>
                <w:color w:val="000000"/>
              </w:rPr>
            </w:pPr>
          </w:p>
          <w:p>
            <w:pPr>
              <w:spacing w:line="360" w:lineRule="auto"/>
              <w:ind w:firstLine="480" w:firstLineChars="200"/>
              <w:rPr>
                <w:color w:val="000000"/>
                <w:sz w:val="24"/>
              </w:rPr>
            </w:pPr>
          </w:p>
        </w:tc>
      </w:tr>
    </w:tbl>
    <w:p>
      <w:pPr>
        <w:sectPr>
          <w:pgSz w:w="11906" w:h="16838"/>
          <w:pgMar w:top="1701" w:right="1531" w:bottom="1701" w:left="1531" w:header="851" w:footer="851" w:gutter="0"/>
          <w:cols w:space="720" w:num="1"/>
          <w:docGrid w:linePitch="312" w:charSpace="0"/>
        </w:sectPr>
      </w:pPr>
    </w:p>
    <w:p>
      <w:pPr>
        <w:pStyle w:val="24"/>
        <w:adjustRightInd w:val="0"/>
        <w:snapToGrid w:val="0"/>
        <w:spacing w:before="0" w:beforeAutospacing="0" w:after="0" w:afterAutospacing="0" w:line="648" w:lineRule="auto"/>
        <w:outlineLvl w:val="0"/>
        <w:rPr>
          <w:rFonts w:ascii="Times New Roman" w:hAnsi="Times New Roman"/>
          <w:snapToGrid w:val="0"/>
          <w:sz w:val="32"/>
          <w:szCs w:val="32"/>
        </w:rPr>
      </w:pPr>
      <w:r>
        <w:rPr>
          <w:rFonts w:hint="eastAsia" w:ascii="Times New Roman" w:hAnsi="Times New Roman"/>
          <w:snapToGrid w:val="0"/>
          <w:sz w:val="32"/>
          <w:szCs w:val="32"/>
        </w:rPr>
        <w:t>附表</w:t>
      </w:r>
    </w:p>
    <w:p>
      <w:pPr>
        <w:pStyle w:val="24"/>
        <w:adjustRightInd w:val="0"/>
        <w:snapToGrid w:val="0"/>
        <w:spacing w:before="0" w:beforeAutospacing="0" w:after="0" w:afterAutospacing="0" w:line="552" w:lineRule="auto"/>
        <w:jc w:val="center"/>
        <w:outlineLvl w:val="0"/>
        <w:rPr>
          <w:rFonts w:ascii="Times New Roman" w:hAnsi="Times New Roman"/>
          <w:snapToGrid w:val="0"/>
          <w:color w:val="auto"/>
          <w:sz w:val="38"/>
          <w:szCs w:val="38"/>
        </w:rPr>
      </w:pPr>
      <w:r>
        <w:rPr>
          <w:rFonts w:hint="eastAsia" w:ascii="Times New Roman" w:hAnsi="Times New Roman"/>
          <w:snapToGrid w:val="0"/>
          <w:color w:val="auto"/>
          <w:sz w:val="38"/>
          <w:szCs w:val="38"/>
        </w:rPr>
        <w:t>建设项目污染物排放量汇总表</w:t>
      </w:r>
    </w:p>
    <w:tbl>
      <w:tblPr>
        <w:tblStyle w:val="26"/>
        <w:tblW w:w="13788"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88"/>
        <w:gridCol w:w="1417"/>
        <w:gridCol w:w="1701"/>
        <w:gridCol w:w="1276"/>
        <w:gridCol w:w="1701"/>
        <w:gridCol w:w="1559"/>
        <w:gridCol w:w="1380"/>
        <w:gridCol w:w="1559"/>
        <w:gridCol w:w="160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588" w:type="dxa"/>
            <w:tcBorders>
              <w:tl2br w:val="single" w:color="auto" w:sz="4" w:space="0"/>
            </w:tcBorders>
            <w:tcMar>
              <w:left w:w="28" w:type="dxa"/>
              <w:right w:w="28" w:type="dxa"/>
            </w:tcMar>
            <w:vAlign w:val="center"/>
          </w:tcPr>
          <w:p>
            <w:pPr>
              <w:pStyle w:val="41"/>
              <w:spacing w:beforeLines="0" w:afterLines="0" w:line="240" w:lineRule="auto"/>
              <w:rPr>
                <w:rFonts w:ascii="Times New Roman" w:cs="宋体"/>
                <w:snapToGrid w:val="0"/>
                <w:color w:val="000000"/>
                <w:spacing w:val="-6"/>
                <w:kern w:val="21"/>
                <w:szCs w:val="21"/>
              </w:rPr>
            </w:pPr>
            <w:r>
              <w:rPr>
                <w:rFonts w:hint="eastAsia" w:ascii="Times New Roman" w:cs="宋体"/>
                <w:snapToGrid w:val="0"/>
                <w:color w:val="000000"/>
                <w:spacing w:val="-6"/>
                <w:kern w:val="21"/>
                <w:szCs w:val="21"/>
              </w:rPr>
              <w:t>项目</w:t>
            </w:r>
          </w:p>
          <w:p>
            <w:pPr>
              <w:pStyle w:val="41"/>
              <w:spacing w:beforeLines="0" w:afterLines="0" w:line="240" w:lineRule="auto"/>
              <w:rPr>
                <w:rFonts w:ascii="Times New Roman" w:cs="宋体"/>
                <w:snapToGrid w:val="0"/>
                <w:color w:val="000000"/>
                <w:spacing w:val="-6"/>
                <w:kern w:val="21"/>
                <w:szCs w:val="21"/>
              </w:rPr>
            </w:pPr>
            <w:r>
              <w:rPr>
                <w:rFonts w:hint="eastAsia" w:ascii="Times New Roman" w:cs="宋体"/>
                <w:snapToGrid w:val="0"/>
                <w:color w:val="000000"/>
                <w:spacing w:val="-6"/>
                <w:kern w:val="21"/>
                <w:szCs w:val="21"/>
              </w:rPr>
              <w:t>分类</w:t>
            </w:r>
          </w:p>
        </w:tc>
        <w:tc>
          <w:tcPr>
            <w:tcW w:w="1417" w:type="dxa"/>
            <w:tcMar>
              <w:left w:w="28" w:type="dxa"/>
              <w:right w:w="28" w:type="dxa"/>
            </w:tcMar>
            <w:vAlign w:val="center"/>
          </w:tcPr>
          <w:p>
            <w:pPr>
              <w:pStyle w:val="41"/>
              <w:spacing w:beforeLines="0" w:afterLines="0" w:line="240" w:lineRule="auto"/>
              <w:rPr>
                <w:rFonts w:ascii="Times New Roman" w:cs="宋体"/>
                <w:snapToGrid w:val="0"/>
                <w:color w:val="000000"/>
                <w:spacing w:val="-6"/>
                <w:kern w:val="21"/>
                <w:szCs w:val="21"/>
              </w:rPr>
            </w:pPr>
            <w:r>
              <w:rPr>
                <w:rFonts w:hint="eastAsia" w:ascii="Times New Roman" w:cs="宋体"/>
                <w:snapToGrid w:val="0"/>
                <w:color w:val="000000"/>
                <w:spacing w:val="-6"/>
                <w:kern w:val="21"/>
                <w:szCs w:val="21"/>
              </w:rPr>
              <w:t>污染物名称</w:t>
            </w:r>
          </w:p>
        </w:tc>
        <w:tc>
          <w:tcPr>
            <w:tcW w:w="1701" w:type="dxa"/>
            <w:tcMar>
              <w:left w:w="28" w:type="dxa"/>
              <w:right w:w="28" w:type="dxa"/>
            </w:tcMar>
            <w:vAlign w:val="center"/>
          </w:tcPr>
          <w:p>
            <w:pPr>
              <w:pStyle w:val="41"/>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t>现有工程</w:t>
            </w:r>
          </w:p>
          <w:p>
            <w:pPr>
              <w:pStyle w:val="41"/>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t>排放量（固</w:t>
            </w:r>
            <w:r>
              <w:rPr>
                <w:rFonts w:hint="eastAsia" w:ascii="Times New Roman"/>
                <w:snapToGrid w:val="0"/>
                <w:color w:val="000000"/>
                <w:spacing w:val="-6"/>
                <w:kern w:val="21"/>
                <w:szCs w:val="21"/>
              </w:rPr>
              <w:t>体</w:t>
            </w:r>
            <w:r>
              <w:rPr>
                <w:rFonts w:ascii="Times New Roman"/>
                <w:snapToGrid w:val="0"/>
                <w:color w:val="000000"/>
                <w:spacing w:val="-6"/>
                <w:kern w:val="21"/>
                <w:szCs w:val="21"/>
              </w:rPr>
              <w:t>废</w:t>
            </w:r>
            <w:r>
              <w:rPr>
                <w:rFonts w:hint="eastAsia" w:ascii="Times New Roman"/>
                <w:snapToGrid w:val="0"/>
                <w:color w:val="000000"/>
                <w:spacing w:val="-6"/>
                <w:kern w:val="21"/>
                <w:szCs w:val="21"/>
              </w:rPr>
              <w:t>物</w:t>
            </w:r>
            <w:r>
              <w:rPr>
                <w:rFonts w:ascii="Times New Roman"/>
                <w:snapToGrid w:val="0"/>
                <w:color w:val="000000"/>
                <w:spacing w:val="-6"/>
                <w:kern w:val="21"/>
                <w:szCs w:val="21"/>
              </w:rPr>
              <w:t>产生量）</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1 \* GB3 \* MERGEFORMAT </w:instrText>
            </w:r>
            <w:r>
              <w:rPr>
                <w:rFonts w:ascii="Times New Roman"/>
                <w:snapToGrid w:val="0"/>
                <w:color w:val="000000"/>
                <w:spacing w:val="-6"/>
                <w:kern w:val="21"/>
                <w:szCs w:val="21"/>
              </w:rPr>
              <w:fldChar w:fldCharType="separate"/>
            </w:r>
            <w:r>
              <w:rPr>
                <w:rFonts w:hint="eastAsia" w:ascii="Times New Roman" w:cs="宋体"/>
                <w:kern w:val="2"/>
                <w:szCs w:val="21"/>
              </w:rPr>
              <w:t>①</w:t>
            </w:r>
            <w:r>
              <w:rPr>
                <w:rFonts w:ascii="Times New Roman"/>
                <w:snapToGrid w:val="0"/>
                <w:color w:val="000000"/>
                <w:spacing w:val="-6"/>
                <w:kern w:val="21"/>
                <w:szCs w:val="21"/>
              </w:rPr>
              <w:fldChar w:fldCharType="end"/>
            </w:r>
          </w:p>
        </w:tc>
        <w:tc>
          <w:tcPr>
            <w:tcW w:w="1276" w:type="dxa"/>
            <w:tcMar>
              <w:left w:w="28" w:type="dxa"/>
              <w:right w:w="28" w:type="dxa"/>
            </w:tcMar>
            <w:vAlign w:val="center"/>
          </w:tcPr>
          <w:p>
            <w:pPr>
              <w:pStyle w:val="41"/>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t>现有工程</w:t>
            </w:r>
          </w:p>
          <w:p>
            <w:pPr>
              <w:pStyle w:val="41"/>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t>许可排放量</w:t>
            </w:r>
          </w:p>
          <w:p>
            <w:pPr>
              <w:pStyle w:val="41"/>
              <w:spacing w:beforeLines="0" w:afterLines="0"/>
              <w:rPr>
                <w:rFonts w:ascii="Times New Roman"/>
                <w:snapToGrid w:val="0"/>
                <w:color w:val="000000"/>
                <w:spacing w:val="-6"/>
                <w:kern w:val="21"/>
                <w:szCs w:val="21"/>
              </w:rPr>
            </w:pP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2 \* GB3 \* MERGEFORMAT </w:instrText>
            </w:r>
            <w:r>
              <w:rPr>
                <w:rFonts w:ascii="Times New Roman"/>
                <w:snapToGrid w:val="0"/>
                <w:color w:val="000000"/>
                <w:spacing w:val="-6"/>
                <w:kern w:val="21"/>
                <w:szCs w:val="21"/>
              </w:rPr>
              <w:fldChar w:fldCharType="separate"/>
            </w:r>
            <w:r>
              <w:rPr>
                <w:rFonts w:hint="eastAsia" w:ascii="Times New Roman" w:cs="宋体"/>
                <w:snapToGrid w:val="0"/>
                <w:color w:val="000000"/>
                <w:spacing w:val="-6"/>
                <w:kern w:val="21"/>
                <w:szCs w:val="21"/>
              </w:rPr>
              <w:t>②</w:t>
            </w:r>
            <w:r>
              <w:rPr>
                <w:rFonts w:ascii="Times New Roman"/>
                <w:snapToGrid w:val="0"/>
                <w:color w:val="000000"/>
                <w:spacing w:val="-6"/>
                <w:kern w:val="21"/>
                <w:szCs w:val="21"/>
              </w:rPr>
              <w:fldChar w:fldCharType="end"/>
            </w:r>
          </w:p>
        </w:tc>
        <w:tc>
          <w:tcPr>
            <w:tcW w:w="1701" w:type="dxa"/>
            <w:tcMar>
              <w:left w:w="28" w:type="dxa"/>
              <w:right w:w="28" w:type="dxa"/>
            </w:tcMar>
            <w:vAlign w:val="center"/>
          </w:tcPr>
          <w:p>
            <w:pPr>
              <w:pStyle w:val="41"/>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t>在建工程</w:t>
            </w:r>
          </w:p>
          <w:p>
            <w:pPr>
              <w:pStyle w:val="41"/>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t>排放量（固</w:t>
            </w:r>
            <w:r>
              <w:rPr>
                <w:rFonts w:hint="eastAsia" w:ascii="Times New Roman"/>
                <w:snapToGrid w:val="0"/>
                <w:color w:val="000000"/>
                <w:spacing w:val="-6"/>
                <w:kern w:val="21"/>
                <w:szCs w:val="21"/>
              </w:rPr>
              <w:t>体</w:t>
            </w:r>
            <w:r>
              <w:rPr>
                <w:rFonts w:ascii="Times New Roman"/>
                <w:snapToGrid w:val="0"/>
                <w:color w:val="000000"/>
                <w:spacing w:val="-6"/>
                <w:kern w:val="21"/>
                <w:szCs w:val="21"/>
              </w:rPr>
              <w:t>废</w:t>
            </w:r>
            <w:r>
              <w:rPr>
                <w:rFonts w:hint="eastAsia" w:ascii="Times New Roman"/>
                <w:snapToGrid w:val="0"/>
                <w:color w:val="000000"/>
                <w:spacing w:val="-6"/>
                <w:kern w:val="21"/>
                <w:szCs w:val="21"/>
              </w:rPr>
              <w:t>物</w:t>
            </w:r>
            <w:r>
              <w:rPr>
                <w:rFonts w:ascii="Times New Roman"/>
                <w:snapToGrid w:val="0"/>
                <w:color w:val="000000"/>
                <w:spacing w:val="-6"/>
                <w:kern w:val="21"/>
                <w:szCs w:val="21"/>
              </w:rPr>
              <w:t>产生量）</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3 \* GB3 \* MERGEFORMAT </w:instrText>
            </w:r>
            <w:r>
              <w:rPr>
                <w:rFonts w:ascii="Times New Roman"/>
                <w:snapToGrid w:val="0"/>
                <w:color w:val="000000"/>
                <w:spacing w:val="-6"/>
                <w:kern w:val="21"/>
                <w:szCs w:val="21"/>
              </w:rPr>
              <w:fldChar w:fldCharType="separate"/>
            </w:r>
            <w:r>
              <w:rPr>
                <w:rFonts w:hint="eastAsia" w:ascii="Times New Roman" w:cs="宋体"/>
                <w:kern w:val="2"/>
                <w:szCs w:val="21"/>
              </w:rPr>
              <w:t>③</w:t>
            </w:r>
            <w:r>
              <w:rPr>
                <w:rFonts w:ascii="Times New Roman"/>
                <w:snapToGrid w:val="0"/>
                <w:color w:val="000000"/>
                <w:spacing w:val="-6"/>
                <w:kern w:val="21"/>
                <w:szCs w:val="21"/>
              </w:rPr>
              <w:fldChar w:fldCharType="end"/>
            </w:r>
          </w:p>
        </w:tc>
        <w:tc>
          <w:tcPr>
            <w:tcW w:w="1559" w:type="dxa"/>
            <w:tcMar>
              <w:left w:w="28" w:type="dxa"/>
              <w:right w:w="28" w:type="dxa"/>
            </w:tcMar>
            <w:vAlign w:val="center"/>
          </w:tcPr>
          <w:p>
            <w:pPr>
              <w:pStyle w:val="41"/>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t>本项目</w:t>
            </w:r>
          </w:p>
          <w:p>
            <w:pPr>
              <w:pStyle w:val="41"/>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t>排放量（固</w:t>
            </w:r>
            <w:r>
              <w:rPr>
                <w:rFonts w:hint="eastAsia" w:ascii="Times New Roman"/>
                <w:snapToGrid w:val="0"/>
                <w:color w:val="000000"/>
                <w:spacing w:val="-6"/>
                <w:kern w:val="21"/>
                <w:szCs w:val="21"/>
              </w:rPr>
              <w:t>体</w:t>
            </w:r>
            <w:r>
              <w:rPr>
                <w:rFonts w:ascii="Times New Roman"/>
                <w:snapToGrid w:val="0"/>
                <w:color w:val="000000"/>
                <w:spacing w:val="-6"/>
                <w:kern w:val="21"/>
                <w:szCs w:val="21"/>
              </w:rPr>
              <w:t>废</w:t>
            </w:r>
            <w:r>
              <w:rPr>
                <w:rFonts w:hint="eastAsia" w:ascii="Times New Roman"/>
                <w:snapToGrid w:val="0"/>
                <w:color w:val="000000"/>
                <w:spacing w:val="-6"/>
                <w:kern w:val="21"/>
                <w:szCs w:val="21"/>
              </w:rPr>
              <w:t>物</w:t>
            </w:r>
            <w:r>
              <w:rPr>
                <w:rFonts w:ascii="Times New Roman"/>
                <w:snapToGrid w:val="0"/>
                <w:color w:val="000000"/>
                <w:spacing w:val="-6"/>
                <w:kern w:val="21"/>
                <w:szCs w:val="21"/>
              </w:rPr>
              <w:t>产生量）</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4 \* GB3 \* MERGEFORMAT </w:instrText>
            </w:r>
            <w:r>
              <w:rPr>
                <w:rFonts w:ascii="Times New Roman"/>
                <w:snapToGrid w:val="0"/>
                <w:color w:val="000000"/>
                <w:spacing w:val="-6"/>
                <w:kern w:val="21"/>
                <w:szCs w:val="21"/>
              </w:rPr>
              <w:fldChar w:fldCharType="separate"/>
            </w:r>
            <w:r>
              <w:rPr>
                <w:rFonts w:hint="eastAsia" w:ascii="Times New Roman" w:cs="宋体"/>
                <w:kern w:val="2"/>
                <w:szCs w:val="21"/>
              </w:rPr>
              <w:t>④</w:t>
            </w:r>
            <w:r>
              <w:rPr>
                <w:rFonts w:ascii="Times New Roman"/>
                <w:snapToGrid w:val="0"/>
                <w:color w:val="000000"/>
                <w:spacing w:val="-6"/>
                <w:kern w:val="21"/>
                <w:szCs w:val="21"/>
              </w:rPr>
              <w:fldChar w:fldCharType="end"/>
            </w:r>
          </w:p>
        </w:tc>
        <w:tc>
          <w:tcPr>
            <w:tcW w:w="1380" w:type="dxa"/>
            <w:tcMar>
              <w:left w:w="28" w:type="dxa"/>
              <w:right w:w="28" w:type="dxa"/>
            </w:tcMar>
            <w:vAlign w:val="center"/>
          </w:tcPr>
          <w:p>
            <w:pPr>
              <w:pStyle w:val="41"/>
              <w:spacing w:beforeLines="0" w:afterLines="0" w:line="240" w:lineRule="auto"/>
              <w:rPr>
                <w:rFonts w:ascii="Times New Roman"/>
                <w:snapToGrid w:val="0"/>
                <w:color w:val="000000"/>
                <w:spacing w:val="-16"/>
                <w:kern w:val="21"/>
                <w:szCs w:val="21"/>
              </w:rPr>
            </w:pPr>
            <w:r>
              <w:rPr>
                <w:rFonts w:ascii="Times New Roman"/>
                <w:snapToGrid w:val="0"/>
                <w:color w:val="000000"/>
                <w:spacing w:val="-16"/>
                <w:kern w:val="21"/>
                <w:szCs w:val="21"/>
              </w:rPr>
              <w:t>以新带老削减量</w:t>
            </w:r>
          </w:p>
          <w:p>
            <w:pPr>
              <w:pStyle w:val="41"/>
              <w:spacing w:beforeLines="0" w:afterLines="0" w:line="240" w:lineRule="auto"/>
              <w:rPr>
                <w:rFonts w:ascii="Times New Roman"/>
                <w:snapToGrid w:val="0"/>
                <w:color w:val="000000"/>
                <w:spacing w:val="-16"/>
                <w:kern w:val="21"/>
                <w:szCs w:val="21"/>
              </w:rPr>
            </w:pPr>
            <w:r>
              <w:rPr>
                <w:rFonts w:ascii="Times New Roman"/>
                <w:snapToGrid w:val="0"/>
                <w:color w:val="000000"/>
                <w:spacing w:val="-16"/>
                <w:kern w:val="21"/>
                <w:szCs w:val="21"/>
              </w:rPr>
              <w:t>（新建项目不填）</w:t>
            </w:r>
            <w:r>
              <w:rPr>
                <w:rFonts w:ascii="Times New Roman"/>
                <w:snapToGrid w:val="0"/>
                <w:color w:val="000000"/>
                <w:spacing w:val="-16"/>
                <w:kern w:val="21"/>
                <w:szCs w:val="21"/>
              </w:rPr>
              <w:fldChar w:fldCharType="begin"/>
            </w:r>
            <w:r>
              <w:rPr>
                <w:rFonts w:ascii="Times New Roman"/>
                <w:snapToGrid w:val="0"/>
                <w:color w:val="000000"/>
                <w:spacing w:val="-16"/>
                <w:kern w:val="21"/>
                <w:szCs w:val="21"/>
              </w:rPr>
              <w:instrText xml:space="preserve"> = 5 \* GB3 \* MERGEFORMAT </w:instrText>
            </w:r>
            <w:r>
              <w:rPr>
                <w:rFonts w:ascii="Times New Roman"/>
                <w:snapToGrid w:val="0"/>
                <w:color w:val="000000"/>
                <w:spacing w:val="-16"/>
                <w:kern w:val="21"/>
                <w:szCs w:val="21"/>
              </w:rPr>
              <w:fldChar w:fldCharType="separate"/>
            </w:r>
            <w:r>
              <w:rPr>
                <w:rFonts w:hint="eastAsia" w:ascii="Times New Roman" w:cs="宋体"/>
                <w:kern w:val="2"/>
                <w:szCs w:val="21"/>
              </w:rPr>
              <w:t>⑤</w:t>
            </w:r>
            <w:r>
              <w:rPr>
                <w:rFonts w:ascii="Times New Roman"/>
                <w:snapToGrid w:val="0"/>
                <w:color w:val="000000"/>
                <w:spacing w:val="-16"/>
                <w:kern w:val="21"/>
                <w:szCs w:val="21"/>
              </w:rPr>
              <w:fldChar w:fldCharType="end"/>
            </w:r>
          </w:p>
        </w:tc>
        <w:tc>
          <w:tcPr>
            <w:tcW w:w="1559" w:type="dxa"/>
            <w:tcMar>
              <w:left w:w="28" w:type="dxa"/>
              <w:right w:w="28" w:type="dxa"/>
            </w:tcMar>
            <w:vAlign w:val="center"/>
          </w:tcPr>
          <w:p>
            <w:pPr>
              <w:pStyle w:val="41"/>
              <w:spacing w:beforeLines="0" w:afterLines="0" w:line="240" w:lineRule="auto"/>
              <w:rPr>
                <w:rFonts w:ascii="Times New Roman"/>
                <w:snapToGrid w:val="0"/>
                <w:color w:val="000000"/>
                <w:spacing w:val="-16"/>
                <w:kern w:val="21"/>
                <w:szCs w:val="21"/>
              </w:rPr>
            </w:pPr>
            <w:r>
              <w:rPr>
                <w:rFonts w:ascii="Times New Roman"/>
                <w:snapToGrid w:val="0"/>
                <w:color w:val="000000"/>
                <w:spacing w:val="-16"/>
                <w:kern w:val="21"/>
                <w:szCs w:val="21"/>
              </w:rPr>
              <w:t>本项目建成后</w:t>
            </w:r>
          </w:p>
          <w:p>
            <w:pPr>
              <w:pStyle w:val="41"/>
              <w:spacing w:beforeLines="0" w:afterLines="0" w:line="240" w:lineRule="auto"/>
              <w:rPr>
                <w:rFonts w:ascii="Times New Roman"/>
                <w:snapToGrid w:val="0"/>
                <w:color w:val="000000"/>
                <w:spacing w:val="-16"/>
                <w:kern w:val="21"/>
                <w:szCs w:val="21"/>
              </w:rPr>
            </w:pPr>
            <w:r>
              <w:rPr>
                <w:rFonts w:hint="eastAsia" w:ascii="Times New Roman"/>
                <w:snapToGrid w:val="0"/>
                <w:color w:val="000000"/>
                <w:spacing w:val="-16"/>
                <w:kern w:val="21"/>
                <w:szCs w:val="21"/>
              </w:rPr>
              <w:t>全厂</w:t>
            </w:r>
            <w:r>
              <w:rPr>
                <w:rFonts w:ascii="Times New Roman"/>
                <w:snapToGrid w:val="0"/>
                <w:color w:val="000000"/>
                <w:spacing w:val="-16"/>
                <w:kern w:val="21"/>
                <w:szCs w:val="21"/>
              </w:rPr>
              <w:t>排放量（固</w:t>
            </w:r>
            <w:r>
              <w:rPr>
                <w:rFonts w:hint="eastAsia" w:ascii="Times New Roman"/>
                <w:snapToGrid w:val="0"/>
                <w:color w:val="000000"/>
                <w:spacing w:val="-16"/>
                <w:kern w:val="21"/>
                <w:szCs w:val="21"/>
              </w:rPr>
              <w:t>体</w:t>
            </w:r>
            <w:r>
              <w:rPr>
                <w:rFonts w:ascii="Times New Roman"/>
                <w:snapToGrid w:val="0"/>
                <w:color w:val="000000"/>
                <w:spacing w:val="-16"/>
                <w:kern w:val="21"/>
                <w:szCs w:val="21"/>
              </w:rPr>
              <w:t>废</w:t>
            </w:r>
            <w:r>
              <w:rPr>
                <w:rFonts w:hint="eastAsia" w:ascii="Times New Roman"/>
                <w:snapToGrid w:val="0"/>
                <w:color w:val="000000"/>
                <w:spacing w:val="-16"/>
                <w:kern w:val="21"/>
                <w:szCs w:val="21"/>
              </w:rPr>
              <w:t>物</w:t>
            </w:r>
            <w:r>
              <w:rPr>
                <w:rFonts w:ascii="Times New Roman"/>
                <w:snapToGrid w:val="0"/>
                <w:color w:val="000000"/>
                <w:spacing w:val="-16"/>
                <w:kern w:val="21"/>
                <w:szCs w:val="21"/>
              </w:rPr>
              <w:t>产生量）</w:t>
            </w:r>
            <w:r>
              <w:rPr>
                <w:rFonts w:ascii="Times New Roman"/>
                <w:snapToGrid w:val="0"/>
                <w:color w:val="000000"/>
                <w:spacing w:val="-16"/>
                <w:kern w:val="21"/>
                <w:szCs w:val="21"/>
              </w:rPr>
              <w:fldChar w:fldCharType="begin"/>
            </w:r>
            <w:r>
              <w:rPr>
                <w:rFonts w:ascii="Times New Roman"/>
                <w:snapToGrid w:val="0"/>
                <w:color w:val="000000"/>
                <w:spacing w:val="-16"/>
                <w:kern w:val="21"/>
                <w:szCs w:val="21"/>
              </w:rPr>
              <w:instrText xml:space="preserve"> = 6 \* GB3 \* MERGEFORMAT </w:instrText>
            </w:r>
            <w:r>
              <w:rPr>
                <w:rFonts w:ascii="Times New Roman"/>
                <w:snapToGrid w:val="0"/>
                <w:color w:val="000000"/>
                <w:spacing w:val="-16"/>
                <w:kern w:val="21"/>
                <w:szCs w:val="21"/>
              </w:rPr>
              <w:fldChar w:fldCharType="separate"/>
            </w:r>
            <w:r>
              <w:rPr>
                <w:rFonts w:hint="eastAsia" w:ascii="Times New Roman" w:cs="宋体"/>
                <w:kern w:val="2"/>
                <w:szCs w:val="21"/>
              </w:rPr>
              <w:t>⑥</w:t>
            </w:r>
            <w:r>
              <w:rPr>
                <w:rFonts w:ascii="Times New Roman"/>
                <w:snapToGrid w:val="0"/>
                <w:color w:val="000000"/>
                <w:spacing w:val="-16"/>
                <w:kern w:val="21"/>
                <w:szCs w:val="21"/>
              </w:rPr>
              <w:fldChar w:fldCharType="end"/>
            </w:r>
          </w:p>
        </w:tc>
        <w:tc>
          <w:tcPr>
            <w:tcW w:w="1607" w:type="dxa"/>
            <w:tcMar>
              <w:left w:w="28" w:type="dxa"/>
              <w:right w:w="28" w:type="dxa"/>
            </w:tcMar>
            <w:vAlign w:val="center"/>
          </w:tcPr>
          <w:p>
            <w:pPr>
              <w:pStyle w:val="41"/>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t>变化量</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7 \* GB3 \* MERGEFORMAT </w:instrText>
            </w:r>
            <w:r>
              <w:rPr>
                <w:rFonts w:ascii="Times New Roman"/>
                <w:snapToGrid w:val="0"/>
                <w:color w:val="000000"/>
                <w:spacing w:val="-6"/>
                <w:kern w:val="21"/>
                <w:szCs w:val="21"/>
              </w:rPr>
              <w:fldChar w:fldCharType="separate"/>
            </w:r>
            <w:r>
              <w:rPr>
                <w:rFonts w:hint="eastAsia" w:ascii="Times New Roman" w:cs="宋体"/>
                <w:kern w:val="2"/>
                <w:szCs w:val="21"/>
              </w:rPr>
              <w:t>⑦</w:t>
            </w:r>
            <w:r>
              <w:rPr>
                <w:rFonts w:ascii="Times New Roman"/>
                <w:snapToGrid w:val="0"/>
                <w:color w:val="000000"/>
                <w:spacing w:val="-6"/>
                <w:kern w:val="21"/>
                <w:szCs w:val="21"/>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Align w:val="center"/>
          </w:tcPr>
          <w:p>
            <w:pPr>
              <w:pStyle w:val="41"/>
              <w:spacing w:beforeLines="0" w:afterLines="0" w:line="240" w:lineRule="auto"/>
              <w:rPr>
                <w:rFonts w:hint="eastAsia" w:ascii="Times New Roman" w:eastAsia="宋体" w:cs="宋体"/>
                <w:snapToGrid w:val="0"/>
                <w:color w:val="000000"/>
                <w:kern w:val="21"/>
                <w:szCs w:val="21"/>
                <w:lang w:val="en-US" w:eastAsia="zh-CN"/>
              </w:rPr>
            </w:pPr>
            <w:r>
              <w:rPr>
                <w:rFonts w:hint="eastAsia" w:ascii="Times New Roman" w:cs="宋体"/>
                <w:snapToGrid w:val="0"/>
                <w:color w:val="000000"/>
                <w:kern w:val="21"/>
                <w:szCs w:val="21"/>
                <w:lang w:val="en-US" w:eastAsia="zh-CN"/>
              </w:rPr>
              <w:t>废气</w:t>
            </w:r>
          </w:p>
        </w:tc>
        <w:tc>
          <w:tcPr>
            <w:tcW w:w="1417" w:type="dxa"/>
            <w:vAlign w:val="center"/>
          </w:tcPr>
          <w:p>
            <w:pPr>
              <w:pStyle w:val="41"/>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颗粒物</w:t>
            </w:r>
          </w:p>
        </w:tc>
        <w:tc>
          <w:tcPr>
            <w:tcW w:w="1701" w:type="dxa"/>
            <w:vAlign w:val="center"/>
          </w:tcPr>
          <w:p>
            <w:pPr>
              <w:pStyle w:val="41"/>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lang w:val="en-US" w:eastAsia="zh-CN"/>
              </w:rPr>
              <w:t>0.126</w:t>
            </w:r>
            <w:r>
              <w:rPr>
                <w:rFonts w:hint="eastAsia" w:ascii="Times New Roman" w:cs="宋体"/>
                <w:snapToGrid w:val="0"/>
                <w:color w:val="000000"/>
                <w:kern w:val="21"/>
                <w:szCs w:val="21"/>
              </w:rPr>
              <w:t xml:space="preserve"> t</w:t>
            </w:r>
            <w:r>
              <w:rPr>
                <w:rFonts w:ascii="Times New Roman" w:cs="宋体"/>
                <w:snapToGrid w:val="0"/>
                <w:color w:val="000000"/>
                <w:kern w:val="21"/>
                <w:szCs w:val="21"/>
              </w:rPr>
              <w:t>/</w:t>
            </w:r>
            <w:r>
              <w:rPr>
                <w:rFonts w:hint="eastAsia" w:ascii="Times New Roman" w:cs="宋体"/>
                <w:snapToGrid w:val="0"/>
                <w:color w:val="000000"/>
                <w:kern w:val="21"/>
                <w:szCs w:val="21"/>
              </w:rPr>
              <w:t>a</w:t>
            </w:r>
          </w:p>
        </w:tc>
        <w:tc>
          <w:tcPr>
            <w:tcW w:w="1276" w:type="dxa"/>
            <w:vAlign w:val="center"/>
          </w:tcPr>
          <w:p>
            <w:pPr>
              <w:pStyle w:val="41"/>
              <w:spacing w:beforeLines="0" w:afterLines="0" w:line="240" w:lineRule="auto"/>
              <w:rPr>
                <w:rFonts w:ascii="Times New Roman" w:cs="宋体"/>
                <w:snapToGrid w:val="0"/>
                <w:color w:val="auto"/>
                <w:kern w:val="21"/>
                <w:szCs w:val="21"/>
              </w:rPr>
            </w:pPr>
            <w:r>
              <w:rPr>
                <w:rFonts w:hint="eastAsia" w:ascii="Times New Roman" w:cs="宋体"/>
                <w:snapToGrid w:val="0"/>
                <w:color w:val="auto"/>
                <w:kern w:val="21"/>
                <w:szCs w:val="21"/>
                <w:lang w:val="en-US" w:eastAsia="zh-CN"/>
              </w:rPr>
              <w:t>0.126</w:t>
            </w:r>
            <w:r>
              <w:rPr>
                <w:rFonts w:hint="eastAsia" w:ascii="Times New Roman" w:cs="宋体"/>
                <w:snapToGrid w:val="0"/>
                <w:color w:val="auto"/>
                <w:kern w:val="21"/>
                <w:szCs w:val="21"/>
              </w:rPr>
              <w:t xml:space="preserve"> t</w:t>
            </w:r>
            <w:r>
              <w:rPr>
                <w:rFonts w:ascii="Times New Roman" w:cs="宋体"/>
                <w:snapToGrid w:val="0"/>
                <w:color w:val="auto"/>
                <w:kern w:val="21"/>
                <w:szCs w:val="21"/>
              </w:rPr>
              <w:t>/</w:t>
            </w:r>
            <w:r>
              <w:rPr>
                <w:rFonts w:hint="eastAsia" w:ascii="Times New Roman" w:cs="宋体"/>
                <w:snapToGrid w:val="0"/>
                <w:color w:val="auto"/>
                <w:kern w:val="21"/>
                <w:szCs w:val="21"/>
              </w:rPr>
              <w:t>a</w:t>
            </w:r>
          </w:p>
        </w:tc>
        <w:tc>
          <w:tcPr>
            <w:tcW w:w="1701" w:type="dxa"/>
            <w:vAlign w:val="center"/>
          </w:tcPr>
          <w:p>
            <w:pPr>
              <w:pStyle w:val="41"/>
              <w:spacing w:beforeLines="0" w:afterLines="0" w:line="240" w:lineRule="auto"/>
              <w:rPr>
                <w:rFonts w:ascii="Times New Roman" w:cs="宋体"/>
                <w:snapToGrid w:val="0"/>
                <w:color w:val="auto"/>
                <w:kern w:val="21"/>
                <w:szCs w:val="21"/>
              </w:rPr>
            </w:pPr>
            <w:r>
              <w:rPr>
                <w:rFonts w:hint="eastAsia" w:ascii="Times New Roman" w:cs="宋体"/>
                <w:snapToGrid w:val="0"/>
                <w:color w:val="auto"/>
                <w:kern w:val="21"/>
                <w:szCs w:val="21"/>
              </w:rPr>
              <w:t>0</w:t>
            </w:r>
          </w:p>
        </w:tc>
        <w:tc>
          <w:tcPr>
            <w:tcW w:w="1559" w:type="dxa"/>
            <w:vAlign w:val="center"/>
          </w:tcPr>
          <w:p>
            <w:pPr>
              <w:pStyle w:val="41"/>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lang w:val="en-US" w:eastAsia="zh-CN"/>
              </w:rPr>
              <w:t>4.6267</w:t>
            </w:r>
            <w:r>
              <w:rPr>
                <w:rFonts w:ascii="Times New Roman" w:cs="宋体"/>
                <w:snapToGrid w:val="0"/>
                <w:color w:val="000000"/>
                <w:kern w:val="21"/>
                <w:szCs w:val="21"/>
              </w:rPr>
              <w:t>t/a</w:t>
            </w:r>
          </w:p>
        </w:tc>
        <w:tc>
          <w:tcPr>
            <w:tcW w:w="1380" w:type="dxa"/>
            <w:vAlign w:val="center"/>
          </w:tcPr>
          <w:p>
            <w:pPr>
              <w:pStyle w:val="41"/>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559" w:type="dxa"/>
            <w:vAlign w:val="center"/>
          </w:tcPr>
          <w:p>
            <w:pPr>
              <w:pStyle w:val="41"/>
              <w:spacing w:beforeLines="0" w:afterLines="0" w:line="240" w:lineRule="auto"/>
              <w:rPr>
                <w:rFonts w:ascii="Times New Roman" w:cs="宋体"/>
                <w:snapToGrid w:val="0"/>
                <w:color w:val="000000"/>
                <w:kern w:val="21"/>
                <w:szCs w:val="21"/>
              </w:rPr>
            </w:pPr>
            <w:r>
              <w:rPr>
                <w:rFonts w:hint="eastAsia" w:ascii="Times New Roman"/>
                <w:lang w:val="en-US" w:eastAsia="zh-CN"/>
              </w:rPr>
              <w:t>4.7527</w:t>
            </w:r>
            <w:r>
              <w:rPr>
                <w:rFonts w:ascii="Times New Roman"/>
              </w:rPr>
              <w:t>t/a</w:t>
            </w:r>
          </w:p>
        </w:tc>
        <w:tc>
          <w:tcPr>
            <w:tcW w:w="1607" w:type="dxa"/>
            <w:vAlign w:val="center"/>
          </w:tcPr>
          <w:p>
            <w:pPr>
              <w:pStyle w:val="41"/>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lang w:val="en-US" w:eastAsia="zh-CN"/>
              </w:rPr>
              <w:t>4.6267</w:t>
            </w:r>
            <w:r>
              <w:rPr>
                <w:rFonts w:ascii="Times New Roman" w:cs="宋体"/>
                <w:snapToGrid w:val="0"/>
                <w:color w:val="000000"/>
                <w:kern w:val="21"/>
                <w:szCs w:val="21"/>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restart"/>
            <w:vAlign w:val="center"/>
          </w:tcPr>
          <w:p>
            <w:pPr>
              <w:pStyle w:val="41"/>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一般工业</w:t>
            </w:r>
          </w:p>
          <w:p>
            <w:pPr>
              <w:pStyle w:val="41"/>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固体废物</w:t>
            </w:r>
          </w:p>
        </w:tc>
        <w:tc>
          <w:tcPr>
            <w:tcW w:w="1417" w:type="dxa"/>
            <w:vAlign w:val="center"/>
          </w:tcPr>
          <w:p>
            <w:pPr>
              <w:keepNext w:val="0"/>
              <w:keepLines w:val="0"/>
              <w:pageBreakBefore w:val="0"/>
              <w:kinsoku/>
              <w:wordWrap/>
              <w:overflowPunct/>
              <w:topLinePunct w:val="0"/>
              <w:autoSpaceDE/>
              <w:autoSpaceDN/>
              <w:bidi w:val="0"/>
              <w:adjustRightInd w:val="0"/>
              <w:snapToGrid w:val="0"/>
              <w:spacing w:after="0" w:line="240" w:lineRule="auto"/>
              <w:ind w:left="-118" w:leftChars="-56" w:right="-126" w:rightChars="-6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0"/>
                <w:position w:val="0"/>
                <w:sz w:val="21"/>
                <w:szCs w:val="21"/>
                <w:highlight w:val="none"/>
                <w:lang w:val="en-US" w:eastAsia="zh-CN"/>
              </w:rPr>
              <w:t>碎石杂质</w:t>
            </w:r>
          </w:p>
        </w:tc>
        <w:tc>
          <w:tcPr>
            <w:tcW w:w="1701" w:type="dxa"/>
            <w:vAlign w:val="center"/>
          </w:tcPr>
          <w:p>
            <w:pPr>
              <w:keepNext w:val="0"/>
              <w:keepLines w:val="0"/>
              <w:pageBreakBefore w:val="0"/>
              <w:kinsoku/>
              <w:wordWrap/>
              <w:overflowPunct/>
              <w:topLinePunct w:val="0"/>
              <w:autoSpaceDE/>
              <w:autoSpaceDN/>
              <w:bidi w:val="0"/>
              <w:adjustRightInd w:val="0"/>
              <w:snapToGrid w:val="0"/>
              <w:spacing w:after="0" w:line="240" w:lineRule="auto"/>
              <w:ind w:left="-118" w:leftChars="-56" w:right="-126" w:rightChars="-6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pacing w:val="0"/>
                <w:position w:val="0"/>
                <w:sz w:val="21"/>
                <w:szCs w:val="21"/>
                <w:highlight w:val="none"/>
                <w:lang w:val="en-US" w:eastAsia="zh-CN"/>
              </w:rPr>
              <w:t>2870</w:t>
            </w:r>
            <w:r>
              <w:rPr>
                <w:rFonts w:hint="default" w:ascii="Times New Roman" w:hAnsi="Times New Roman" w:eastAsia="宋体" w:cs="Times New Roman"/>
                <w:color w:val="auto"/>
                <w:spacing w:val="0"/>
                <w:position w:val="0"/>
                <w:sz w:val="21"/>
                <w:szCs w:val="21"/>
                <w:highlight w:val="none"/>
              </w:rPr>
              <w:t>t/a</w:t>
            </w:r>
          </w:p>
        </w:tc>
        <w:tc>
          <w:tcPr>
            <w:tcW w:w="1276" w:type="dxa"/>
            <w:vAlign w:val="center"/>
          </w:tcPr>
          <w:p>
            <w:pPr>
              <w:ind w:left="-118" w:leftChars="-56" w:right="-126" w:rightChars="-60"/>
              <w:jc w:val="center"/>
              <w:rPr>
                <w:rFonts w:hint="default" w:ascii="Times New Roman" w:hAnsi="Times New Roman" w:eastAsia="宋体" w:cs="Times New Roman"/>
                <w:color w:val="auto"/>
                <w:spacing w:val="0"/>
                <w:kern w:val="2"/>
                <w:position w:val="0"/>
                <w:sz w:val="21"/>
                <w:szCs w:val="21"/>
                <w:highlight w:val="none"/>
                <w:lang w:val="en-US" w:eastAsia="zh-CN" w:bidi="ar-SA"/>
              </w:rPr>
            </w:pPr>
            <w:r>
              <w:rPr>
                <w:rFonts w:hint="default" w:ascii="Times New Roman" w:hAnsi="Times New Roman" w:cs="Times New Roman"/>
                <w:color w:val="auto"/>
                <w:spacing w:val="0"/>
                <w:position w:val="0"/>
                <w:szCs w:val="21"/>
                <w:highlight w:val="none"/>
                <w:lang w:val="en-US" w:eastAsia="zh-CN"/>
              </w:rPr>
              <w:t>3000</w:t>
            </w:r>
            <w:r>
              <w:rPr>
                <w:rFonts w:hint="default" w:ascii="Times New Roman" w:hAnsi="Times New Roman" w:cs="Times New Roman"/>
                <w:color w:val="auto"/>
                <w:spacing w:val="0"/>
                <w:position w:val="0"/>
                <w:szCs w:val="21"/>
                <w:highlight w:val="none"/>
              </w:rPr>
              <w:t>t/a</w:t>
            </w:r>
          </w:p>
        </w:tc>
        <w:tc>
          <w:tcPr>
            <w:tcW w:w="1701" w:type="dxa"/>
            <w:vAlign w:val="center"/>
          </w:tcPr>
          <w:p>
            <w:pPr>
              <w:pStyle w:val="41"/>
              <w:spacing w:beforeLines="0" w:afterLines="0" w:line="240" w:lineRule="auto"/>
              <w:rPr>
                <w:rFonts w:ascii="Times New Roman" w:cs="宋体"/>
                <w:b/>
                <w:bCs/>
                <w:snapToGrid w:val="0"/>
                <w:color w:val="000000"/>
                <w:kern w:val="21"/>
                <w:szCs w:val="21"/>
              </w:rPr>
            </w:pPr>
            <w:r>
              <w:rPr>
                <w:rFonts w:hint="eastAsia" w:ascii="Times New Roman" w:cs="宋体"/>
                <w:snapToGrid w:val="0"/>
                <w:color w:val="000000"/>
                <w:kern w:val="21"/>
                <w:szCs w:val="21"/>
              </w:rPr>
              <w:t>0</w:t>
            </w:r>
          </w:p>
        </w:tc>
        <w:tc>
          <w:tcPr>
            <w:tcW w:w="1559" w:type="dxa"/>
            <w:vAlign w:val="center"/>
          </w:tcPr>
          <w:p>
            <w:pPr>
              <w:pStyle w:val="41"/>
              <w:spacing w:beforeLines="0" w:afterLines="0" w:line="240" w:lineRule="auto"/>
              <w:rPr>
                <w:rFonts w:hint="eastAsia" w:ascii="Times New Roman" w:eastAsia="宋体" w:cs="宋体"/>
                <w:snapToGrid w:val="0"/>
                <w:color w:val="000000"/>
                <w:kern w:val="21"/>
                <w:szCs w:val="21"/>
                <w:lang w:eastAsia="zh-CN"/>
              </w:rPr>
            </w:pPr>
            <w:r>
              <w:rPr>
                <w:rFonts w:hint="eastAsia" w:ascii="Times New Roman"/>
                <w:szCs w:val="21"/>
                <w:lang w:val="en-US" w:eastAsia="zh-CN"/>
              </w:rPr>
              <w:t>0</w:t>
            </w:r>
          </w:p>
        </w:tc>
        <w:tc>
          <w:tcPr>
            <w:tcW w:w="1380" w:type="dxa"/>
            <w:vAlign w:val="center"/>
          </w:tcPr>
          <w:p>
            <w:pPr>
              <w:pStyle w:val="41"/>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559" w:type="dxa"/>
            <w:vAlign w:val="center"/>
          </w:tcPr>
          <w:p>
            <w:pPr>
              <w:pStyle w:val="41"/>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lang w:val="en-US" w:eastAsia="zh-CN"/>
              </w:rPr>
              <w:t>0</w:t>
            </w:r>
            <w:r>
              <w:rPr>
                <w:rFonts w:hint="eastAsia" w:ascii="Times New Roman" w:cs="宋体"/>
                <w:snapToGrid w:val="0"/>
                <w:color w:val="000000"/>
                <w:kern w:val="21"/>
                <w:szCs w:val="21"/>
              </w:rPr>
              <w:t>t</w:t>
            </w:r>
            <w:r>
              <w:rPr>
                <w:rFonts w:ascii="Times New Roman" w:cs="宋体"/>
                <w:snapToGrid w:val="0"/>
                <w:color w:val="000000"/>
                <w:kern w:val="21"/>
                <w:szCs w:val="21"/>
              </w:rPr>
              <w:t>/a</w:t>
            </w:r>
          </w:p>
        </w:tc>
        <w:tc>
          <w:tcPr>
            <w:tcW w:w="1607" w:type="dxa"/>
            <w:vAlign w:val="center"/>
          </w:tcPr>
          <w:p>
            <w:pPr>
              <w:pStyle w:val="41"/>
              <w:spacing w:beforeLines="0" w:afterLines="0" w:line="240" w:lineRule="auto"/>
              <w:rPr>
                <w:rFonts w:ascii="Times New Roman" w:cs="宋体"/>
                <w:snapToGrid w:val="0"/>
                <w:color w:val="000000"/>
                <w:kern w:val="21"/>
                <w:szCs w:val="21"/>
              </w:rPr>
            </w:pPr>
            <w:r>
              <w:rPr>
                <w:rFonts w:hint="eastAsia" w:ascii="Times New Roman"/>
                <w:szCs w:val="21"/>
                <w:lang w:val="en-US" w:eastAsia="zh-CN"/>
              </w:rPr>
              <w:t>0</w:t>
            </w:r>
            <w:r>
              <w:rPr>
                <w:rFonts w:hint="eastAsia" w:ascii="Times New Roman"/>
                <w:szCs w:val="21"/>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continue"/>
            <w:vAlign w:val="center"/>
          </w:tcPr>
          <w:p>
            <w:pPr>
              <w:pStyle w:val="41"/>
              <w:spacing w:beforeLines="0" w:afterLines="0" w:line="240" w:lineRule="auto"/>
              <w:rPr>
                <w:rFonts w:ascii="Times New Roman" w:cs="宋体"/>
                <w:snapToGrid w:val="0"/>
                <w:color w:val="000000"/>
                <w:kern w:val="21"/>
                <w:szCs w:val="21"/>
              </w:rPr>
            </w:pPr>
          </w:p>
        </w:tc>
        <w:tc>
          <w:tcPr>
            <w:tcW w:w="1417" w:type="dxa"/>
            <w:vAlign w:val="center"/>
          </w:tcPr>
          <w:p>
            <w:pPr>
              <w:keepNext w:val="0"/>
              <w:keepLines w:val="0"/>
              <w:pageBreakBefore w:val="0"/>
              <w:kinsoku/>
              <w:wordWrap/>
              <w:overflowPunct/>
              <w:topLinePunct w:val="0"/>
              <w:autoSpaceDE/>
              <w:autoSpaceDN/>
              <w:bidi w:val="0"/>
              <w:adjustRightInd w:val="0"/>
              <w:snapToGrid w:val="0"/>
              <w:spacing w:after="0" w:line="240" w:lineRule="auto"/>
              <w:ind w:left="-118" w:leftChars="-56" w:right="-126" w:rightChars="-6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pacing w:val="0"/>
                <w:position w:val="0"/>
                <w:sz w:val="21"/>
                <w:szCs w:val="21"/>
                <w:highlight w:val="none"/>
                <w:lang w:val="en-US" w:eastAsia="zh-CN"/>
              </w:rPr>
              <w:t>沉渣</w:t>
            </w:r>
          </w:p>
        </w:tc>
        <w:tc>
          <w:tcPr>
            <w:tcW w:w="1701" w:type="dxa"/>
            <w:vAlign w:val="center"/>
          </w:tcPr>
          <w:p>
            <w:pPr>
              <w:keepNext w:val="0"/>
              <w:keepLines w:val="0"/>
              <w:pageBreakBefore w:val="0"/>
              <w:kinsoku/>
              <w:wordWrap/>
              <w:overflowPunct/>
              <w:topLinePunct w:val="0"/>
              <w:autoSpaceDE/>
              <w:autoSpaceDN/>
              <w:bidi w:val="0"/>
              <w:adjustRightInd w:val="0"/>
              <w:snapToGrid w:val="0"/>
              <w:spacing w:after="0" w:line="240" w:lineRule="auto"/>
              <w:ind w:left="-118" w:leftChars="-56" w:right="-126" w:rightChars="-6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pacing w:val="0"/>
                <w:position w:val="0"/>
                <w:sz w:val="21"/>
                <w:szCs w:val="21"/>
                <w:highlight w:val="none"/>
                <w:lang w:val="en-US" w:eastAsia="zh-CN"/>
              </w:rPr>
              <w:t>9878</w:t>
            </w:r>
            <w:r>
              <w:rPr>
                <w:rFonts w:hint="default" w:ascii="Times New Roman" w:hAnsi="Times New Roman" w:eastAsia="宋体" w:cs="Times New Roman"/>
                <w:color w:val="auto"/>
                <w:spacing w:val="0"/>
                <w:position w:val="0"/>
                <w:sz w:val="21"/>
                <w:szCs w:val="21"/>
                <w:highlight w:val="none"/>
              </w:rPr>
              <w:t>t/a</w:t>
            </w:r>
          </w:p>
        </w:tc>
        <w:tc>
          <w:tcPr>
            <w:tcW w:w="1276" w:type="dxa"/>
            <w:vAlign w:val="center"/>
          </w:tcPr>
          <w:p>
            <w:pPr>
              <w:ind w:left="-118" w:leftChars="-56" w:right="-126" w:rightChars="-60"/>
              <w:jc w:val="center"/>
              <w:rPr>
                <w:rFonts w:hint="default" w:ascii="Times New Roman" w:hAnsi="Times New Roman" w:eastAsia="宋体" w:cs="Times New Roman"/>
                <w:color w:val="auto"/>
                <w:spacing w:val="0"/>
                <w:kern w:val="2"/>
                <w:position w:val="0"/>
                <w:sz w:val="21"/>
                <w:szCs w:val="21"/>
                <w:highlight w:val="none"/>
                <w:lang w:val="en-US" w:eastAsia="zh-CN" w:bidi="ar-SA"/>
              </w:rPr>
            </w:pPr>
            <w:r>
              <w:rPr>
                <w:rFonts w:hint="default" w:ascii="Times New Roman" w:hAnsi="Times New Roman" w:cs="Times New Roman"/>
                <w:color w:val="auto"/>
                <w:spacing w:val="0"/>
                <w:position w:val="0"/>
                <w:szCs w:val="21"/>
                <w:highlight w:val="none"/>
                <w:lang w:val="en-US" w:eastAsia="zh-CN"/>
              </w:rPr>
              <w:t>10000</w:t>
            </w:r>
            <w:r>
              <w:rPr>
                <w:rFonts w:hint="default" w:ascii="Times New Roman" w:hAnsi="Times New Roman" w:cs="Times New Roman"/>
                <w:color w:val="auto"/>
                <w:spacing w:val="0"/>
                <w:position w:val="0"/>
                <w:szCs w:val="21"/>
                <w:highlight w:val="none"/>
              </w:rPr>
              <w:t>t/a</w:t>
            </w:r>
          </w:p>
        </w:tc>
        <w:tc>
          <w:tcPr>
            <w:tcW w:w="1701" w:type="dxa"/>
            <w:vAlign w:val="center"/>
          </w:tcPr>
          <w:p>
            <w:pPr>
              <w:pStyle w:val="41"/>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559" w:type="dxa"/>
            <w:vAlign w:val="center"/>
          </w:tcPr>
          <w:p>
            <w:pPr>
              <w:pStyle w:val="41"/>
              <w:spacing w:beforeLines="0" w:afterLines="0" w:line="240" w:lineRule="auto"/>
              <w:rPr>
                <w:rFonts w:ascii="Times New Roman"/>
                <w:szCs w:val="21"/>
              </w:rPr>
            </w:pPr>
            <w:r>
              <w:rPr>
                <w:rFonts w:hint="eastAsia" w:ascii="Times New Roman" w:hAnsi="Times New Roman" w:cs="宋体"/>
                <w:snapToGrid w:val="0"/>
                <w:color w:val="000000"/>
                <w:kern w:val="21"/>
                <w:szCs w:val="21"/>
                <w:lang w:val="en-US" w:eastAsia="zh-CN"/>
              </w:rPr>
              <w:t>14</w:t>
            </w:r>
            <w:r>
              <w:rPr>
                <w:rFonts w:hint="eastAsia" w:ascii="Times New Roman" w:cs="宋体"/>
                <w:snapToGrid w:val="0"/>
                <w:color w:val="000000"/>
                <w:kern w:val="21"/>
                <w:szCs w:val="21"/>
                <w:lang w:val="en-US" w:eastAsia="zh-CN"/>
              </w:rPr>
              <w:t>143.6</w:t>
            </w:r>
            <w:r>
              <w:rPr>
                <w:rFonts w:hint="eastAsia" w:ascii="Times New Roman" w:hAnsi="Times New Roman" w:cs="宋体"/>
                <w:snapToGrid w:val="0"/>
                <w:color w:val="000000"/>
                <w:kern w:val="21"/>
                <w:szCs w:val="21"/>
              </w:rPr>
              <w:t>t/a</w:t>
            </w:r>
          </w:p>
        </w:tc>
        <w:tc>
          <w:tcPr>
            <w:tcW w:w="1380" w:type="dxa"/>
            <w:vAlign w:val="center"/>
          </w:tcPr>
          <w:p>
            <w:pPr>
              <w:pStyle w:val="41"/>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559" w:type="dxa"/>
            <w:vAlign w:val="center"/>
          </w:tcPr>
          <w:p>
            <w:pPr>
              <w:pStyle w:val="41"/>
              <w:spacing w:beforeLines="0" w:afterLines="0" w:line="240" w:lineRule="auto"/>
              <w:rPr>
                <w:rFonts w:ascii="Times New Roman"/>
                <w:szCs w:val="21"/>
              </w:rPr>
            </w:pPr>
            <w:r>
              <w:rPr>
                <w:rFonts w:hint="eastAsia" w:ascii="Times New Roman"/>
                <w:szCs w:val="21"/>
                <w:lang w:val="en-US" w:eastAsia="zh-CN"/>
              </w:rPr>
              <w:t>24021.6</w:t>
            </w:r>
            <w:r>
              <w:rPr>
                <w:rFonts w:hint="eastAsia" w:ascii="Times New Roman"/>
                <w:szCs w:val="21"/>
              </w:rPr>
              <w:t xml:space="preserve"> t/a</w:t>
            </w:r>
          </w:p>
        </w:tc>
        <w:tc>
          <w:tcPr>
            <w:tcW w:w="1607" w:type="dxa"/>
            <w:vAlign w:val="center"/>
          </w:tcPr>
          <w:p>
            <w:pPr>
              <w:pStyle w:val="41"/>
              <w:spacing w:beforeLines="0" w:afterLines="0" w:line="240" w:lineRule="auto"/>
              <w:rPr>
                <w:rFonts w:ascii="Times New Roman"/>
                <w:szCs w:val="21"/>
              </w:rPr>
            </w:pPr>
            <w:r>
              <w:rPr>
                <w:rFonts w:hint="eastAsia" w:ascii="Times New Roman"/>
                <w:color w:val="000000"/>
                <w:spacing w:val="4"/>
                <w:kern w:val="18"/>
                <w:szCs w:val="21"/>
                <w:lang w:val="en-US" w:eastAsia="zh-CN"/>
              </w:rPr>
              <w:t>14143.6</w:t>
            </w:r>
            <w:r>
              <w:rPr>
                <w:rFonts w:hint="eastAsia" w:ascii="Times New Roman"/>
                <w:szCs w:val="21"/>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continue"/>
            <w:vAlign w:val="center"/>
          </w:tcPr>
          <w:p>
            <w:pPr>
              <w:pStyle w:val="41"/>
              <w:spacing w:beforeLines="0" w:afterLines="0" w:line="240" w:lineRule="auto"/>
              <w:rPr>
                <w:rFonts w:ascii="Times New Roman" w:cs="宋体"/>
                <w:snapToGrid w:val="0"/>
                <w:color w:val="000000"/>
                <w:kern w:val="21"/>
                <w:szCs w:val="21"/>
              </w:rPr>
            </w:pPr>
          </w:p>
        </w:tc>
        <w:tc>
          <w:tcPr>
            <w:tcW w:w="1417" w:type="dxa"/>
            <w:vAlign w:val="center"/>
          </w:tcPr>
          <w:p>
            <w:pPr>
              <w:keepNext w:val="0"/>
              <w:keepLines w:val="0"/>
              <w:pageBreakBefore w:val="0"/>
              <w:kinsoku/>
              <w:wordWrap/>
              <w:overflowPunct/>
              <w:topLinePunct w:val="0"/>
              <w:autoSpaceDE/>
              <w:autoSpaceDN/>
              <w:bidi w:val="0"/>
              <w:adjustRightInd w:val="0"/>
              <w:snapToGrid w:val="0"/>
              <w:spacing w:after="0" w:line="240" w:lineRule="auto"/>
              <w:ind w:left="-118" w:leftChars="-56" w:right="-126" w:rightChars="-6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pacing w:val="0"/>
                <w:position w:val="0"/>
                <w:sz w:val="21"/>
                <w:szCs w:val="21"/>
                <w:highlight w:val="none"/>
              </w:rPr>
              <w:t>生活垃圾</w:t>
            </w:r>
          </w:p>
        </w:tc>
        <w:tc>
          <w:tcPr>
            <w:tcW w:w="1701" w:type="dxa"/>
            <w:vAlign w:val="center"/>
          </w:tcPr>
          <w:p>
            <w:pPr>
              <w:keepNext w:val="0"/>
              <w:keepLines w:val="0"/>
              <w:pageBreakBefore w:val="0"/>
              <w:kinsoku/>
              <w:wordWrap/>
              <w:overflowPunct/>
              <w:topLinePunct w:val="0"/>
              <w:autoSpaceDE/>
              <w:autoSpaceDN/>
              <w:bidi w:val="0"/>
              <w:adjustRightInd w:val="0"/>
              <w:snapToGrid w:val="0"/>
              <w:spacing w:after="0" w:line="240" w:lineRule="auto"/>
              <w:ind w:left="-118" w:leftChars="-56" w:right="-126" w:rightChars="-6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pacing w:val="0"/>
                <w:position w:val="0"/>
                <w:sz w:val="21"/>
                <w:szCs w:val="21"/>
                <w:highlight w:val="none"/>
                <w:lang w:val="en-US" w:eastAsia="zh-CN"/>
              </w:rPr>
              <w:t>2</w:t>
            </w:r>
            <w:r>
              <w:rPr>
                <w:rFonts w:hint="default" w:ascii="Times New Roman" w:hAnsi="Times New Roman" w:eastAsia="宋体" w:cs="Times New Roman"/>
                <w:color w:val="auto"/>
                <w:spacing w:val="0"/>
                <w:position w:val="0"/>
                <w:sz w:val="21"/>
                <w:szCs w:val="21"/>
                <w:highlight w:val="none"/>
              </w:rPr>
              <w:t>t/a</w:t>
            </w:r>
          </w:p>
        </w:tc>
        <w:tc>
          <w:tcPr>
            <w:tcW w:w="1276" w:type="dxa"/>
            <w:vAlign w:val="center"/>
          </w:tcPr>
          <w:p>
            <w:pPr>
              <w:ind w:left="-118" w:leftChars="-56" w:right="-126" w:rightChars="-60"/>
              <w:jc w:val="center"/>
              <w:rPr>
                <w:rFonts w:hint="default" w:ascii="Times New Roman" w:hAnsi="Times New Roman" w:eastAsia="宋体" w:cs="Times New Roman"/>
                <w:color w:val="auto"/>
                <w:spacing w:val="0"/>
                <w:kern w:val="2"/>
                <w:position w:val="0"/>
                <w:sz w:val="21"/>
                <w:szCs w:val="21"/>
                <w:highlight w:val="none"/>
                <w:lang w:val="en-US" w:eastAsia="zh-CN" w:bidi="ar-SA"/>
              </w:rPr>
            </w:pPr>
            <w:r>
              <w:rPr>
                <w:rFonts w:hint="default" w:ascii="Times New Roman" w:hAnsi="Times New Roman" w:cs="Times New Roman"/>
                <w:color w:val="auto"/>
                <w:spacing w:val="0"/>
                <w:position w:val="0"/>
                <w:szCs w:val="21"/>
                <w:highlight w:val="none"/>
                <w:lang w:val="en-US" w:eastAsia="zh-CN"/>
              </w:rPr>
              <w:t>1.2</w:t>
            </w:r>
            <w:r>
              <w:rPr>
                <w:rFonts w:hint="default" w:ascii="Times New Roman" w:hAnsi="Times New Roman" w:cs="Times New Roman"/>
                <w:color w:val="auto"/>
                <w:spacing w:val="0"/>
                <w:position w:val="0"/>
                <w:szCs w:val="21"/>
                <w:highlight w:val="none"/>
              </w:rPr>
              <w:t>t/a</w:t>
            </w:r>
          </w:p>
        </w:tc>
        <w:tc>
          <w:tcPr>
            <w:tcW w:w="1701" w:type="dxa"/>
            <w:vAlign w:val="center"/>
          </w:tcPr>
          <w:p>
            <w:pPr>
              <w:pStyle w:val="41"/>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559" w:type="dxa"/>
            <w:vAlign w:val="center"/>
          </w:tcPr>
          <w:p>
            <w:pPr>
              <w:pStyle w:val="41"/>
              <w:spacing w:beforeLines="0" w:afterLines="0" w:line="240" w:lineRule="auto"/>
              <w:rPr>
                <w:rFonts w:ascii="Times New Roman"/>
                <w:color w:val="000000"/>
                <w:szCs w:val="21"/>
              </w:rPr>
            </w:pPr>
            <w:r>
              <w:rPr>
                <w:rFonts w:ascii="Times New Roman"/>
                <w:color w:val="000000"/>
                <w:spacing w:val="4"/>
                <w:kern w:val="18"/>
                <w:szCs w:val="21"/>
              </w:rPr>
              <w:t>2</w:t>
            </w:r>
            <w:r>
              <w:rPr>
                <w:rFonts w:hint="eastAsia" w:ascii="Times New Roman"/>
                <w:szCs w:val="21"/>
              </w:rPr>
              <w:t xml:space="preserve"> t/a</w:t>
            </w:r>
          </w:p>
        </w:tc>
        <w:tc>
          <w:tcPr>
            <w:tcW w:w="1380" w:type="dxa"/>
            <w:vAlign w:val="center"/>
          </w:tcPr>
          <w:p>
            <w:pPr>
              <w:pStyle w:val="41"/>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559" w:type="dxa"/>
            <w:vAlign w:val="center"/>
          </w:tcPr>
          <w:p>
            <w:pPr>
              <w:pStyle w:val="41"/>
              <w:spacing w:beforeLines="0" w:afterLines="0" w:line="240" w:lineRule="auto"/>
              <w:rPr>
                <w:rFonts w:ascii="Times New Roman"/>
                <w:color w:val="000000"/>
                <w:szCs w:val="21"/>
              </w:rPr>
            </w:pPr>
            <w:r>
              <w:rPr>
                <w:rFonts w:hint="eastAsia" w:ascii="Times New Roman"/>
                <w:color w:val="000000"/>
                <w:spacing w:val="4"/>
                <w:kern w:val="18"/>
                <w:szCs w:val="21"/>
                <w:lang w:val="en-US" w:eastAsia="zh-CN"/>
              </w:rPr>
              <w:t>0</w:t>
            </w:r>
            <w:r>
              <w:rPr>
                <w:rFonts w:hint="eastAsia" w:ascii="Times New Roman"/>
                <w:szCs w:val="21"/>
              </w:rPr>
              <w:t>t/a</w:t>
            </w:r>
          </w:p>
        </w:tc>
        <w:tc>
          <w:tcPr>
            <w:tcW w:w="1607" w:type="dxa"/>
            <w:vAlign w:val="center"/>
          </w:tcPr>
          <w:p>
            <w:pPr>
              <w:pStyle w:val="41"/>
              <w:spacing w:beforeLines="0" w:afterLines="0" w:line="240" w:lineRule="auto"/>
              <w:rPr>
                <w:rFonts w:ascii="Times New Roman"/>
                <w:color w:val="000000"/>
                <w:szCs w:val="21"/>
              </w:rPr>
            </w:pPr>
            <w:r>
              <w:rPr>
                <w:rFonts w:hint="eastAsia" w:ascii="Times New Roman"/>
                <w:color w:val="000000"/>
                <w:spacing w:val="4"/>
                <w:kern w:val="18"/>
                <w:szCs w:val="21"/>
                <w:lang w:val="en-US" w:eastAsia="zh-CN"/>
              </w:rPr>
              <w:t>0</w:t>
            </w:r>
            <w:r>
              <w:rPr>
                <w:rFonts w:hint="eastAsia" w:ascii="Times New Roman"/>
                <w:szCs w:val="21"/>
              </w:rPr>
              <w:t xml:space="preserve"> 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restart"/>
            <w:vAlign w:val="center"/>
          </w:tcPr>
          <w:p>
            <w:pPr>
              <w:pStyle w:val="41"/>
              <w:spacing w:before="24" w:after="24" w:line="240" w:lineRule="auto"/>
              <w:rPr>
                <w:rFonts w:ascii="Times New Roman" w:cs="宋体"/>
                <w:snapToGrid w:val="0"/>
                <w:color w:val="000000"/>
                <w:kern w:val="21"/>
                <w:szCs w:val="21"/>
              </w:rPr>
            </w:pPr>
            <w:r>
              <w:rPr>
                <w:rFonts w:hint="eastAsia" w:ascii="Times New Roman" w:cs="宋体"/>
                <w:snapToGrid w:val="0"/>
                <w:color w:val="000000"/>
                <w:kern w:val="21"/>
                <w:szCs w:val="21"/>
              </w:rPr>
              <w:t>危险废物</w:t>
            </w:r>
          </w:p>
        </w:tc>
        <w:tc>
          <w:tcPr>
            <w:tcW w:w="1417" w:type="dxa"/>
            <w:vAlign w:val="center"/>
          </w:tcPr>
          <w:p>
            <w:pPr>
              <w:pStyle w:val="41"/>
              <w:spacing w:beforeLines="0" w:afterLines="0" w:line="240" w:lineRule="auto"/>
              <w:rPr>
                <w:rFonts w:ascii="Times New Roman" w:cs="宋体"/>
                <w:snapToGrid w:val="0"/>
                <w:color w:val="000000"/>
                <w:kern w:val="21"/>
                <w:szCs w:val="21"/>
              </w:rPr>
            </w:pPr>
            <w:r>
              <w:rPr>
                <w:rFonts w:ascii="Times New Roman"/>
                <w:color w:val="000000"/>
                <w:spacing w:val="4"/>
                <w:kern w:val="18"/>
                <w:szCs w:val="21"/>
              </w:rPr>
              <w:t>废</w:t>
            </w:r>
            <w:r>
              <w:rPr>
                <w:rFonts w:hint="eastAsia" w:ascii="Times New Roman"/>
                <w:color w:val="000000"/>
                <w:spacing w:val="4"/>
                <w:kern w:val="18"/>
                <w:szCs w:val="21"/>
                <w:lang w:val="en-US" w:eastAsia="zh-CN"/>
              </w:rPr>
              <w:t>油</w:t>
            </w:r>
            <w:r>
              <w:rPr>
                <w:rFonts w:ascii="Times New Roman"/>
                <w:color w:val="000000"/>
                <w:spacing w:val="4"/>
                <w:kern w:val="18"/>
                <w:szCs w:val="21"/>
              </w:rPr>
              <w:t>桶</w:t>
            </w:r>
          </w:p>
        </w:tc>
        <w:tc>
          <w:tcPr>
            <w:tcW w:w="1701" w:type="dxa"/>
            <w:vAlign w:val="center"/>
          </w:tcPr>
          <w:p>
            <w:pPr>
              <w:pStyle w:val="41"/>
              <w:spacing w:beforeLines="0" w:afterLines="0" w:line="240" w:lineRule="auto"/>
              <w:rPr>
                <w:rFonts w:ascii="Times New Roman" w:cs="宋体"/>
                <w:b/>
                <w:bCs/>
                <w:snapToGrid w:val="0"/>
                <w:color w:val="000000"/>
                <w:kern w:val="21"/>
                <w:szCs w:val="21"/>
              </w:rPr>
            </w:pPr>
            <w:r>
              <w:rPr>
                <w:rFonts w:hint="eastAsia" w:ascii="Times New Roman" w:cs="宋体"/>
                <w:snapToGrid w:val="0"/>
                <w:color w:val="000000"/>
                <w:kern w:val="21"/>
                <w:szCs w:val="21"/>
              </w:rPr>
              <w:t>0</w:t>
            </w:r>
          </w:p>
        </w:tc>
        <w:tc>
          <w:tcPr>
            <w:tcW w:w="1276" w:type="dxa"/>
            <w:vAlign w:val="center"/>
          </w:tcPr>
          <w:p>
            <w:pPr>
              <w:pStyle w:val="41"/>
              <w:spacing w:beforeLines="0" w:afterLines="0" w:line="240" w:lineRule="auto"/>
              <w:rPr>
                <w:rFonts w:ascii="Times New Roman" w:cs="宋体"/>
                <w:b/>
                <w:bCs/>
                <w:snapToGrid w:val="0"/>
                <w:color w:val="000000"/>
                <w:kern w:val="21"/>
                <w:szCs w:val="21"/>
              </w:rPr>
            </w:pPr>
            <w:r>
              <w:rPr>
                <w:rFonts w:hint="eastAsia" w:ascii="Times New Roman" w:cs="宋体"/>
                <w:snapToGrid w:val="0"/>
                <w:color w:val="000000"/>
                <w:kern w:val="21"/>
                <w:szCs w:val="21"/>
              </w:rPr>
              <w:t>0</w:t>
            </w:r>
          </w:p>
        </w:tc>
        <w:tc>
          <w:tcPr>
            <w:tcW w:w="1701" w:type="dxa"/>
            <w:vAlign w:val="center"/>
          </w:tcPr>
          <w:p>
            <w:pPr>
              <w:pStyle w:val="41"/>
              <w:spacing w:beforeLines="0" w:afterLines="0" w:line="240" w:lineRule="auto"/>
              <w:rPr>
                <w:rFonts w:ascii="Times New Roman" w:cs="宋体"/>
                <w:b/>
                <w:bCs/>
                <w:snapToGrid w:val="0"/>
                <w:color w:val="000000"/>
                <w:kern w:val="21"/>
                <w:szCs w:val="21"/>
              </w:rPr>
            </w:pPr>
            <w:r>
              <w:rPr>
                <w:rFonts w:hint="eastAsia" w:ascii="Times New Roman" w:cs="宋体"/>
                <w:snapToGrid w:val="0"/>
                <w:color w:val="000000"/>
                <w:kern w:val="21"/>
                <w:szCs w:val="21"/>
              </w:rPr>
              <w:t>0</w:t>
            </w:r>
          </w:p>
        </w:tc>
        <w:tc>
          <w:tcPr>
            <w:tcW w:w="1559" w:type="dxa"/>
            <w:vAlign w:val="center"/>
          </w:tcPr>
          <w:p>
            <w:pPr>
              <w:pStyle w:val="41"/>
              <w:spacing w:beforeLines="0" w:afterLines="0" w:line="240" w:lineRule="auto"/>
              <w:rPr>
                <w:rFonts w:ascii="Times New Roman" w:cs="宋体"/>
                <w:snapToGrid w:val="0"/>
                <w:color w:val="000000"/>
                <w:kern w:val="21"/>
                <w:szCs w:val="21"/>
              </w:rPr>
            </w:pPr>
            <w:r>
              <w:rPr>
                <w:rFonts w:hint="eastAsia" w:ascii="Times New Roman"/>
                <w:color w:val="000000"/>
                <w:spacing w:val="4"/>
                <w:kern w:val="18"/>
                <w:szCs w:val="21"/>
                <w:lang w:val="en-US" w:eastAsia="zh-CN"/>
              </w:rPr>
              <w:t>0.01</w:t>
            </w:r>
            <w:r>
              <w:rPr>
                <w:rFonts w:hint="eastAsia" w:ascii="Times New Roman"/>
                <w:szCs w:val="21"/>
              </w:rPr>
              <w:t xml:space="preserve"> t/a</w:t>
            </w:r>
          </w:p>
        </w:tc>
        <w:tc>
          <w:tcPr>
            <w:tcW w:w="1380" w:type="dxa"/>
            <w:vAlign w:val="center"/>
          </w:tcPr>
          <w:p>
            <w:pPr>
              <w:pStyle w:val="41"/>
              <w:spacing w:beforeLines="0" w:afterLines="0" w:line="240" w:lineRule="auto"/>
              <w:rPr>
                <w:rFonts w:ascii="Times New Roman" w:cs="宋体"/>
                <w:b/>
                <w:bCs/>
                <w:snapToGrid w:val="0"/>
                <w:color w:val="000000"/>
                <w:kern w:val="21"/>
                <w:szCs w:val="21"/>
              </w:rPr>
            </w:pPr>
            <w:r>
              <w:rPr>
                <w:rFonts w:hint="eastAsia" w:ascii="Times New Roman" w:cs="宋体"/>
                <w:snapToGrid w:val="0"/>
                <w:color w:val="000000"/>
                <w:kern w:val="21"/>
                <w:szCs w:val="21"/>
              </w:rPr>
              <w:t>0</w:t>
            </w:r>
          </w:p>
        </w:tc>
        <w:tc>
          <w:tcPr>
            <w:tcW w:w="1559" w:type="dxa"/>
            <w:vAlign w:val="center"/>
          </w:tcPr>
          <w:p>
            <w:pPr>
              <w:pStyle w:val="41"/>
              <w:spacing w:beforeLines="0" w:afterLines="0" w:line="240" w:lineRule="auto"/>
              <w:rPr>
                <w:rFonts w:ascii="Times New Roman" w:cs="宋体"/>
                <w:snapToGrid w:val="0"/>
                <w:color w:val="000000"/>
                <w:kern w:val="21"/>
                <w:szCs w:val="21"/>
              </w:rPr>
            </w:pPr>
            <w:r>
              <w:rPr>
                <w:rFonts w:hint="eastAsia" w:ascii="Times New Roman"/>
                <w:color w:val="000000"/>
                <w:spacing w:val="4"/>
                <w:kern w:val="18"/>
                <w:szCs w:val="21"/>
                <w:lang w:val="en-US" w:eastAsia="zh-CN"/>
              </w:rPr>
              <w:t>0.01</w:t>
            </w:r>
            <w:r>
              <w:rPr>
                <w:rFonts w:hint="eastAsia" w:ascii="Times New Roman"/>
                <w:szCs w:val="21"/>
              </w:rPr>
              <w:t>t/a</w:t>
            </w:r>
          </w:p>
        </w:tc>
        <w:tc>
          <w:tcPr>
            <w:tcW w:w="1607" w:type="dxa"/>
            <w:vAlign w:val="center"/>
          </w:tcPr>
          <w:p>
            <w:pPr>
              <w:pStyle w:val="41"/>
              <w:spacing w:beforeLines="0" w:afterLines="0" w:line="240" w:lineRule="auto"/>
              <w:rPr>
                <w:rFonts w:ascii="Times New Roman" w:hAnsi="Times New Roman" w:eastAsia="宋体" w:cs="宋体"/>
                <w:snapToGrid w:val="0"/>
                <w:color w:val="000000"/>
                <w:kern w:val="21"/>
                <w:sz w:val="21"/>
                <w:szCs w:val="21"/>
                <w:lang w:val="en-US" w:eastAsia="zh-CN" w:bidi="ar-SA"/>
              </w:rPr>
            </w:pPr>
            <w:r>
              <w:rPr>
                <w:rFonts w:hint="eastAsia" w:ascii="Times New Roman"/>
                <w:color w:val="000000"/>
                <w:spacing w:val="4"/>
                <w:kern w:val="18"/>
                <w:szCs w:val="21"/>
                <w:lang w:val="en-US" w:eastAsia="zh-CN"/>
              </w:rPr>
              <w:t>0.01</w:t>
            </w:r>
            <w:r>
              <w:rPr>
                <w:rFonts w:hint="eastAsia" w:ascii="Times New Roman"/>
                <w:szCs w:val="21"/>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continue"/>
            <w:vAlign w:val="center"/>
          </w:tcPr>
          <w:p>
            <w:pPr>
              <w:pStyle w:val="41"/>
              <w:spacing w:beforeLines="0" w:afterLines="0" w:line="240" w:lineRule="auto"/>
              <w:rPr>
                <w:rFonts w:ascii="Times New Roman" w:cs="宋体"/>
                <w:snapToGrid w:val="0"/>
                <w:color w:val="000000"/>
                <w:kern w:val="21"/>
                <w:szCs w:val="21"/>
              </w:rPr>
            </w:pPr>
          </w:p>
        </w:tc>
        <w:tc>
          <w:tcPr>
            <w:tcW w:w="1417" w:type="dxa"/>
            <w:vAlign w:val="center"/>
          </w:tcPr>
          <w:p>
            <w:pPr>
              <w:pStyle w:val="41"/>
              <w:spacing w:beforeLines="0" w:afterLines="0" w:line="240" w:lineRule="auto"/>
              <w:rPr>
                <w:rFonts w:ascii="Times New Roman" w:cs="宋体"/>
                <w:snapToGrid w:val="0"/>
                <w:color w:val="000000"/>
                <w:kern w:val="21"/>
                <w:szCs w:val="21"/>
              </w:rPr>
            </w:pPr>
            <w:r>
              <w:rPr>
                <w:rFonts w:ascii="Times New Roman"/>
                <w:color w:val="000000"/>
                <w:spacing w:val="4"/>
                <w:kern w:val="18"/>
                <w:szCs w:val="21"/>
              </w:rPr>
              <w:t>废油</w:t>
            </w:r>
          </w:p>
        </w:tc>
        <w:tc>
          <w:tcPr>
            <w:tcW w:w="1701" w:type="dxa"/>
            <w:vAlign w:val="center"/>
          </w:tcPr>
          <w:p>
            <w:pPr>
              <w:pStyle w:val="41"/>
              <w:spacing w:beforeLines="0" w:afterLines="0" w:line="240" w:lineRule="auto"/>
              <w:rPr>
                <w:rFonts w:ascii="Times New Roman" w:cs="宋体"/>
                <w:b/>
                <w:bCs/>
                <w:snapToGrid w:val="0"/>
                <w:color w:val="000000"/>
                <w:kern w:val="21"/>
                <w:szCs w:val="21"/>
              </w:rPr>
            </w:pPr>
            <w:r>
              <w:rPr>
                <w:rFonts w:hint="eastAsia" w:ascii="Times New Roman" w:cs="宋体"/>
                <w:snapToGrid w:val="0"/>
                <w:color w:val="000000"/>
                <w:kern w:val="21"/>
                <w:szCs w:val="21"/>
              </w:rPr>
              <w:t>0</w:t>
            </w:r>
          </w:p>
        </w:tc>
        <w:tc>
          <w:tcPr>
            <w:tcW w:w="1276" w:type="dxa"/>
            <w:vAlign w:val="center"/>
          </w:tcPr>
          <w:p>
            <w:pPr>
              <w:pStyle w:val="41"/>
              <w:spacing w:beforeLines="0" w:afterLines="0" w:line="240" w:lineRule="auto"/>
              <w:rPr>
                <w:rFonts w:ascii="Times New Roman" w:cs="宋体"/>
                <w:b/>
                <w:bCs/>
                <w:snapToGrid w:val="0"/>
                <w:color w:val="000000"/>
                <w:kern w:val="21"/>
                <w:szCs w:val="21"/>
              </w:rPr>
            </w:pPr>
            <w:r>
              <w:rPr>
                <w:rFonts w:hint="eastAsia" w:ascii="Times New Roman" w:cs="宋体"/>
                <w:snapToGrid w:val="0"/>
                <w:color w:val="000000"/>
                <w:kern w:val="21"/>
                <w:szCs w:val="21"/>
              </w:rPr>
              <w:t>0</w:t>
            </w:r>
          </w:p>
        </w:tc>
        <w:tc>
          <w:tcPr>
            <w:tcW w:w="1701" w:type="dxa"/>
            <w:vAlign w:val="center"/>
          </w:tcPr>
          <w:p>
            <w:pPr>
              <w:pStyle w:val="41"/>
              <w:spacing w:beforeLines="0" w:afterLines="0" w:line="240" w:lineRule="auto"/>
              <w:rPr>
                <w:rFonts w:ascii="Times New Roman" w:cs="宋体"/>
                <w:b/>
                <w:bCs/>
                <w:snapToGrid w:val="0"/>
                <w:color w:val="000000"/>
                <w:kern w:val="21"/>
                <w:szCs w:val="21"/>
              </w:rPr>
            </w:pPr>
            <w:r>
              <w:rPr>
                <w:rFonts w:hint="eastAsia" w:ascii="Times New Roman" w:cs="宋体"/>
                <w:snapToGrid w:val="0"/>
                <w:color w:val="000000"/>
                <w:kern w:val="21"/>
                <w:szCs w:val="21"/>
              </w:rPr>
              <w:t>0</w:t>
            </w:r>
          </w:p>
        </w:tc>
        <w:tc>
          <w:tcPr>
            <w:tcW w:w="1559" w:type="dxa"/>
            <w:vAlign w:val="center"/>
          </w:tcPr>
          <w:p>
            <w:pPr>
              <w:pStyle w:val="41"/>
              <w:spacing w:beforeLines="0" w:afterLines="0" w:line="240" w:lineRule="auto"/>
              <w:rPr>
                <w:rFonts w:ascii="Times New Roman" w:cs="宋体"/>
                <w:snapToGrid w:val="0"/>
                <w:color w:val="000000"/>
                <w:kern w:val="21"/>
                <w:szCs w:val="21"/>
              </w:rPr>
            </w:pPr>
            <w:r>
              <w:rPr>
                <w:rFonts w:ascii="Times New Roman"/>
                <w:color w:val="000000"/>
                <w:spacing w:val="4"/>
                <w:kern w:val="18"/>
                <w:szCs w:val="21"/>
              </w:rPr>
              <w:t>0.</w:t>
            </w:r>
            <w:r>
              <w:rPr>
                <w:rFonts w:hint="eastAsia" w:ascii="Times New Roman"/>
                <w:color w:val="000000"/>
                <w:spacing w:val="4"/>
                <w:kern w:val="18"/>
                <w:szCs w:val="21"/>
                <w:lang w:val="en-US" w:eastAsia="zh-CN"/>
              </w:rPr>
              <w:t>15</w:t>
            </w:r>
            <w:r>
              <w:rPr>
                <w:rFonts w:hint="eastAsia" w:ascii="Times New Roman"/>
                <w:szCs w:val="21"/>
              </w:rPr>
              <w:t xml:space="preserve"> t/a</w:t>
            </w:r>
          </w:p>
        </w:tc>
        <w:tc>
          <w:tcPr>
            <w:tcW w:w="1380" w:type="dxa"/>
            <w:vAlign w:val="center"/>
          </w:tcPr>
          <w:p>
            <w:pPr>
              <w:pStyle w:val="41"/>
              <w:spacing w:beforeLines="0" w:afterLines="0" w:line="240" w:lineRule="auto"/>
              <w:rPr>
                <w:rFonts w:ascii="Times New Roman" w:cs="宋体"/>
                <w:b/>
                <w:bCs/>
                <w:snapToGrid w:val="0"/>
                <w:color w:val="000000"/>
                <w:kern w:val="21"/>
                <w:szCs w:val="21"/>
              </w:rPr>
            </w:pPr>
            <w:r>
              <w:rPr>
                <w:rFonts w:hint="eastAsia" w:ascii="Times New Roman" w:cs="宋体"/>
                <w:snapToGrid w:val="0"/>
                <w:color w:val="000000"/>
                <w:kern w:val="21"/>
                <w:szCs w:val="21"/>
              </w:rPr>
              <w:t>0</w:t>
            </w:r>
          </w:p>
        </w:tc>
        <w:tc>
          <w:tcPr>
            <w:tcW w:w="1559" w:type="dxa"/>
            <w:vAlign w:val="center"/>
          </w:tcPr>
          <w:p>
            <w:pPr>
              <w:pStyle w:val="41"/>
              <w:spacing w:beforeLines="0" w:afterLines="0" w:line="240" w:lineRule="auto"/>
              <w:rPr>
                <w:rFonts w:ascii="Times New Roman" w:cs="宋体"/>
                <w:snapToGrid w:val="0"/>
                <w:color w:val="000000"/>
                <w:kern w:val="21"/>
                <w:szCs w:val="21"/>
              </w:rPr>
            </w:pPr>
            <w:r>
              <w:rPr>
                <w:rFonts w:ascii="Times New Roman"/>
                <w:color w:val="000000"/>
                <w:spacing w:val="4"/>
                <w:kern w:val="18"/>
                <w:szCs w:val="21"/>
              </w:rPr>
              <w:t>0.</w:t>
            </w:r>
            <w:r>
              <w:rPr>
                <w:rFonts w:hint="eastAsia" w:ascii="Times New Roman"/>
                <w:color w:val="000000"/>
                <w:spacing w:val="4"/>
                <w:kern w:val="18"/>
                <w:szCs w:val="21"/>
                <w:lang w:val="en-US" w:eastAsia="zh-CN"/>
              </w:rPr>
              <w:t>15</w:t>
            </w:r>
            <w:r>
              <w:rPr>
                <w:rFonts w:hint="eastAsia" w:ascii="Times New Roman"/>
                <w:szCs w:val="21"/>
              </w:rPr>
              <w:t xml:space="preserve"> t/a</w:t>
            </w:r>
          </w:p>
        </w:tc>
        <w:tc>
          <w:tcPr>
            <w:tcW w:w="1607" w:type="dxa"/>
            <w:vAlign w:val="center"/>
          </w:tcPr>
          <w:p>
            <w:pPr>
              <w:pStyle w:val="41"/>
              <w:spacing w:beforeLines="0" w:afterLines="0" w:line="240" w:lineRule="auto"/>
              <w:rPr>
                <w:rFonts w:ascii="Times New Roman" w:hAnsi="Times New Roman" w:eastAsia="宋体" w:cs="宋体"/>
                <w:snapToGrid w:val="0"/>
                <w:color w:val="000000"/>
                <w:kern w:val="21"/>
                <w:sz w:val="21"/>
                <w:szCs w:val="21"/>
                <w:lang w:val="en-US" w:eastAsia="zh-CN" w:bidi="ar-SA"/>
              </w:rPr>
            </w:pPr>
            <w:r>
              <w:rPr>
                <w:rFonts w:ascii="Times New Roman"/>
                <w:color w:val="000000"/>
                <w:spacing w:val="4"/>
                <w:kern w:val="18"/>
                <w:szCs w:val="21"/>
              </w:rPr>
              <w:t>0.</w:t>
            </w:r>
            <w:r>
              <w:rPr>
                <w:rFonts w:hint="eastAsia" w:ascii="Times New Roman"/>
                <w:color w:val="000000"/>
                <w:spacing w:val="4"/>
                <w:kern w:val="18"/>
                <w:szCs w:val="21"/>
                <w:lang w:val="en-US" w:eastAsia="zh-CN"/>
              </w:rPr>
              <w:t>15</w:t>
            </w:r>
            <w:r>
              <w:rPr>
                <w:rFonts w:hint="eastAsia" w:ascii="Times New Roman"/>
                <w:szCs w:val="21"/>
              </w:rPr>
              <w:t xml:space="preserve"> 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continue"/>
            <w:vAlign w:val="center"/>
          </w:tcPr>
          <w:p>
            <w:pPr>
              <w:pStyle w:val="41"/>
              <w:spacing w:beforeLines="0" w:afterLines="0" w:line="240" w:lineRule="auto"/>
              <w:rPr>
                <w:rFonts w:ascii="Times New Roman" w:cs="宋体"/>
                <w:snapToGrid w:val="0"/>
                <w:color w:val="000000"/>
                <w:kern w:val="21"/>
                <w:szCs w:val="21"/>
              </w:rPr>
            </w:pPr>
          </w:p>
        </w:tc>
        <w:tc>
          <w:tcPr>
            <w:tcW w:w="1417" w:type="dxa"/>
            <w:vAlign w:val="center"/>
          </w:tcPr>
          <w:p>
            <w:pPr>
              <w:pStyle w:val="41"/>
              <w:spacing w:beforeLines="0" w:afterLines="0" w:line="240" w:lineRule="auto"/>
              <w:rPr>
                <w:rFonts w:ascii="Times New Roman"/>
                <w:color w:val="000000"/>
                <w:spacing w:val="4"/>
                <w:kern w:val="18"/>
                <w:szCs w:val="21"/>
              </w:rPr>
            </w:pPr>
            <w:r>
              <w:rPr>
                <w:rFonts w:hint="eastAsia" w:ascii="Times New Roman"/>
                <w:color w:val="000000"/>
                <w:spacing w:val="4"/>
                <w:kern w:val="18"/>
                <w:szCs w:val="21"/>
              </w:rPr>
              <w:t>废含油手套、抹布</w:t>
            </w:r>
          </w:p>
        </w:tc>
        <w:tc>
          <w:tcPr>
            <w:tcW w:w="1701" w:type="dxa"/>
            <w:vAlign w:val="center"/>
          </w:tcPr>
          <w:p>
            <w:pPr>
              <w:pStyle w:val="41"/>
              <w:spacing w:beforeLines="0" w:afterLines="0" w:line="240" w:lineRule="auto"/>
              <w:rPr>
                <w:rFonts w:hint="eastAsia" w:ascii="Times New Roman" w:eastAsia="宋体" w:cs="宋体"/>
                <w:snapToGrid w:val="0"/>
                <w:color w:val="000000"/>
                <w:kern w:val="21"/>
                <w:szCs w:val="21"/>
                <w:lang w:val="en-US" w:eastAsia="zh-CN"/>
              </w:rPr>
            </w:pPr>
            <w:r>
              <w:rPr>
                <w:rFonts w:hint="eastAsia" w:ascii="Times New Roman" w:cs="宋体"/>
                <w:snapToGrid w:val="0"/>
                <w:color w:val="000000"/>
                <w:kern w:val="21"/>
                <w:szCs w:val="21"/>
                <w:lang w:val="en-US" w:eastAsia="zh-CN"/>
              </w:rPr>
              <w:t>0</w:t>
            </w:r>
          </w:p>
        </w:tc>
        <w:tc>
          <w:tcPr>
            <w:tcW w:w="1276" w:type="dxa"/>
            <w:vAlign w:val="center"/>
          </w:tcPr>
          <w:p>
            <w:pPr>
              <w:pStyle w:val="41"/>
              <w:spacing w:beforeLines="0" w:afterLines="0" w:line="240" w:lineRule="auto"/>
              <w:rPr>
                <w:rFonts w:hint="eastAsia" w:ascii="Times New Roman" w:eastAsia="宋体" w:cs="宋体"/>
                <w:snapToGrid w:val="0"/>
                <w:color w:val="000000"/>
                <w:kern w:val="21"/>
                <w:szCs w:val="21"/>
                <w:lang w:val="en-US" w:eastAsia="zh-CN"/>
              </w:rPr>
            </w:pPr>
            <w:r>
              <w:rPr>
                <w:rFonts w:hint="eastAsia" w:ascii="Times New Roman" w:cs="宋体"/>
                <w:snapToGrid w:val="0"/>
                <w:color w:val="000000"/>
                <w:kern w:val="21"/>
                <w:szCs w:val="21"/>
                <w:lang w:val="en-US" w:eastAsia="zh-CN"/>
              </w:rPr>
              <w:t>0</w:t>
            </w:r>
          </w:p>
        </w:tc>
        <w:tc>
          <w:tcPr>
            <w:tcW w:w="1701" w:type="dxa"/>
            <w:vAlign w:val="center"/>
          </w:tcPr>
          <w:p>
            <w:pPr>
              <w:pStyle w:val="41"/>
              <w:spacing w:beforeLines="0" w:afterLines="0" w:line="240" w:lineRule="auto"/>
              <w:rPr>
                <w:rFonts w:hint="eastAsia" w:ascii="Times New Roman" w:eastAsia="宋体" w:cs="宋体"/>
                <w:snapToGrid w:val="0"/>
                <w:color w:val="000000"/>
                <w:kern w:val="21"/>
                <w:szCs w:val="21"/>
                <w:lang w:val="en-US" w:eastAsia="zh-CN"/>
              </w:rPr>
            </w:pPr>
            <w:r>
              <w:rPr>
                <w:rFonts w:hint="eastAsia" w:ascii="Times New Roman" w:cs="宋体"/>
                <w:snapToGrid w:val="0"/>
                <w:color w:val="000000"/>
                <w:kern w:val="21"/>
                <w:szCs w:val="21"/>
                <w:lang w:val="en-US" w:eastAsia="zh-CN"/>
              </w:rPr>
              <w:t>0</w:t>
            </w:r>
          </w:p>
        </w:tc>
        <w:tc>
          <w:tcPr>
            <w:tcW w:w="1559" w:type="dxa"/>
            <w:vAlign w:val="center"/>
          </w:tcPr>
          <w:p>
            <w:pPr>
              <w:pStyle w:val="41"/>
              <w:spacing w:beforeLines="0" w:afterLines="0" w:line="240" w:lineRule="auto"/>
              <w:rPr>
                <w:rFonts w:hint="default" w:ascii="Times New Roman" w:eastAsia="宋体"/>
                <w:color w:val="000000"/>
                <w:spacing w:val="4"/>
                <w:kern w:val="18"/>
                <w:szCs w:val="21"/>
                <w:lang w:val="en-US" w:eastAsia="zh-CN"/>
              </w:rPr>
            </w:pPr>
            <w:r>
              <w:rPr>
                <w:rFonts w:hint="eastAsia" w:ascii="Times New Roman"/>
                <w:color w:val="000000"/>
                <w:spacing w:val="4"/>
                <w:kern w:val="18"/>
                <w:szCs w:val="21"/>
                <w:lang w:val="en-US" w:eastAsia="zh-CN"/>
              </w:rPr>
              <w:t>0.001</w:t>
            </w:r>
            <w:r>
              <w:rPr>
                <w:rFonts w:hint="eastAsia" w:ascii="Times New Roman"/>
                <w:szCs w:val="21"/>
              </w:rPr>
              <w:t>t/a</w:t>
            </w:r>
          </w:p>
        </w:tc>
        <w:tc>
          <w:tcPr>
            <w:tcW w:w="1380" w:type="dxa"/>
            <w:vAlign w:val="center"/>
          </w:tcPr>
          <w:p>
            <w:pPr>
              <w:pStyle w:val="41"/>
              <w:spacing w:beforeLines="0" w:afterLines="0" w:line="240" w:lineRule="auto"/>
              <w:rPr>
                <w:rFonts w:hint="eastAsia" w:ascii="Times New Roman" w:eastAsia="宋体" w:cs="宋体"/>
                <w:snapToGrid w:val="0"/>
                <w:color w:val="000000"/>
                <w:kern w:val="21"/>
                <w:szCs w:val="21"/>
                <w:lang w:val="en-US" w:eastAsia="zh-CN"/>
              </w:rPr>
            </w:pPr>
            <w:r>
              <w:rPr>
                <w:rFonts w:hint="eastAsia" w:ascii="Times New Roman" w:cs="宋体"/>
                <w:snapToGrid w:val="0"/>
                <w:color w:val="000000"/>
                <w:kern w:val="21"/>
                <w:szCs w:val="21"/>
                <w:lang w:val="en-US" w:eastAsia="zh-CN"/>
              </w:rPr>
              <w:t>0</w:t>
            </w:r>
          </w:p>
        </w:tc>
        <w:tc>
          <w:tcPr>
            <w:tcW w:w="1559" w:type="dxa"/>
            <w:vAlign w:val="center"/>
          </w:tcPr>
          <w:p>
            <w:pPr>
              <w:pStyle w:val="41"/>
              <w:spacing w:beforeLines="0" w:afterLines="0" w:line="240" w:lineRule="auto"/>
              <w:rPr>
                <w:rFonts w:hint="default" w:ascii="Times New Roman" w:eastAsia="宋体"/>
                <w:color w:val="000000"/>
                <w:spacing w:val="4"/>
                <w:kern w:val="18"/>
                <w:szCs w:val="21"/>
                <w:lang w:val="en-US" w:eastAsia="zh-CN"/>
              </w:rPr>
            </w:pPr>
            <w:r>
              <w:rPr>
                <w:rFonts w:hint="eastAsia" w:ascii="Times New Roman"/>
                <w:color w:val="000000"/>
                <w:spacing w:val="4"/>
                <w:kern w:val="18"/>
                <w:szCs w:val="21"/>
                <w:lang w:val="en-US" w:eastAsia="zh-CN"/>
              </w:rPr>
              <w:t>0.001</w:t>
            </w:r>
            <w:r>
              <w:rPr>
                <w:rFonts w:hint="eastAsia" w:ascii="Times New Roman"/>
                <w:szCs w:val="21"/>
              </w:rPr>
              <w:t>t/a</w:t>
            </w:r>
          </w:p>
        </w:tc>
        <w:tc>
          <w:tcPr>
            <w:tcW w:w="1607" w:type="dxa"/>
            <w:vAlign w:val="center"/>
          </w:tcPr>
          <w:p>
            <w:pPr>
              <w:pStyle w:val="41"/>
              <w:spacing w:beforeLines="0" w:afterLines="0" w:line="240" w:lineRule="auto"/>
              <w:rPr>
                <w:rFonts w:hint="default" w:ascii="Times New Roman" w:eastAsia="宋体"/>
                <w:color w:val="000000"/>
                <w:spacing w:val="4"/>
                <w:kern w:val="18"/>
                <w:szCs w:val="21"/>
                <w:lang w:val="en-US" w:eastAsia="zh-CN"/>
              </w:rPr>
            </w:pPr>
            <w:r>
              <w:rPr>
                <w:rFonts w:hint="eastAsia" w:ascii="Times New Roman"/>
                <w:color w:val="000000"/>
                <w:spacing w:val="4"/>
                <w:kern w:val="18"/>
                <w:szCs w:val="21"/>
                <w:lang w:val="en-US" w:eastAsia="zh-CN"/>
              </w:rPr>
              <w:t>0.001</w:t>
            </w:r>
            <w:r>
              <w:rPr>
                <w:rFonts w:hint="eastAsia" w:ascii="Times New Roman"/>
                <w:szCs w:val="21"/>
              </w:rPr>
              <w:t>t/a</w:t>
            </w:r>
          </w:p>
        </w:tc>
      </w:tr>
    </w:tbl>
    <w:p>
      <w:pPr>
        <w:pStyle w:val="41"/>
        <w:spacing w:before="192" w:beforeLines="80" w:after="24"/>
        <w:jc w:val="left"/>
        <w:rPr>
          <w:rFonts w:ascii="Times New Roman"/>
        </w:rPr>
      </w:pPr>
      <w:r>
        <w:rPr>
          <w:rFonts w:ascii="Times New Roman"/>
          <w:snapToGrid w:val="0"/>
          <w:color w:val="000000"/>
          <w:kern w:val="21"/>
          <w:szCs w:val="21"/>
        </w:rPr>
        <w:t>注：</w:t>
      </w:r>
      <w:r>
        <w:rPr>
          <w:rFonts w:ascii="Times New Roman"/>
          <w:snapToGrid w:val="0"/>
          <w:color w:val="000000"/>
          <w:spacing w:val="-16"/>
          <w:kern w:val="21"/>
          <w:szCs w:val="21"/>
        </w:rPr>
        <w:fldChar w:fldCharType="begin"/>
      </w:r>
      <w:r>
        <w:rPr>
          <w:rFonts w:ascii="Times New Roman"/>
          <w:snapToGrid w:val="0"/>
          <w:color w:val="000000"/>
          <w:spacing w:val="-16"/>
          <w:kern w:val="21"/>
          <w:szCs w:val="21"/>
        </w:rPr>
        <w:instrText xml:space="preserve"> = 6 \* GB3 \* MERGEFORMAT </w:instrText>
      </w:r>
      <w:r>
        <w:rPr>
          <w:rFonts w:ascii="Times New Roman"/>
          <w:snapToGrid w:val="0"/>
          <w:color w:val="000000"/>
          <w:spacing w:val="-16"/>
          <w:kern w:val="21"/>
          <w:szCs w:val="21"/>
        </w:rPr>
        <w:fldChar w:fldCharType="separate"/>
      </w:r>
      <w:r>
        <w:rPr>
          <w:rFonts w:hint="eastAsia" w:ascii="Times New Roman"/>
          <w:szCs w:val="21"/>
        </w:rPr>
        <w:t>⑥</w:t>
      </w:r>
      <w:r>
        <w:rPr>
          <w:rFonts w:ascii="Times New Roman"/>
          <w:snapToGrid w:val="0"/>
          <w:color w:val="000000"/>
          <w:spacing w:val="-16"/>
          <w:kern w:val="21"/>
          <w:szCs w:val="21"/>
        </w:rPr>
        <w:fldChar w:fldCharType="end"/>
      </w:r>
      <w:r>
        <w:rPr>
          <w:rFonts w:ascii="Times New Roman"/>
          <w:snapToGrid w:val="0"/>
          <w:color w:val="000000"/>
          <w:spacing w:val="-16"/>
          <w:kern w:val="21"/>
          <w:szCs w:val="21"/>
        </w:rPr>
        <w:t>=</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1 \* GB3 \* MERGEFORMAT </w:instrText>
      </w:r>
      <w:r>
        <w:rPr>
          <w:rFonts w:ascii="Times New Roman"/>
          <w:snapToGrid w:val="0"/>
          <w:color w:val="000000"/>
          <w:spacing w:val="-6"/>
          <w:kern w:val="21"/>
          <w:szCs w:val="21"/>
        </w:rPr>
        <w:fldChar w:fldCharType="separate"/>
      </w:r>
      <w:r>
        <w:rPr>
          <w:rFonts w:hint="eastAsia" w:ascii="Times New Roman"/>
          <w:szCs w:val="21"/>
        </w:rPr>
        <w:t>①</w:t>
      </w:r>
      <w:r>
        <w:rPr>
          <w:rFonts w:ascii="Times New Roman"/>
          <w:snapToGrid w:val="0"/>
          <w:color w:val="000000"/>
          <w:spacing w:val="-6"/>
          <w:kern w:val="21"/>
          <w:szCs w:val="21"/>
        </w:rPr>
        <w:fldChar w:fldCharType="end"/>
      </w:r>
      <w:r>
        <w:rPr>
          <w:rFonts w:ascii="Times New Roman"/>
          <w:snapToGrid w:val="0"/>
          <w:color w:val="000000"/>
          <w:spacing w:val="-6"/>
          <w:kern w:val="21"/>
          <w:szCs w:val="21"/>
        </w:rPr>
        <w:t>+</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3 \* GB3 \* MERGEFORMAT </w:instrText>
      </w:r>
      <w:r>
        <w:rPr>
          <w:rFonts w:ascii="Times New Roman"/>
          <w:snapToGrid w:val="0"/>
          <w:color w:val="000000"/>
          <w:spacing w:val="-6"/>
          <w:kern w:val="21"/>
          <w:szCs w:val="21"/>
        </w:rPr>
        <w:fldChar w:fldCharType="separate"/>
      </w:r>
      <w:r>
        <w:rPr>
          <w:rFonts w:hint="eastAsia" w:ascii="Times New Roman"/>
          <w:szCs w:val="21"/>
        </w:rPr>
        <w:t>③</w:t>
      </w:r>
      <w:r>
        <w:rPr>
          <w:rFonts w:ascii="Times New Roman"/>
          <w:snapToGrid w:val="0"/>
          <w:color w:val="000000"/>
          <w:spacing w:val="-6"/>
          <w:kern w:val="21"/>
          <w:szCs w:val="21"/>
        </w:rPr>
        <w:fldChar w:fldCharType="end"/>
      </w:r>
      <w:r>
        <w:rPr>
          <w:rFonts w:ascii="Times New Roman"/>
          <w:snapToGrid w:val="0"/>
          <w:color w:val="000000"/>
          <w:spacing w:val="-6"/>
          <w:kern w:val="21"/>
          <w:szCs w:val="21"/>
        </w:rPr>
        <w:t>+</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4 \* GB3 \* MERGEFORMAT </w:instrText>
      </w:r>
      <w:r>
        <w:rPr>
          <w:rFonts w:ascii="Times New Roman"/>
          <w:snapToGrid w:val="0"/>
          <w:color w:val="000000"/>
          <w:spacing w:val="-6"/>
          <w:kern w:val="21"/>
          <w:szCs w:val="21"/>
        </w:rPr>
        <w:fldChar w:fldCharType="separate"/>
      </w:r>
      <w:r>
        <w:rPr>
          <w:rFonts w:hint="eastAsia" w:ascii="Times New Roman"/>
          <w:szCs w:val="21"/>
        </w:rPr>
        <w:t>④</w:t>
      </w:r>
      <w:r>
        <w:rPr>
          <w:rFonts w:ascii="Times New Roman"/>
          <w:snapToGrid w:val="0"/>
          <w:color w:val="000000"/>
          <w:spacing w:val="-6"/>
          <w:kern w:val="21"/>
          <w:szCs w:val="21"/>
        </w:rPr>
        <w:fldChar w:fldCharType="end"/>
      </w:r>
      <w:r>
        <w:rPr>
          <w:rFonts w:ascii="Times New Roman"/>
          <w:snapToGrid w:val="0"/>
          <w:color w:val="000000"/>
          <w:spacing w:val="-6"/>
          <w:kern w:val="21"/>
          <w:szCs w:val="21"/>
        </w:rPr>
        <w:t>-</w:t>
      </w:r>
      <w:r>
        <w:rPr>
          <w:rFonts w:ascii="Times New Roman"/>
          <w:snapToGrid w:val="0"/>
          <w:color w:val="000000"/>
          <w:spacing w:val="-16"/>
          <w:kern w:val="21"/>
          <w:szCs w:val="21"/>
        </w:rPr>
        <w:fldChar w:fldCharType="begin"/>
      </w:r>
      <w:r>
        <w:rPr>
          <w:rFonts w:ascii="Times New Roman"/>
          <w:snapToGrid w:val="0"/>
          <w:color w:val="000000"/>
          <w:spacing w:val="-16"/>
          <w:kern w:val="21"/>
          <w:szCs w:val="21"/>
        </w:rPr>
        <w:instrText xml:space="preserve"> = 5 \* GB3 \* MERGEFORMAT </w:instrText>
      </w:r>
      <w:r>
        <w:rPr>
          <w:rFonts w:ascii="Times New Roman"/>
          <w:snapToGrid w:val="0"/>
          <w:color w:val="000000"/>
          <w:spacing w:val="-16"/>
          <w:kern w:val="21"/>
          <w:szCs w:val="21"/>
        </w:rPr>
        <w:fldChar w:fldCharType="separate"/>
      </w:r>
      <w:r>
        <w:rPr>
          <w:rFonts w:hint="eastAsia" w:ascii="Times New Roman"/>
          <w:szCs w:val="21"/>
        </w:rPr>
        <w:t>⑤</w:t>
      </w:r>
      <w:r>
        <w:rPr>
          <w:rFonts w:ascii="Times New Roman"/>
          <w:snapToGrid w:val="0"/>
          <w:color w:val="000000"/>
          <w:spacing w:val="-16"/>
          <w:kern w:val="21"/>
          <w:szCs w:val="21"/>
        </w:rPr>
        <w:fldChar w:fldCharType="end"/>
      </w:r>
      <w:r>
        <w:rPr>
          <w:rFonts w:ascii="Times New Roman"/>
          <w:snapToGrid w:val="0"/>
          <w:color w:val="000000"/>
          <w:spacing w:val="-16"/>
          <w:kern w:val="21"/>
          <w:szCs w:val="21"/>
        </w:rPr>
        <w:t>；</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7 \* GB3 \* MERGEFORMAT </w:instrText>
      </w:r>
      <w:r>
        <w:rPr>
          <w:rFonts w:ascii="Times New Roman"/>
          <w:snapToGrid w:val="0"/>
          <w:color w:val="000000"/>
          <w:spacing w:val="-6"/>
          <w:kern w:val="21"/>
          <w:szCs w:val="21"/>
        </w:rPr>
        <w:fldChar w:fldCharType="separate"/>
      </w:r>
      <w:r>
        <w:rPr>
          <w:rFonts w:hint="eastAsia" w:ascii="Times New Roman"/>
          <w:szCs w:val="21"/>
        </w:rPr>
        <w:t>⑦</w:t>
      </w:r>
      <w:r>
        <w:rPr>
          <w:rFonts w:ascii="Times New Roman"/>
          <w:snapToGrid w:val="0"/>
          <w:color w:val="000000"/>
          <w:spacing w:val="-6"/>
          <w:kern w:val="21"/>
          <w:szCs w:val="21"/>
        </w:rPr>
        <w:fldChar w:fldCharType="end"/>
      </w:r>
      <w:r>
        <w:rPr>
          <w:rFonts w:ascii="Times New Roman"/>
          <w:snapToGrid w:val="0"/>
          <w:color w:val="000000"/>
          <w:spacing w:val="-6"/>
          <w:kern w:val="21"/>
          <w:szCs w:val="21"/>
        </w:rPr>
        <w:t>=</w:t>
      </w:r>
      <w:r>
        <w:rPr>
          <w:rFonts w:ascii="Times New Roman"/>
          <w:snapToGrid w:val="0"/>
          <w:color w:val="000000"/>
          <w:spacing w:val="-16"/>
          <w:kern w:val="21"/>
          <w:szCs w:val="21"/>
        </w:rPr>
        <w:fldChar w:fldCharType="begin"/>
      </w:r>
      <w:r>
        <w:rPr>
          <w:rFonts w:ascii="Times New Roman"/>
          <w:snapToGrid w:val="0"/>
          <w:color w:val="000000"/>
          <w:spacing w:val="-16"/>
          <w:kern w:val="21"/>
          <w:szCs w:val="21"/>
        </w:rPr>
        <w:instrText xml:space="preserve"> = 6 \* GB3 \* MERGEFORMAT </w:instrText>
      </w:r>
      <w:r>
        <w:rPr>
          <w:rFonts w:ascii="Times New Roman"/>
          <w:snapToGrid w:val="0"/>
          <w:color w:val="000000"/>
          <w:spacing w:val="-16"/>
          <w:kern w:val="21"/>
          <w:szCs w:val="21"/>
        </w:rPr>
        <w:fldChar w:fldCharType="separate"/>
      </w:r>
      <w:r>
        <w:rPr>
          <w:rFonts w:hint="eastAsia" w:ascii="Times New Roman"/>
          <w:szCs w:val="21"/>
        </w:rPr>
        <w:t>⑥</w:t>
      </w:r>
      <w:r>
        <w:rPr>
          <w:rFonts w:ascii="Times New Roman"/>
          <w:snapToGrid w:val="0"/>
          <w:color w:val="000000"/>
          <w:spacing w:val="-16"/>
          <w:kern w:val="21"/>
          <w:szCs w:val="21"/>
        </w:rPr>
        <w:fldChar w:fldCharType="end"/>
      </w:r>
      <w:r>
        <w:rPr>
          <w:rFonts w:ascii="Times New Roman"/>
          <w:snapToGrid w:val="0"/>
          <w:color w:val="000000"/>
          <w:spacing w:val="-16"/>
          <w:kern w:val="21"/>
          <w:szCs w:val="21"/>
        </w:rPr>
        <w:t>-</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1 \* GB3 \* MERGEFORMAT </w:instrText>
      </w:r>
      <w:r>
        <w:rPr>
          <w:rFonts w:ascii="Times New Roman"/>
          <w:snapToGrid w:val="0"/>
          <w:color w:val="000000"/>
          <w:spacing w:val="-6"/>
          <w:kern w:val="21"/>
          <w:szCs w:val="21"/>
        </w:rPr>
        <w:fldChar w:fldCharType="separate"/>
      </w:r>
      <w:r>
        <w:rPr>
          <w:rFonts w:hint="eastAsia" w:ascii="Times New Roman"/>
          <w:szCs w:val="21"/>
        </w:rPr>
        <w:t>①</w:t>
      </w:r>
      <w:r>
        <w:rPr>
          <w:rFonts w:ascii="Times New Roman"/>
          <w:snapToGrid w:val="0"/>
          <w:color w:val="000000"/>
          <w:spacing w:val="-6"/>
          <w:kern w:val="21"/>
          <w:szCs w:val="21"/>
        </w:rPr>
        <w:fldChar w:fldCharType="end"/>
      </w:r>
    </w:p>
    <w:sectPr>
      <w:footerReference r:id="rId4" w:type="default"/>
      <w:pgSz w:w="16838" w:h="11906" w:orient="landscape"/>
      <w:pgMar w:top="1531" w:right="1701" w:bottom="1531" w:left="1701" w:header="851" w:footer="851"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center"/>
    </w:pPr>
    <w:r>
      <w:fldChar w:fldCharType="begin"/>
    </w:r>
    <w:r>
      <w:instrText xml:space="preserve">PAGE   \* MERGEFORMAT</w:instrText>
    </w:r>
    <w:r>
      <w:fldChar w:fldCharType="separate"/>
    </w:r>
    <w:r>
      <w:rPr>
        <w:lang w:val="zh-CN"/>
      </w:rPr>
      <w:t>2</w:t>
    </w:r>
    <w:r>
      <w:fldChar w:fldCharType="end"/>
    </w:r>
  </w:p>
  <w:p>
    <w:pPr>
      <w:pStyle w:val="17"/>
      <w:ind w:right="360"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right="360" w:firstLine="360"/>
      <w:jc w:val="cen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6EDE3C"/>
    <w:multiLevelType w:val="singleLevel"/>
    <w:tmpl w:val="016EDE3C"/>
    <w:lvl w:ilvl="0" w:tentative="0">
      <w:start w:val="1"/>
      <w:numFmt w:val="decimal"/>
      <w:suff w:val="nothing"/>
      <w:lvlText w:val="%1、"/>
      <w:lvlJc w:val="left"/>
    </w:lvl>
  </w:abstractNum>
  <w:abstractNum w:abstractNumId="1">
    <w:nsid w:val="01940A3D"/>
    <w:multiLevelType w:val="singleLevel"/>
    <w:tmpl w:val="01940A3D"/>
    <w:lvl w:ilvl="0" w:tentative="0">
      <w:start w:val="1"/>
      <w:numFmt w:val="decimal"/>
      <w:suff w:val="nothing"/>
      <w:lvlText w:val="%1、"/>
      <w:lvlJc w:val="left"/>
    </w:lvl>
  </w:abstractNum>
  <w:abstractNum w:abstractNumId="2">
    <w:nsid w:val="159B298E"/>
    <w:multiLevelType w:val="singleLevel"/>
    <w:tmpl w:val="159B298E"/>
    <w:lvl w:ilvl="0" w:tentative="0">
      <w:start w:val="1"/>
      <w:numFmt w:val="decimal"/>
      <w:suff w:val="nothing"/>
      <w:lvlText w:val="（%1）"/>
      <w:lvlJc w:val="left"/>
    </w:lvl>
  </w:abstractNum>
  <w:abstractNum w:abstractNumId="3">
    <w:nsid w:val="711C077D"/>
    <w:multiLevelType w:val="multilevel"/>
    <w:tmpl w:val="711C077D"/>
    <w:lvl w:ilvl="0" w:tentative="0">
      <w:start w:val="1"/>
      <w:numFmt w:val="japaneseCounting"/>
      <w:lvlText w:val="%1、"/>
      <w:lvlJc w:val="left"/>
      <w:pPr>
        <w:ind w:left="510" w:hanging="510"/>
      </w:pPr>
      <w:rPr>
        <w:rFonts w:hint="default" w:ascii="宋体" w:hAnsi="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774E32A5"/>
    <w:multiLevelType w:val="multilevel"/>
    <w:tmpl w:val="774E32A5"/>
    <w:lvl w:ilvl="0" w:tentative="0">
      <w:start w:val="1"/>
      <w:numFmt w:val="decimal"/>
      <w:lvlText w:val="%1、"/>
      <w:lvlJc w:val="left"/>
      <w:pPr>
        <w:ind w:left="360" w:hanging="360"/>
      </w:pPr>
      <w:rPr>
        <w:rFonts w:hint="default" w:ascii="宋体" w:hAnsi="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7BD62B3C"/>
    <w:multiLevelType w:val="singleLevel"/>
    <w:tmpl w:val="7BD62B3C"/>
    <w:lvl w:ilvl="0" w:tentative="0">
      <w:start w:val="2"/>
      <w:numFmt w:val="decimal"/>
      <w:suff w:val="nothing"/>
      <w:lvlText w:val="（%1）"/>
      <w:lvlJc w:val="left"/>
    </w:lvl>
  </w:abstractNum>
  <w:num w:numId="1">
    <w:abstractNumId w:val="4"/>
  </w:num>
  <w:num w:numId="2">
    <w:abstractNumId w:val="1"/>
  </w:num>
  <w:num w:numId="3">
    <w:abstractNumId w:val="3"/>
  </w:num>
  <w:num w:numId="4">
    <w:abstractNumId w:val="5"/>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0C77"/>
    <w:rsid w:val="00001225"/>
    <w:rsid w:val="000022C7"/>
    <w:rsid w:val="000060B3"/>
    <w:rsid w:val="0001724A"/>
    <w:rsid w:val="000304D3"/>
    <w:rsid w:val="00033419"/>
    <w:rsid w:val="00034C79"/>
    <w:rsid w:val="0004364B"/>
    <w:rsid w:val="00061B1F"/>
    <w:rsid w:val="00062F5A"/>
    <w:rsid w:val="000733C4"/>
    <w:rsid w:val="00074783"/>
    <w:rsid w:val="0008070B"/>
    <w:rsid w:val="000810AC"/>
    <w:rsid w:val="00081618"/>
    <w:rsid w:val="00081A02"/>
    <w:rsid w:val="00082231"/>
    <w:rsid w:val="00092D38"/>
    <w:rsid w:val="0009377B"/>
    <w:rsid w:val="00097206"/>
    <w:rsid w:val="00097EB8"/>
    <w:rsid w:val="000A20C9"/>
    <w:rsid w:val="000B058F"/>
    <w:rsid w:val="000B1938"/>
    <w:rsid w:val="000B4467"/>
    <w:rsid w:val="000B4DB9"/>
    <w:rsid w:val="000B5F20"/>
    <w:rsid w:val="000C0306"/>
    <w:rsid w:val="000C09AC"/>
    <w:rsid w:val="000C59DC"/>
    <w:rsid w:val="000C767F"/>
    <w:rsid w:val="000D37A6"/>
    <w:rsid w:val="000D5A44"/>
    <w:rsid w:val="000E3ED2"/>
    <w:rsid w:val="000E46FE"/>
    <w:rsid w:val="000E4D64"/>
    <w:rsid w:val="000F7121"/>
    <w:rsid w:val="0010105F"/>
    <w:rsid w:val="00105843"/>
    <w:rsid w:val="00106BCE"/>
    <w:rsid w:val="00107AA9"/>
    <w:rsid w:val="00117023"/>
    <w:rsid w:val="00125A13"/>
    <w:rsid w:val="00131F42"/>
    <w:rsid w:val="001340AE"/>
    <w:rsid w:val="001357F1"/>
    <w:rsid w:val="00140FA8"/>
    <w:rsid w:val="00142AF8"/>
    <w:rsid w:val="00142FEB"/>
    <w:rsid w:val="00143A2D"/>
    <w:rsid w:val="00145A41"/>
    <w:rsid w:val="00146ABF"/>
    <w:rsid w:val="00151675"/>
    <w:rsid w:val="00153CD5"/>
    <w:rsid w:val="00157435"/>
    <w:rsid w:val="00157B97"/>
    <w:rsid w:val="00163490"/>
    <w:rsid w:val="00171778"/>
    <w:rsid w:val="0017504D"/>
    <w:rsid w:val="00175E1F"/>
    <w:rsid w:val="0017671A"/>
    <w:rsid w:val="00176D58"/>
    <w:rsid w:val="00177422"/>
    <w:rsid w:val="00184590"/>
    <w:rsid w:val="001870D1"/>
    <w:rsid w:val="0018781E"/>
    <w:rsid w:val="0019262D"/>
    <w:rsid w:val="00194F12"/>
    <w:rsid w:val="001A1B35"/>
    <w:rsid w:val="001A48A2"/>
    <w:rsid w:val="001A699E"/>
    <w:rsid w:val="001A6F61"/>
    <w:rsid w:val="001B2418"/>
    <w:rsid w:val="001B5464"/>
    <w:rsid w:val="001B72B8"/>
    <w:rsid w:val="001C69B3"/>
    <w:rsid w:val="001D0AF1"/>
    <w:rsid w:val="001D5595"/>
    <w:rsid w:val="001D671D"/>
    <w:rsid w:val="001D7874"/>
    <w:rsid w:val="001D7F22"/>
    <w:rsid w:val="001E447A"/>
    <w:rsid w:val="001F0F17"/>
    <w:rsid w:val="001F3347"/>
    <w:rsid w:val="001F69E4"/>
    <w:rsid w:val="00203BDE"/>
    <w:rsid w:val="002125B4"/>
    <w:rsid w:val="002133DC"/>
    <w:rsid w:val="002155B8"/>
    <w:rsid w:val="00224839"/>
    <w:rsid w:val="002249B2"/>
    <w:rsid w:val="0022592E"/>
    <w:rsid w:val="00226574"/>
    <w:rsid w:val="002278EC"/>
    <w:rsid w:val="002321D6"/>
    <w:rsid w:val="0023280E"/>
    <w:rsid w:val="002377D1"/>
    <w:rsid w:val="002470BE"/>
    <w:rsid w:val="002506BC"/>
    <w:rsid w:val="00251CF5"/>
    <w:rsid w:val="0025342B"/>
    <w:rsid w:val="00254345"/>
    <w:rsid w:val="00254CC0"/>
    <w:rsid w:val="00260788"/>
    <w:rsid w:val="00264557"/>
    <w:rsid w:val="00275919"/>
    <w:rsid w:val="002805AB"/>
    <w:rsid w:val="00284204"/>
    <w:rsid w:val="00291773"/>
    <w:rsid w:val="002A168C"/>
    <w:rsid w:val="002A3DC7"/>
    <w:rsid w:val="002A70C1"/>
    <w:rsid w:val="002B0831"/>
    <w:rsid w:val="002B49E2"/>
    <w:rsid w:val="002B7B00"/>
    <w:rsid w:val="002B7C44"/>
    <w:rsid w:val="002C105C"/>
    <w:rsid w:val="002C2B17"/>
    <w:rsid w:val="002D3CB4"/>
    <w:rsid w:val="002D3DD0"/>
    <w:rsid w:val="002E1F3A"/>
    <w:rsid w:val="002E298A"/>
    <w:rsid w:val="002E526B"/>
    <w:rsid w:val="00301978"/>
    <w:rsid w:val="00301C18"/>
    <w:rsid w:val="00302654"/>
    <w:rsid w:val="0030332C"/>
    <w:rsid w:val="003043D4"/>
    <w:rsid w:val="003051C2"/>
    <w:rsid w:val="00312296"/>
    <w:rsid w:val="003134E7"/>
    <w:rsid w:val="003149D0"/>
    <w:rsid w:val="00314F0E"/>
    <w:rsid w:val="00321D8E"/>
    <w:rsid w:val="00322B1D"/>
    <w:rsid w:val="00325928"/>
    <w:rsid w:val="00332863"/>
    <w:rsid w:val="00335D3C"/>
    <w:rsid w:val="0033684D"/>
    <w:rsid w:val="00337B42"/>
    <w:rsid w:val="00341B42"/>
    <w:rsid w:val="0034348F"/>
    <w:rsid w:val="00345CC2"/>
    <w:rsid w:val="00356653"/>
    <w:rsid w:val="0035743F"/>
    <w:rsid w:val="00357BE2"/>
    <w:rsid w:val="0036170C"/>
    <w:rsid w:val="00366E0F"/>
    <w:rsid w:val="00377FD5"/>
    <w:rsid w:val="00380080"/>
    <w:rsid w:val="00381878"/>
    <w:rsid w:val="00381A72"/>
    <w:rsid w:val="00382D8D"/>
    <w:rsid w:val="00383421"/>
    <w:rsid w:val="00384676"/>
    <w:rsid w:val="00390857"/>
    <w:rsid w:val="00393B45"/>
    <w:rsid w:val="003A4BF3"/>
    <w:rsid w:val="003A58F0"/>
    <w:rsid w:val="003B099B"/>
    <w:rsid w:val="003B24DB"/>
    <w:rsid w:val="003B420D"/>
    <w:rsid w:val="003B48D4"/>
    <w:rsid w:val="003B7793"/>
    <w:rsid w:val="003C55DE"/>
    <w:rsid w:val="003C643D"/>
    <w:rsid w:val="003C6C16"/>
    <w:rsid w:val="003D16F1"/>
    <w:rsid w:val="003D5B4A"/>
    <w:rsid w:val="003D77D4"/>
    <w:rsid w:val="003D794D"/>
    <w:rsid w:val="003E3058"/>
    <w:rsid w:val="003E76A9"/>
    <w:rsid w:val="003F0809"/>
    <w:rsid w:val="003F6A8C"/>
    <w:rsid w:val="003F755C"/>
    <w:rsid w:val="00401D2A"/>
    <w:rsid w:val="00406F01"/>
    <w:rsid w:val="00416D50"/>
    <w:rsid w:val="00416FD5"/>
    <w:rsid w:val="00417772"/>
    <w:rsid w:val="00420E6A"/>
    <w:rsid w:val="00424507"/>
    <w:rsid w:val="00425A9E"/>
    <w:rsid w:val="00426D6B"/>
    <w:rsid w:val="004276BE"/>
    <w:rsid w:val="004315D0"/>
    <w:rsid w:val="00431E6C"/>
    <w:rsid w:val="00433CE7"/>
    <w:rsid w:val="00452738"/>
    <w:rsid w:val="00453500"/>
    <w:rsid w:val="00456091"/>
    <w:rsid w:val="00464712"/>
    <w:rsid w:val="00466321"/>
    <w:rsid w:val="00467477"/>
    <w:rsid w:val="0047130C"/>
    <w:rsid w:val="00475BD4"/>
    <w:rsid w:val="00484B9B"/>
    <w:rsid w:val="004855F6"/>
    <w:rsid w:val="0048661E"/>
    <w:rsid w:val="00494670"/>
    <w:rsid w:val="004A1EF7"/>
    <w:rsid w:val="004A3823"/>
    <w:rsid w:val="004A4EE6"/>
    <w:rsid w:val="004E6946"/>
    <w:rsid w:val="004F1AD8"/>
    <w:rsid w:val="00502C04"/>
    <w:rsid w:val="005039CB"/>
    <w:rsid w:val="0050558F"/>
    <w:rsid w:val="00506286"/>
    <w:rsid w:val="0050647C"/>
    <w:rsid w:val="00507595"/>
    <w:rsid w:val="00510813"/>
    <w:rsid w:val="00511990"/>
    <w:rsid w:val="00511DE0"/>
    <w:rsid w:val="00514870"/>
    <w:rsid w:val="00514B9B"/>
    <w:rsid w:val="005164A1"/>
    <w:rsid w:val="00517F02"/>
    <w:rsid w:val="00524303"/>
    <w:rsid w:val="005258A2"/>
    <w:rsid w:val="005401AE"/>
    <w:rsid w:val="00542B75"/>
    <w:rsid w:val="00542E07"/>
    <w:rsid w:val="005443C6"/>
    <w:rsid w:val="00545424"/>
    <w:rsid w:val="0055146A"/>
    <w:rsid w:val="005544FB"/>
    <w:rsid w:val="00554A7B"/>
    <w:rsid w:val="00554E26"/>
    <w:rsid w:val="0055572C"/>
    <w:rsid w:val="0056106A"/>
    <w:rsid w:val="00561985"/>
    <w:rsid w:val="005720AE"/>
    <w:rsid w:val="00572AAE"/>
    <w:rsid w:val="00581CA4"/>
    <w:rsid w:val="00586BBE"/>
    <w:rsid w:val="00591F32"/>
    <w:rsid w:val="00594D77"/>
    <w:rsid w:val="005969E4"/>
    <w:rsid w:val="005A06B7"/>
    <w:rsid w:val="005A1759"/>
    <w:rsid w:val="005A2808"/>
    <w:rsid w:val="005A68A7"/>
    <w:rsid w:val="005B237E"/>
    <w:rsid w:val="005C45CB"/>
    <w:rsid w:val="005D3087"/>
    <w:rsid w:val="005D36AB"/>
    <w:rsid w:val="005D46B4"/>
    <w:rsid w:val="005E085D"/>
    <w:rsid w:val="005F05A4"/>
    <w:rsid w:val="0061307C"/>
    <w:rsid w:val="00614B13"/>
    <w:rsid w:val="00617CC3"/>
    <w:rsid w:val="00631CAF"/>
    <w:rsid w:val="006377A6"/>
    <w:rsid w:val="00637A3D"/>
    <w:rsid w:val="006411EF"/>
    <w:rsid w:val="0064436A"/>
    <w:rsid w:val="0066050F"/>
    <w:rsid w:val="006741AA"/>
    <w:rsid w:val="006748B8"/>
    <w:rsid w:val="006775C3"/>
    <w:rsid w:val="0069290A"/>
    <w:rsid w:val="00696EA1"/>
    <w:rsid w:val="00697689"/>
    <w:rsid w:val="0069775A"/>
    <w:rsid w:val="00697813"/>
    <w:rsid w:val="006A3EE8"/>
    <w:rsid w:val="006A5CD1"/>
    <w:rsid w:val="006A72BF"/>
    <w:rsid w:val="006B03F2"/>
    <w:rsid w:val="006B2EA2"/>
    <w:rsid w:val="006B30D2"/>
    <w:rsid w:val="006B37DC"/>
    <w:rsid w:val="006B4C2A"/>
    <w:rsid w:val="006B4F68"/>
    <w:rsid w:val="006B4F71"/>
    <w:rsid w:val="006C0592"/>
    <w:rsid w:val="006C272E"/>
    <w:rsid w:val="006C51E2"/>
    <w:rsid w:val="006C5479"/>
    <w:rsid w:val="006C6CC4"/>
    <w:rsid w:val="006D13B5"/>
    <w:rsid w:val="006E12FF"/>
    <w:rsid w:val="006E607E"/>
    <w:rsid w:val="006F24FD"/>
    <w:rsid w:val="006F54BF"/>
    <w:rsid w:val="00706C5D"/>
    <w:rsid w:val="007146C9"/>
    <w:rsid w:val="00727DA2"/>
    <w:rsid w:val="00732922"/>
    <w:rsid w:val="00732C19"/>
    <w:rsid w:val="00740703"/>
    <w:rsid w:val="007456D5"/>
    <w:rsid w:val="00747C0A"/>
    <w:rsid w:val="0075162E"/>
    <w:rsid w:val="00754034"/>
    <w:rsid w:val="00754439"/>
    <w:rsid w:val="00754CD0"/>
    <w:rsid w:val="00756556"/>
    <w:rsid w:val="007618C4"/>
    <w:rsid w:val="00767980"/>
    <w:rsid w:val="00770B19"/>
    <w:rsid w:val="0077463F"/>
    <w:rsid w:val="007836EA"/>
    <w:rsid w:val="00784778"/>
    <w:rsid w:val="007848CC"/>
    <w:rsid w:val="00784CDA"/>
    <w:rsid w:val="007906C4"/>
    <w:rsid w:val="007940EA"/>
    <w:rsid w:val="007967E8"/>
    <w:rsid w:val="007A1F11"/>
    <w:rsid w:val="007A2170"/>
    <w:rsid w:val="007A22BF"/>
    <w:rsid w:val="007A3323"/>
    <w:rsid w:val="007B2045"/>
    <w:rsid w:val="007B72B8"/>
    <w:rsid w:val="007B7A58"/>
    <w:rsid w:val="007C21B5"/>
    <w:rsid w:val="007D1641"/>
    <w:rsid w:val="007D1DEC"/>
    <w:rsid w:val="007E3CCE"/>
    <w:rsid w:val="007E4BD2"/>
    <w:rsid w:val="007E7E61"/>
    <w:rsid w:val="007F3177"/>
    <w:rsid w:val="007F4715"/>
    <w:rsid w:val="00801393"/>
    <w:rsid w:val="00802F88"/>
    <w:rsid w:val="0080331D"/>
    <w:rsid w:val="008075CF"/>
    <w:rsid w:val="008076F8"/>
    <w:rsid w:val="0081293E"/>
    <w:rsid w:val="00813D3B"/>
    <w:rsid w:val="00815465"/>
    <w:rsid w:val="0081765C"/>
    <w:rsid w:val="00817E9A"/>
    <w:rsid w:val="008306BD"/>
    <w:rsid w:val="00831105"/>
    <w:rsid w:val="00831A80"/>
    <w:rsid w:val="00833743"/>
    <w:rsid w:val="008340A4"/>
    <w:rsid w:val="00841AA8"/>
    <w:rsid w:val="00847323"/>
    <w:rsid w:val="00856E05"/>
    <w:rsid w:val="00857DAC"/>
    <w:rsid w:val="0087135F"/>
    <w:rsid w:val="00872D94"/>
    <w:rsid w:val="00875351"/>
    <w:rsid w:val="00880364"/>
    <w:rsid w:val="00891592"/>
    <w:rsid w:val="00891E9E"/>
    <w:rsid w:val="0089573D"/>
    <w:rsid w:val="008A2F68"/>
    <w:rsid w:val="008A4934"/>
    <w:rsid w:val="008B4FA6"/>
    <w:rsid w:val="008B5282"/>
    <w:rsid w:val="008B5E3A"/>
    <w:rsid w:val="008B7C17"/>
    <w:rsid w:val="008C2D01"/>
    <w:rsid w:val="008C40E6"/>
    <w:rsid w:val="008C6159"/>
    <w:rsid w:val="008D0F7A"/>
    <w:rsid w:val="008D68E4"/>
    <w:rsid w:val="008E0506"/>
    <w:rsid w:val="008E0CFF"/>
    <w:rsid w:val="008E5D6B"/>
    <w:rsid w:val="008E76F0"/>
    <w:rsid w:val="008F15FE"/>
    <w:rsid w:val="008F2D29"/>
    <w:rsid w:val="008F5187"/>
    <w:rsid w:val="008F60D8"/>
    <w:rsid w:val="00901F81"/>
    <w:rsid w:val="00902727"/>
    <w:rsid w:val="00903109"/>
    <w:rsid w:val="0090312B"/>
    <w:rsid w:val="009104D9"/>
    <w:rsid w:val="00911504"/>
    <w:rsid w:val="0091736D"/>
    <w:rsid w:val="009240F8"/>
    <w:rsid w:val="0093037A"/>
    <w:rsid w:val="0094154D"/>
    <w:rsid w:val="009447C4"/>
    <w:rsid w:val="009449D4"/>
    <w:rsid w:val="009462A9"/>
    <w:rsid w:val="009470E5"/>
    <w:rsid w:val="00950DC5"/>
    <w:rsid w:val="0095155F"/>
    <w:rsid w:val="00954429"/>
    <w:rsid w:val="00955DAF"/>
    <w:rsid w:val="009563CE"/>
    <w:rsid w:val="00965E25"/>
    <w:rsid w:val="00976328"/>
    <w:rsid w:val="0097680D"/>
    <w:rsid w:val="009807A3"/>
    <w:rsid w:val="00982438"/>
    <w:rsid w:val="0098404C"/>
    <w:rsid w:val="00985283"/>
    <w:rsid w:val="00985DEC"/>
    <w:rsid w:val="00995173"/>
    <w:rsid w:val="00995992"/>
    <w:rsid w:val="00996597"/>
    <w:rsid w:val="009A03E5"/>
    <w:rsid w:val="009A0F3B"/>
    <w:rsid w:val="009A1BB4"/>
    <w:rsid w:val="009A2628"/>
    <w:rsid w:val="009A3200"/>
    <w:rsid w:val="009B0897"/>
    <w:rsid w:val="009B7BD9"/>
    <w:rsid w:val="009C38A1"/>
    <w:rsid w:val="009C49D3"/>
    <w:rsid w:val="009C7DD5"/>
    <w:rsid w:val="009E227D"/>
    <w:rsid w:val="009E3DA2"/>
    <w:rsid w:val="009E4FBC"/>
    <w:rsid w:val="009E5019"/>
    <w:rsid w:val="00A0269D"/>
    <w:rsid w:val="00A04C42"/>
    <w:rsid w:val="00A04F1B"/>
    <w:rsid w:val="00A0501B"/>
    <w:rsid w:val="00A070FF"/>
    <w:rsid w:val="00A14947"/>
    <w:rsid w:val="00A32A83"/>
    <w:rsid w:val="00A36063"/>
    <w:rsid w:val="00A368DB"/>
    <w:rsid w:val="00A423AA"/>
    <w:rsid w:val="00A53EC6"/>
    <w:rsid w:val="00A55C0F"/>
    <w:rsid w:val="00A56995"/>
    <w:rsid w:val="00A617CC"/>
    <w:rsid w:val="00A70BB1"/>
    <w:rsid w:val="00A77A4F"/>
    <w:rsid w:val="00A77CEE"/>
    <w:rsid w:val="00A8713F"/>
    <w:rsid w:val="00A90BA1"/>
    <w:rsid w:val="00A94BC8"/>
    <w:rsid w:val="00A95089"/>
    <w:rsid w:val="00A97A9A"/>
    <w:rsid w:val="00AA0671"/>
    <w:rsid w:val="00AA2531"/>
    <w:rsid w:val="00AB1E09"/>
    <w:rsid w:val="00AB5330"/>
    <w:rsid w:val="00AB7747"/>
    <w:rsid w:val="00AC14CE"/>
    <w:rsid w:val="00AC2A56"/>
    <w:rsid w:val="00AD055E"/>
    <w:rsid w:val="00AD47A7"/>
    <w:rsid w:val="00AF0CBF"/>
    <w:rsid w:val="00AF257F"/>
    <w:rsid w:val="00AF33CF"/>
    <w:rsid w:val="00AF4D50"/>
    <w:rsid w:val="00AF6179"/>
    <w:rsid w:val="00B1295A"/>
    <w:rsid w:val="00B20A45"/>
    <w:rsid w:val="00B22C5C"/>
    <w:rsid w:val="00B24F30"/>
    <w:rsid w:val="00B25169"/>
    <w:rsid w:val="00B2567C"/>
    <w:rsid w:val="00B26322"/>
    <w:rsid w:val="00B31ABF"/>
    <w:rsid w:val="00B33BE3"/>
    <w:rsid w:val="00B51F4A"/>
    <w:rsid w:val="00B53B5D"/>
    <w:rsid w:val="00B6055E"/>
    <w:rsid w:val="00B6317D"/>
    <w:rsid w:val="00B7065E"/>
    <w:rsid w:val="00B7723F"/>
    <w:rsid w:val="00B80534"/>
    <w:rsid w:val="00B83829"/>
    <w:rsid w:val="00B8433C"/>
    <w:rsid w:val="00B8445C"/>
    <w:rsid w:val="00B86379"/>
    <w:rsid w:val="00B87491"/>
    <w:rsid w:val="00B8754C"/>
    <w:rsid w:val="00B90C38"/>
    <w:rsid w:val="00BA29E9"/>
    <w:rsid w:val="00BA3B10"/>
    <w:rsid w:val="00BA7142"/>
    <w:rsid w:val="00BB237C"/>
    <w:rsid w:val="00BB41A3"/>
    <w:rsid w:val="00BC32DC"/>
    <w:rsid w:val="00BC35B6"/>
    <w:rsid w:val="00BC6AAD"/>
    <w:rsid w:val="00BD036E"/>
    <w:rsid w:val="00BD1B51"/>
    <w:rsid w:val="00BD2CDC"/>
    <w:rsid w:val="00BD3111"/>
    <w:rsid w:val="00BD37FC"/>
    <w:rsid w:val="00BD4596"/>
    <w:rsid w:val="00BE1405"/>
    <w:rsid w:val="00BE312D"/>
    <w:rsid w:val="00BE49F6"/>
    <w:rsid w:val="00BE4E9F"/>
    <w:rsid w:val="00BE52CB"/>
    <w:rsid w:val="00BF1C20"/>
    <w:rsid w:val="00BF7948"/>
    <w:rsid w:val="00C10578"/>
    <w:rsid w:val="00C10696"/>
    <w:rsid w:val="00C135BC"/>
    <w:rsid w:val="00C15C95"/>
    <w:rsid w:val="00C2596A"/>
    <w:rsid w:val="00C27537"/>
    <w:rsid w:val="00C30364"/>
    <w:rsid w:val="00C31A82"/>
    <w:rsid w:val="00C328FE"/>
    <w:rsid w:val="00C33507"/>
    <w:rsid w:val="00C4409D"/>
    <w:rsid w:val="00C447C6"/>
    <w:rsid w:val="00C44E72"/>
    <w:rsid w:val="00C45A06"/>
    <w:rsid w:val="00C47E5B"/>
    <w:rsid w:val="00C55838"/>
    <w:rsid w:val="00C606DD"/>
    <w:rsid w:val="00C61E4B"/>
    <w:rsid w:val="00C64BFF"/>
    <w:rsid w:val="00C704E9"/>
    <w:rsid w:val="00C73F6A"/>
    <w:rsid w:val="00C763C9"/>
    <w:rsid w:val="00C80057"/>
    <w:rsid w:val="00C82232"/>
    <w:rsid w:val="00C82913"/>
    <w:rsid w:val="00C95391"/>
    <w:rsid w:val="00C96688"/>
    <w:rsid w:val="00C972B1"/>
    <w:rsid w:val="00CA2CCE"/>
    <w:rsid w:val="00CA43FD"/>
    <w:rsid w:val="00CA7EF8"/>
    <w:rsid w:val="00CB00B2"/>
    <w:rsid w:val="00CB3937"/>
    <w:rsid w:val="00CB4290"/>
    <w:rsid w:val="00CC489B"/>
    <w:rsid w:val="00CC6C09"/>
    <w:rsid w:val="00CC7151"/>
    <w:rsid w:val="00CD2BCD"/>
    <w:rsid w:val="00CD3A4C"/>
    <w:rsid w:val="00CD7F1C"/>
    <w:rsid w:val="00CE10E9"/>
    <w:rsid w:val="00CE2910"/>
    <w:rsid w:val="00CE4056"/>
    <w:rsid w:val="00CE5393"/>
    <w:rsid w:val="00CF36BE"/>
    <w:rsid w:val="00CF6000"/>
    <w:rsid w:val="00D003F3"/>
    <w:rsid w:val="00D0364F"/>
    <w:rsid w:val="00D05D8F"/>
    <w:rsid w:val="00D065B2"/>
    <w:rsid w:val="00D06834"/>
    <w:rsid w:val="00D203B4"/>
    <w:rsid w:val="00D308ED"/>
    <w:rsid w:val="00D32A78"/>
    <w:rsid w:val="00D346F5"/>
    <w:rsid w:val="00D34A81"/>
    <w:rsid w:val="00D36D86"/>
    <w:rsid w:val="00D428AA"/>
    <w:rsid w:val="00D43146"/>
    <w:rsid w:val="00D46302"/>
    <w:rsid w:val="00D50A34"/>
    <w:rsid w:val="00D50DFB"/>
    <w:rsid w:val="00D53EFA"/>
    <w:rsid w:val="00D830B5"/>
    <w:rsid w:val="00D90E46"/>
    <w:rsid w:val="00D94A7C"/>
    <w:rsid w:val="00D94F57"/>
    <w:rsid w:val="00D95896"/>
    <w:rsid w:val="00D972E0"/>
    <w:rsid w:val="00DB1A49"/>
    <w:rsid w:val="00DB2983"/>
    <w:rsid w:val="00DB2CCA"/>
    <w:rsid w:val="00DB4B59"/>
    <w:rsid w:val="00DC1257"/>
    <w:rsid w:val="00DC2848"/>
    <w:rsid w:val="00DC3DC0"/>
    <w:rsid w:val="00DC5B2B"/>
    <w:rsid w:val="00DD0053"/>
    <w:rsid w:val="00DD318D"/>
    <w:rsid w:val="00DD5944"/>
    <w:rsid w:val="00DF2809"/>
    <w:rsid w:val="00DF2E12"/>
    <w:rsid w:val="00DF514A"/>
    <w:rsid w:val="00DF6690"/>
    <w:rsid w:val="00DF6804"/>
    <w:rsid w:val="00E0358D"/>
    <w:rsid w:val="00E04323"/>
    <w:rsid w:val="00E0525B"/>
    <w:rsid w:val="00E070A2"/>
    <w:rsid w:val="00E2656A"/>
    <w:rsid w:val="00E340FD"/>
    <w:rsid w:val="00E412D0"/>
    <w:rsid w:val="00E51F0B"/>
    <w:rsid w:val="00E52931"/>
    <w:rsid w:val="00E55723"/>
    <w:rsid w:val="00E56322"/>
    <w:rsid w:val="00E60982"/>
    <w:rsid w:val="00E62C62"/>
    <w:rsid w:val="00E654C1"/>
    <w:rsid w:val="00E65D97"/>
    <w:rsid w:val="00E72A5A"/>
    <w:rsid w:val="00E73354"/>
    <w:rsid w:val="00E75155"/>
    <w:rsid w:val="00E90681"/>
    <w:rsid w:val="00E9242D"/>
    <w:rsid w:val="00E95670"/>
    <w:rsid w:val="00EA177D"/>
    <w:rsid w:val="00EB5255"/>
    <w:rsid w:val="00EB5C47"/>
    <w:rsid w:val="00ED0639"/>
    <w:rsid w:val="00EF3DDC"/>
    <w:rsid w:val="00EF4755"/>
    <w:rsid w:val="00EF52D5"/>
    <w:rsid w:val="00EF7135"/>
    <w:rsid w:val="00F027DB"/>
    <w:rsid w:val="00F14A7A"/>
    <w:rsid w:val="00F22985"/>
    <w:rsid w:val="00F24485"/>
    <w:rsid w:val="00F27F8F"/>
    <w:rsid w:val="00F30C9C"/>
    <w:rsid w:val="00F3383E"/>
    <w:rsid w:val="00F4073C"/>
    <w:rsid w:val="00F41D78"/>
    <w:rsid w:val="00F465A7"/>
    <w:rsid w:val="00F50B7C"/>
    <w:rsid w:val="00F550E6"/>
    <w:rsid w:val="00F627B1"/>
    <w:rsid w:val="00F70383"/>
    <w:rsid w:val="00F737E8"/>
    <w:rsid w:val="00F74345"/>
    <w:rsid w:val="00F80A0A"/>
    <w:rsid w:val="00F82B19"/>
    <w:rsid w:val="00F9212D"/>
    <w:rsid w:val="00F965DA"/>
    <w:rsid w:val="00FA066A"/>
    <w:rsid w:val="00FA406A"/>
    <w:rsid w:val="00FB2278"/>
    <w:rsid w:val="00FB503A"/>
    <w:rsid w:val="00FB516C"/>
    <w:rsid w:val="00FC7A4B"/>
    <w:rsid w:val="00FD0236"/>
    <w:rsid w:val="00FD18F4"/>
    <w:rsid w:val="00FD54DB"/>
    <w:rsid w:val="00FD619F"/>
    <w:rsid w:val="00FF4FAB"/>
    <w:rsid w:val="01290F7E"/>
    <w:rsid w:val="015D1E09"/>
    <w:rsid w:val="02697903"/>
    <w:rsid w:val="027A7A4B"/>
    <w:rsid w:val="02D17A28"/>
    <w:rsid w:val="02F96569"/>
    <w:rsid w:val="03EA7B21"/>
    <w:rsid w:val="05F83EAE"/>
    <w:rsid w:val="0634472B"/>
    <w:rsid w:val="063E7D85"/>
    <w:rsid w:val="06B26FE3"/>
    <w:rsid w:val="07293586"/>
    <w:rsid w:val="07295285"/>
    <w:rsid w:val="07636392"/>
    <w:rsid w:val="07770C56"/>
    <w:rsid w:val="08B35B6A"/>
    <w:rsid w:val="092217DD"/>
    <w:rsid w:val="093A7294"/>
    <w:rsid w:val="0A263993"/>
    <w:rsid w:val="0A2D3AC2"/>
    <w:rsid w:val="0AA755DF"/>
    <w:rsid w:val="0B120D44"/>
    <w:rsid w:val="0BD27BF6"/>
    <w:rsid w:val="0C1A45AE"/>
    <w:rsid w:val="0C3B3C7D"/>
    <w:rsid w:val="0C762CD4"/>
    <w:rsid w:val="0CAB2EAE"/>
    <w:rsid w:val="0D621C7D"/>
    <w:rsid w:val="0E73034D"/>
    <w:rsid w:val="0E9D72FD"/>
    <w:rsid w:val="0F13775A"/>
    <w:rsid w:val="0F5F45FE"/>
    <w:rsid w:val="0F9A112B"/>
    <w:rsid w:val="105150FF"/>
    <w:rsid w:val="106D2F64"/>
    <w:rsid w:val="10B63710"/>
    <w:rsid w:val="10F10820"/>
    <w:rsid w:val="11112774"/>
    <w:rsid w:val="111C2F7A"/>
    <w:rsid w:val="11665CA1"/>
    <w:rsid w:val="131A65A8"/>
    <w:rsid w:val="13951726"/>
    <w:rsid w:val="14396509"/>
    <w:rsid w:val="14DD2C3C"/>
    <w:rsid w:val="16087E1D"/>
    <w:rsid w:val="17701D14"/>
    <w:rsid w:val="17735226"/>
    <w:rsid w:val="17884241"/>
    <w:rsid w:val="17BB6B20"/>
    <w:rsid w:val="189F624C"/>
    <w:rsid w:val="1A1C66C0"/>
    <w:rsid w:val="1A1E4EBE"/>
    <w:rsid w:val="1A42393B"/>
    <w:rsid w:val="1A5A6A45"/>
    <w:rsid w:val="1AAD45DE"/>
    <w:rsid w:val="1B046F80"/>
    <w:rsid w:val="1B3267B5"/>
    <w:rsid w:val="1B40161D"/>
    <w:rsid w:val="1B441859"/>
    <w:rsid w:val="1B6606B1"/>
    <w:rsid w:val="1C5E7925"/>
    <w:rsid w:val="1CFD070F"/>
    <w:rsid w:val="1D5F6196"/>
    <w:rsid w:val="1D6132A5"/>
    <w:rsid w:val="1D8E56D5"/>
    <w:rsid w:val="1E7A43DA"/>
    <w:rsid w:val="1EE61F3B"/>
    <w:rsid w:val="1F260856"/>
    <w:rsid w:val="1F697F4D"/>
    <w:rsid w:val="1FE7539E"/>
    <w:rsid w:val="20671BE0"/>
    <w:rsid w:val="20963CB8"/>
    <w:rsid w:val="20A81A1B"/>
    <w:rsid w:val="20B07FB6"/>
    <w:rsid w:val="20B646FB"/>
    <w:rsid w:val="20FA015B"/>
    <w:rsid w:val="213B74B1"/>
    <w:rsid w:val="215A2310"/>
    <w:rsid w:val="21DE318A"/>
    <w:rsid w:val="21EF5B80"/>
    <w:rsid w:val="22576990"/>
    <w:rsid w:val="229E1464"/>
    <w:rsid w:val="22F47480"/>
    <w:rsid w:val="23DE1C48"/>
    <w:rsid w:val="240210CD"/>
    <w:rsid w:val="24BF09F7"/>
    <w:rsid w:val="252D53FE"/>
    <w:rsid w:val="25EC2D81"/>
    <w:rsid w:val="26985E00"/>
    <w:rsid w:val="277057A2"/>
    <w:rsid w:val="287E7677"/>
    <w:rsid w:val="28A569C3"/>
    <w:rsid w:val="29206EB8"/>
    <w:rsid w:val="29595666"/>
    <w:rsid w:val="29874881"/>
    <w:rsid w:val="29E325E0"/>
    <w:rsid w:val="2A11678C"/>
    <w:rsid w:val="2A452503"/>
    <w:rsid w:val="2BA936A8"/>
    <w:rsid w:val="2C265951"/>
    <w:rsid w:val="2C315A5A"/>
    <w:rsid w:val="2C4B1C25"/>
    <w:rsid w:val="2CF03FBF"/>
    <w:rsid w:val="2D6452AE"/>
    <w:rsid w:val="2D9E56F5"/>
    <w:rsid w:val="2E027EC1"/>
    <w:rsid w:val="2E667F96"/>
    <w:rsid w:val="2E8226AB"/>
    <w:rsid w:val="2FD065E6"/>
    <w:rsid w:val="2FD96870"/>
    <w:rsid w:val="30580BC9"/>
    <w:rsid w:val="30966395"/>
    <w:rsid w:val="30EE17F5"/>
    <w:rsid w:val="311E2ED7"/>
    <w:rsid w:val="315619EE"/>
    <w:rsid w:val="315C449C"/>
    <w:rsid w:val="31B82709"/>
    <w:rsid w:val="31D05482"/>
    <w:rsid w:val="32400B34"/>
    <w:rsid w:val="329E6876"/>
    <w:rsid w:val="333015F2"/>
    <w:rsid w:val="334B6320"/>
    <w:rsid w:val="33D934D4"/>
    <w:rsid w:val="33FE2F6A"/>
    <w:rsid w:val="340E07E5"/>
    <w:rsid w:val="34235BF7"/>
    <w:rsid w:val="357D6FA7"/>
    <w:rsid w:val="358C5FA8"/>
    <w:rsid w:val="35C15DF1"/>
    <w:rsid w:val="36074A7F"/>
    <w:rsid w:val="36663919"/>
    <w:rsid w:val="36923549"/>
    <w:rsid w:val="36B75FBF"/>
    <w:rsid w:val="36BD0C45"/>
    <w:rsid w:val="36D93FD8"/>
    <w:rsid w:val="37E00298"/>
    <w:rsid w:val="37FB65FF"/>
    <w:rsid w:val="3856309B"/>
    <w:rsid w:val="38B302F9"/>
    <w:rsid w:val="38E66FC1"/>
    <w:rsid w:val="38F12CD3"/>
    <w:rsid w:val="38F94775"/>
    <w:rsid w:val="392971ED"/>
    <w:rsid w:val="39325651"/>
    <w:rsid w:val="3932648F"/>
    <w:rsid w:val="39837ED1"/>
    <w:rsid w:val="3A872856"/>
    <w:rsid w:val="3B171BED"/>
    <w:rsid w:val="3B3763D1"/>
    <w:rsid w:val="3B6F4C0F"/>
    <w:rsid w:val="3C2F6E1E"/>
    <w:rsid w:val="3C4F64BA"/>
    <w:rsid w:val="3CDA245A"/>
    <w:rsid w:val="3D1E06B7"/>
    <w:rsid w:val="3D7945B2"/>
    <w:rsid w:val="3EDA0523"/>
    <w:rsid w:val="407A6407"/>
    <w:rsid w:val="412E0B5F"/>
    <w:rsid w:val="41E95407"/>
    <w:rsid w:val="4200449D"/>
    <w:rsid w:val="423A3BCC"/>
    <w:rsid w:val="424E57D2"/>
    <w:rsid w:val="42B26C49"/>
    <w:rsid w:val="433A6FE6"/>
    <w:rsid w:val="43480868"/>
    <w:rsid w:val="4350713C"/>
    <w:rsid w:val="436653E0"/>
    <w:rsid w:val="43C4431A"/>
    <w:rsid w:val="440269B3"/>
    <w:rsid w:val="44330620"/>
    <w:rsid w:val="44B951CC"/>
    <w:rsid w:val="44CD14E0"/>
    <w:rsid w:val="44F20B0B"/>
    <w:rsid w:val="452E5F4C"/>
    <w:rsid w:val="45612018"/>
    <w:rsid w:val="458946E9"/>
    <w:rsid w:val="45A47C0E"/>
    <w:rsid w:val="45EA198E"/>
    <w:rsid w:val="46577FD6"/>
    <w:rsid w:val="46D955A7"/>
    <w:rsid w:val="47133957"/>
    <w:rsid w:val="47282898"/>
    <w:rsid w:val="476D3E39"/>
    <w:rsid w:val="47A07E0C"/>
    <w:rsid w:val="4870272E"/>
    <w:rsid w:val="489D1632"/>
    <w:rsid w:val="48CB1349"/>
    <w:rsid w:val="48FC00AA"/>
    <w:rsid w:val="493A4E52"/>
    <w:rsid w:val="49CA428F"/>
    <w:rsid w:val="49DC7715"/>
    <w:rsid w:val="49EB1F18"/>
    <w:rsid w:val="4A023139"/>
    <w:rsid w:val="4A7B576F"/>
    <w:rsid w:val="4AF561A9"/>
    <w:rsid w:val="4BDC3BFA"/>
    <w:rsid w:val="4C4A0649"/>
    <w:rsid w:val="4C7E5ECA"/>
    <w:rsid w:val="4C876AA5"/>
    <w:rsid w:val="4D0E00FB"/>
    <w:rsid w:val="4D176606"/>
    <w:rsid w:val="4D414F08"/>
    <w:rsid w:val="4DEC4FB0"/>
    <w:rsid w:val="4E075D8A"/>
    <w:rsid w:val="4EC00FAD"/>
    <w:rsid w:val="4EE95DB8"/>
    <w:rsid w:val="4F9843DC"/>
    <w:rsid w:val="4FC62A8C"/>
    <w:rsid w:val="4FE20F0D"/>
    <w:rsid w:val="4FE51552"/>
    <w:rsid w:val="50504C4B"/>
    <w:rsid w:val="5057687E"/>
    <w:rsid w:val="509C6E7C"/>
    <w:rsid w:val="50CA6F2E"/>
    <w:rsid w:val="5162104E"/>
    <w:rsid w:val="52C124D3"/>
    <w:rsid w:val="5314750E"/>
    <w:rsid w:val="53A039CC"/>
    <w:rsid w:val="53A1505A"/>
    <w:rsid w:val="53F86354"/>
    <w:rsid w:val="54063E08"/>
    <w:rsid w:val="543437E8"/>
    <w:rsid w:val="54505AC7"/>
    <w:rsid w:val="546D5D7A"/>
    <w:rsid w:val="54CC7F23"/>
    <w:rsid w:val="54F73313"/>
    <w:rsid w:val="54F80955"/>
    <w:rsid w:val="555170A7"/>
    <w:rsid w:val="5587536D"/>
    <w:rsid w:val="559B174B"/>
    <w:rsid w:val="55A20145"/>
    <w:rsid w:val="55A27132"/>
    <w:rsid w:val="55CE0CF4"/>
    <w:rsid w:val="56B22A9C"/>
    <w:rsid w:val="56CD1CF5"/>
    <w:rsid w:val="57AE2779"/>
    <w:rsid w:val="57B72A76"/>
    <w:rsid w:val="57C3426C"/>
    <w:rsid w:val="57CE1F93"/>
    <w:rsid w:val="58374D04"/>
    <w:rsid w:val="587A04AB"/>
    <w:rsid w:val="588743D1"/>
    <w:rsid w:val="5887701A"/>
    <w:rsid w:val="593B5D71"/>
    <w:rsid w:val="59B3440B"/>
    <w:rsid w:val="59C0439F"/>
    <w:rsid w:val="5A4E14E8"/>
    <w:rsid w:val="5ABE2233"/>
    <w:rsid w:val="5BB562F8"/>
    <w:rsid w:val="5BDF5D95"/>
    <w:rsid w:val="5BFE7528"/>
    <w:rsid w:val="5D632F72"/>
    <w:rsid w:val="5E2467F1"/>
    <w:rsid w:val="5EB0222E"/>
    <w:rsid w:val="5F1A2B43"/>
    <w:rsid w:val="5FB837BB"/>
    <w:rsid w:val="601B1D80"/>
    <w:rsid w:val="60CC405A"/>
    <w:rsid w:val="61E215D8"/>
    <w:rsid w:val="621B3775"/>
    <w:rsid w:val="62364782"/>
    <w:rsid w:val="6394356A"/>
    <w:rsid w:val="63C61B2C"/>
    <w:rsid w:val="63D40BE9"/>
    <w:rsid w:val="64102431"/>
    <w:rsid w:val="64A5243A"/>
    <w:rsid w:val="64F531DE"/>
    <w:rsid w:val="65373578"/>
    <w:rsid w:val="659D21F5"/>
    <w:rsid w:val="6665442D"/>
    <w:rsid w:val="670F743B"/>
    <w:rsid w:val="671F124A"/>
    <w:rsid w:val="677A33C6"/>
    <w:rsid w:val="681F6961"/>
    <w:rsid w:val="68610A2F"/>
    <w:rsid w:val="68805514"/>
    <w:rsid w:val="68843664"/>
    <w:rsid w:val="68CE543E"/>
    <w:rsid w:val="69316E2F"/>
    <w:rsid w:val="694E2071"/>
    <w:rsid w:val="6971198C"/>
    <w:rsid w:val="69766163"/>
    <w:rsid w:val="697A3B33"/>
    <w:rsid w:val="69D44760"/>
    <w:rsid w:val="6A520EC7"/>
    <w:rsid w:val="6AEC7EFD"/>
    <w:rsid w:val="6AF87E20"/>
    <w:rsid w:val="6B322639"/>
    <w:rsid w:val="6B5C3C1E"/>
    <w:rsid w:val="6C50035F"/>
    <w:rsid w:val="6C636C38"/>
    <w:rsid w:val="6CAB30BC"/>
    <w:rsid w:val="6DB34098"/>
    <w:rsid w:val="6DB545B6"/>
    <w:rsid w:val="6DE02FB4"/>
    <w:rsid w:val="6E514CED"/>
    <w:rsid w:val="6EB563D5"/>
    <w:rsid w:val="6ED92677"/>
    <w:rsid w:val="6F225983"/>
    <w:rsid w:val="6FC22F83"/>
    <w:rsid w:val="6FFC5590"/>
    <w:rsid w:val="706D1DD0"/>
    <w:rsid w:val="70856B87"/>
    <w:rsid w:val="70D527EE"/>
    <w:rsid w:val="715B5300"/>
    <w:rsid w:val="717942C4"/>
    <w:rsid w:val="71D27F8A"/>
    <w:rsid w:val="722F68CA"/>
    <w:rsid w:val="72553024"/>
    <w:rsid w:val="73122968"/>
    <w:rsid w:val="731F5D5E"/>
    <w:rsid w:val="73C51AD5"/>
    <w:rsid w:val="741E793C"/>
    <w:rsid w:val="745E3944"/>
    <w:rsid w:val="75127016"/>
    <w:rsid w:val="7635099D"/>
    <w:rsid w:val="77762421"/>
    <w:rsid w:val="77B56B1F"/>
    <w:rsid w:val="780F09F4"/>
    <w:rsid w:val="78963A0D"/>
    <w:rsid w:val="78A90480"/>
    <w:rsid w:val="7A194586"/>
    <w:rsid w:val="7A364017"/>
    <w:rsid w:val="7A4B0019"/>
    <w:rsid w:val="7A8265E1"/>
    <w:rsid w:val="7B43211E"/>
    <w:rsid w:val="7B461A01"/>
    <w:rsid w:val="7B686D42"/>
    <w:rsid w:val="7B841746"/>
    <w:rsid w:val="7C6C5AC7"/>
    <w:rsid w:val="7CC6544B"/>
    <w:rsid w:val="7D0239FF"/>
    <w:rsid w:val="7D5E40CD"/>
    <w:rsid w:val="7DCD56F2"/>
    <w:rsid w:val="7DD37EC9"/>
    <w:rsid w:val="7EAB0194"/>
    <w:rsid w:val="7F001CE7"/>
    <w:rsid w:val="7F3B4503"/>
    <w:rsid w:val="7F595759"/>
    <w:rsid w:val="7FE3436B"/>
    <w:rsid w:val="7FE47E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iPriority="99" w:semiHidden="0" w:name="heading 2" w:locked="1"/>
    <w:lsdException w:qFormat="1" w:uiPriority="0" w:name="heading 3" w:locked="1"/>
    <w:lsdException w:qFormat="1" w:unhideWhenUsed="0" w:uiPriority="9" w:semiHidden="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qFormat="1"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iPriority="99" w:semiHidden="0" w:name="Normal Indent" w:locked="1"/>
    <w:lsdException w:unhideWhenUsed="0" w:uiPriority="0" w:semiHidden="0" w:name="footnote text" w:locked="1"/>
    <w:lsdException w:qFormat="1" w:unhideWhenUsed="0" w:uiPriority="99" w:semiHidden="0" w:name="annotation text"/>
    <w:lsdException w:qFormat="1" w:unhideWhenUsed="0" w:uiPriority="0" w:semiHidden="0" w:name="header"/>
    <w:lsdException w:qFormat="1" w:unhideWhenUsed="0" w:uiPriority="99" w:semiHidden="0" w:name="footer"/>
    <w:lsdException w:qFormat="1" w:uiPriority="99" w:semiHidden="0" w:name="index heading" w:locked="1"/>
    <w:lsdException w:qFormat="1" w:unhideWhenUsed="0" w:uiPriority="99" w:semiHidden="0" w:name="caption" w:locked="1"/>
    <w:lsdException w:qFormat="1" w:uiPriority="99"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name="annotation reference"/>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iPriority="1"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qFormat="1" w:uiPriority="99" w:semiHidden="0" w:name="Salutation" w:locked="1"/>
    <w:lsdException w:qFormat="1" w:unhideWhenUsed="0" w:uiPriority="0" w:semiHidden="0" w:name="Date"/>
    <w:lsdException w:unhideWhenUsed="0" w:uiPriority="0" w:semiHidden="0" w:name="Body Text First Indent" w:locked="1"/>
    <w:lsdException w:unhideWhenUsed="0" w:uiPriority="0" w:semiHidden="0" w:name="Body Text First Indent 2" w:locked="1"/>
    <w:lsdException w:unhideWhenUsed="0" w:uiPriority="0" w:semiHidden="0" w:name="Note Heading" w:locked="1"/>
    <w:lsdException w:qFormat="1" w:uiPriority="99" w:semiHidden="0" w:name="Body Text 2" w:locked="1"/>
    <w:lsdException w:unhideWhenUsed="0" w:uiPriority="0" w:semiHidden="0" w:name="Body Text 3" w:locked="1"/>
    <w:lsdException w:qFormat="1" w:uiPriority="99" w:semiHidden="0" w:name="Body Text Indent 2" w:locked="1"/>
    <w:lsdException w:qFormat="1" w:unhideWhenUsed="0" w:uiPriority="0" w:semiHidden="0" w:name="Body Text Indent 3" w:locked="1"/>
    <w:lsdException w:unhideWhenUsed="0" w:uiPriority="0" w:semiHidden="0" w:name="Block Text" w:locked="1"/>
    <w:lsdException w:unhideWhenUsed="0" w:uiPriority="0" w:semiHidden="0" w:name="Hyperlink" w:locked="1"/>
    <w:lsdException w:unhideWhenUsed="0" w:uiPriority="0" w:semiHidden="0" w:name="FollowedHyperlink" w:locked="1"/>
    <w:lsdException w:qFormat="1" w:unhideWhenUsed="0" w:uiPriority="0" w:semiHidden="0" w:name="Strong" w:locked="1"/>
    <w:lsdException w:qFormat="1" w:unhideWhenUsed="0" w:uiPriority="0" w:semiHidden="0" w:name="Emphasis" w:locked="1"/>
    <w:lsdException w:unhideWhenUsed="0" w:uiPriority="0" w:semiHidden="0" w:name="Document Map" w:locked="1"/>
    <w:lsdException w:qFormat="1" w:uiPriority="99" w:semiHidden="0" w:name="Plain Text" w:locked="1"/>
    <w:lsdException w:unhideWhenUsed="0" w:uiPriority="0" w:semiHidden="0" w:name="E-mail Signature" w:locked="1"/>
    <w:lsdException w:qFormat="1" w:unhideWhenUsed="0" w:uiPriority="99"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iPriority="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iPriority="99" w:name="Normal Table"/>
    <w:lsdException w:qFormat="1" w:unhideWhenUsed="0" w:uiPriority="0" w:name="annotation subject"/>
    <w:lsdException w:uiPriority="0" w:name="Table Simple 1" w:locked="1"/>
    <w:lsdException w:uiPriority="0" w:name="Table Simple 2" w:locked="1"/>
    <w:lsdException w:uiPriority="0" w:name="Table Simple 3" w:locked="1"/>
    <w:lsdException w:uiPriority="0" w:name="Table Classic 1" w:locked="1"/>
    <w:lsdException w:uiPriority="0" w:name="Table Classic 2" w:locked="1"/>
    <w:lsdException w:uiPriority="0" w:name="Table Classic 3" w:locked="1"/>
    <w:lsdException w:uiPriority="0" w:name="Table Classic 4" w:locked="1"/>
    <w:lsdException w:uiPriority="0" w:name="Table Colorful 1" w:locked="1"/>
    <w:lsdException w:uiPriority="0" w:name="Table Colorful 2" w:locked="1"/>
    <w:lsdException w:uiPriority="0" w:name="Table Colorful 3" w:locked="1"/>
    <w:lsdException w:uiPriority="0" w:name="Table Columns 1" w:locked="1"/>
    <w:lsdException w:uiPriority="0" w:name="Table Columns 2" w:locked="1"/>
    <w:lsdException w:uiPriority="0" w:name="Table Columns 3" w:locked="1"/>
    <w:lsdException w:uiPriority="0" w:name="Table Columns 4" w:locked="1"/>
    <w:lsdException w:uiPriority="0" w:name="Table Columns 5" w:locked="1"/>
    <w:lsdException w:uiPriority="0" w:name="Table Grid 1" w:locked="1"/>
    <w:lsdException w:uiPriority="0" w:name="Table Grid 2" w:locked="1"/>
    <w:lsdException w:uiPriority="0" w:name="Table Grid 3" w:locked="1"/>
    <w:lsdException w:uiPriority="0" w:name="Table Grid 4" w:locked="1"/>
    <w:lsdException w:uiPriority="0" w:name="Table Grid 5" w:locked="1"/>
    <w:lsdException w:uiPriority="0" w:name="Table Grid 6" w:locked="1"/>
    <w:lsdException w:uiPriority="0" w:name="Table Grid 7" w:locked="1"/>
    <w:lsdException w:uiPriority="0" w:name="Table Grid 8" w:locked="1"/>
    <w:lsdException w:uiPriority="0" w:name="Table List 1" w:locked="1"/>
    <w:lsdException w:uiPriority="0" w:name="Table List 2" w:locked="1"/>
    <w:lsdException w:uiPriority="0" w:name="Table List 3" w:locked="1"/>
    <w:lsdException w:uiPriority="0" w:name="Table List 4" w:locked="1"/>
    <w:lsdException w:uiPriority="0" w:name="Table List 5" w:locked="1"/>
    <w:lsdException w:uiPriority="0" w:name="Table List 6" w:locked="1"/>
    <w:lsdException w:uiPriority="0" w:name="Table List 7" w:locked="1"/>
    <w:lsdException w:uiPriority="0" w:name="Table List 8" w:locked="1"/>
    <w:lsdException w:uiPriority="0" w:name="Table 3D effects 1" w:locked="1"/>
    <w:lsdException w:uiPriority="0" w:name="Table 3D effects 2" w:locked="1"/>
    <w:lsdException w:uiPriority="0" w:name="Table 3D effects 3" w:locked="1"/>
    <w:lsdException w:uiPriority="0" w:name="Table Contemporary" w:locked="1"/>
    <w:lsdException w:uiPriority="0" w:name="Table Elegant" w:locked="1"/>
    <w:lsdException w:uiPriority="0" w:name="Table Professional" w:locked="1"/>
    <w:lsdException w:uiPriority="0" w:name="Table Subtle 1" w:locked="1"/>
    <w:lsdException w:uiPriority="0" w:name="Table Subtle 2" w:locked="1"/>
    <w:lsdException w:uiPriority="0" w:name="Table Web 1" w:locked="1"/>
    <w:lsdException w:uiPriority="0" w:name="Table Web 2" w:locked="1"/>
    <w:lsdException w:uiPriority="0" w:name="Table Web 3" w:locked="1"/>
    <w:lsdException w:qFormat="1" w:unhideWhenUsed="0" w:uiPriority="0" w:name="Balloon Text"/>
    <w:lsdException w:qFormat="1" w:unhideWhenUsed="0" w:uiPriority="99" w:semiHidden="0" w:name="Table Grid"/>
    <w:lsdException w:uiPriority="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locked/>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3">
    <w:name w:val="heading 2"/>
    <w:basedOn w:val="1"/>
    <w:next w:val="1"/>
    <w:link w:val="55"/>
    <w:unhideWhenUsed/>
    <w:qFormat/>
    <w:locked/>
    <w:uiPriority w:val="9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2"/>
    <w:semiHidden/>
    <w:unhideWhenUsed/>
    <w:qFormat/>
    <w:locked/>
    <w:uiPriority w:val="0"/>
    <w:pPr>
      <w:keepNext/>
      <w:keepLines/>
      <w:spacing w:before="260" w:after="260" w:line="416" w:lineRule="auto"/>
      <w:outlineLvl w:val="2"/>
    </w:pPr>
    <w:rPr>
      <w:b/>
      <w:bCs/>
      <w:sz w:val="32"/>
      <w:szCs w:val="32"/>
    </w:rPr>
  </w:style>
  <w:style w:type="paragraph" w:styleId="5">
    <w:name w:val="heading 4"/>
    <w:basedOn w:val="1"/>
    <w:next w:val="1"/>
    <w:qFormat/>
    <w:locked/>
    <w:uiPriority w:val="9"/>
    <w:pPr>
      <w:keepNext/>
      <w:keepLines/>
      <w:adjustRightInd w:val="0"/>
      <w:snapToGrid w:val="0"/>
      <w:spacing w:line="376" w:lineRule="auto"/>
      <w:outlineLvl w:val="3"/>
    </w:pPr>
    <w:rPr>
      <w:rFonts w:ascii="Cambria" w:hAnsi="Cambria" w:eastAsia="微软雅黑" w:cs="Times New Roman"/>
      <w:b/>
      <w:bCs/>
      <w:sz w:val="28"/>
      <w:szCs w:val="28"/>
      <w:lang w:val="en-US" w:eastAsia="zh-CN" w:bidi="ar-SA"/>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6">
    <w:name w:val="Normal Indent"/>
    <w:basedOn w:val="1"/>
    <w:unhideWhenUsed/>
    <w:qFormat/>
    <w:locked/>
    <w:uiPriority w:val="99"/>
    <w:pPr>
      <w:spacing w:line="440" w:lineRule="exact"/>
      <w:ind w:firstLine="652"/>
    </w:pPr>
    <w:rPr>
      <w:rFonts w:ascii="Calibri" w:hAnsi="Calibri"/>
      <w:spacing w:val="20"/>
      <w:sz w:val="24"/>
    </w:rPr>
  </w:style>
  <w:style w:type="paragraph" w:styleId="7">
    <w:name w:val="caption"/>
    <w:basedOn w:val="1"/>
    <w:next w:val="1"/>
    <w:qFormat/>
    <w:locked/>
    <w:uiPriority w:val="99"/>
    <w:rPr>
      <w:rFonts w:ascii="Arial" w:hAnsi="Arial" w:eastAsia="黑体" w:cs="Arial"/>
      <w:sz w:val="20"/>
      <w:szCs w:val="20"/>
    </w:rPr>
  </w:style>
  <w:style w:type="paragraph" w:styleId="8">
    <w:name w:val="annotation text"/>
    <w:basedOn w:val="1"/>
    <w:link w:val="39"/>
    <w:qFormat/>
    <w:uiPriority w:val="99"/>
    <w:pPr>
      <w:jc w:val="left"/>
    </w:pPr>
    <w:rPr>
      <w:kern w:val="0"/>
      <w:sz w:val="24"/>
      <w:szCs w:val="20"/>
    </w:rPr>
  </w:style>
  <w:style w:type="paragraph" w:styleId="9">
    <w:name w:val="Salutation"/>
    <w:basedOn w:val="1"/>
    <w:next w:val="1"/>
    <w:link w:val="70"/>
    <w:unhideWhenUsed/>
    <w:qFormat/>
    <w:locked/>
    <w:uiPriority w:val="99"/>
    <w:rPr>
      <w:rFonts w:ascii="Calibri" w:hAnsi="Calibri"/>
      <w:sz w:val="28"/>
      <w:szCs w:val="28"/>
    </w:rPr>
  </w:style>
  <w:style w:type="paragraph" w:styleId="10">
    <w:name w:val="Body Text"/>
    <w:basedOn w:val="1"/>
    <w:link w:val="38"/>
    <w:qFormat/>
    <w:uiPriority w:val="99"/>
    <w:pPr>
      <w:widowControl/>
      <w:snapToGrid w:val="0"/>
      <w:spacing w:before="60" w:after="160" w:line="259" w:lineRule="auto"/>
      <w:ind w:right="113"/>
    </w:pPr>
    <w:rPr>
      <w:kern w:val="0"/>
      <w:sz w:val="18"/>
      <w:szCs w:val="20"/>
    </w:rPr>
  </w:style>
  <w:style w:type="paragraph" w:styleId="11">
    <w:name w:val="Body Text Indent"/>
    <w:basedOn w:val="1"/>
    <w:link w:val="47"/>
    <w:qFormat/>
    <w:uiPriority w:val="99"/>
    <w:pPr>
      <w:spacing w:after="120"/>
      <w:ind w:left="420" w:leftChars="200"/>
    </w:pPr>
    <w:rPr>
      <w:kern w:val="0"/>
      <w:sz w:val="24"/>
      <w:szCs w:val="20"/>
    </w:rPr>
  </w:style>
  <w:style w:type="paragraph" w:styleId="12">
    <w:name w:val="Plain Text"/>
    <w:basedOn w:val="1"/>
    <w:next w:val="9"/>
    <w:link w:val="93"/>
    <w:unhideWhenUsed/>
    <w:qFormat/>
    <w:locked/>
    <w:uiPriority w:val="99"/>
    <w:rPr>
      <w:rFonts w:ascii="宋体" w:hAnsi="Courier New"/>
      <w:szCs w:val="21"/>
    </w:rPr>
  </w:style>
  <w:style w:type="paragraph" w:styleId="13">
    <w:name w:val="Date"/>
    <w:basedOn w:val="1"/>
    <w:next w:val="1"/>
    <w:link w:val="34"/>
    <w:qFormat/>
    <w:uiPriority w:val="0"/>
    <w:pPr>
      <w:ind w:left="100" w:leftChars="2500"/>
    </w:pPr>
    <w:rPr>
      <w:kern w:val="0"/>
      <w:sz w:val="24"/>
      <w:szCs w:val="20"/>
    </w:rPr>
  </w:style>
  <w:style w:type="paragraph" w:styleId="14">
    <w:name w:val="Body Text Indent 2"/>
    <w:basedOn w:val="1"/>
    <w:next w:val="15"/>
    <w:link w:val="59"/>
    <w:unhideWhenUsed/>
    <w:qFormat/>
    <w:locked/>
    <w:uiPriority w:val="99"/>
    <w:pPr>
      <w:spacing w:before="100" w:beforeAutospacing="1" w:after="120" w:line="480" w:lineRule="auto"/>
      <w:ind w:left="420" w:leftChars="200"/>
    </w:pPr>
    <w:rPr>
      <w:szCs w:val="21"/>
    </w:rPr>
  </w:style>
  <w:style w:type="paragraph" w:customStyle="1" w:styleId="15">
    <w:name w:val="正文首行缩进 21"/>
    <w:basedOn w:val="11"/>
    <w:next w:val="1"/>
    <w:qFormat/>
    <w:uiPriority w:val="0"/>
    <w:pPr>
      <w:spacing w:before="100" w:beforeAutospacing="1" w:after="100" w:afterAutospacing="1"/>
      <w:ind w:firstLine="420" w:firstLineChars="200"/>
    </w:pPr>
    <w:rPr>
      <w:rFonts w:ascii="宋体"/>
      <w:kern w:val="2"/>
      <w:sz w:val="21"/>
      <w:szCs w:val="21"/>
    </w:rPr>
  </w:style>
  <w:style w:type="paragraph" w:styleId="16">
    <w:name w:val="Balloon Text"/>
    <w:basedOn w:val="1"/>
    <w:link w:val="43"/>
    <w:semiHidden/>
    <w:qFormat/>
    <w:uiPriority w:val="0"/>
    <w:rPr>
      <w:kern w:val="0"/>
      <w:sz w:val="18"/>
      <w:szCs w:val="20"/>
    </w:rPr>
  </w:style>
  <w:style w:type="paragraph" w:styleId="17">
    <w:name w:val="footer"/>
    <w:basedOn w:val="1"/>
    <w:link w:val="33"/>
    <w:qFormat/>
    <w:uiPriority w:val="99"/>
    <w:pPr>
      <w:tabs>
        <w:tab w:val="center" w:pos="4153"/>
        <w:tab w:val="right" w:pos="8306"/>
      </w:tabs>
      <w:snapToGrid w:val="0"/>
      <w:jc w:val="left"/>
    </w:pPr>
    <w:rPr>
      <w:kern w:val="0"/>
      <w:sz w:val="18"/>
      <w:szCs w:val="20"/>
    </w:rPr>
  </w:style>
  <w:style w:type="paragraph" w:styleId="18">
    <w:name w:val="header"/>
    <w:basedOn w:val="1"/>
    <w:link w:val="45"/>
    <w:qFormat/>
    <w:uiPriority w:val="0"/>
    <w:pPr>
      <w:pBdr>
        <w:bottom w:val="single" w:color="auto" w:sz="6" w:space="1"/>
      </w:pBdr>
      <w:tabs>
        <w:tab w:val="center" w:pos="4153"/>
        <w:tab w:val="right" w:pos="8306"/>
      </w:tabs>
      <w:snapToGrid w:val="0"/>
      <w:jc w:val="center"/>
    </w:pPr>
    <w:rPr>
      <w:kern w:val="0"/>
      <w:sz w:val="18"/>
      <w:szCs w:val="20"/>
    </w:rPr>
  </w:style>
  <w:style w:type="paragraph" w:styleId="19">
    <w:name w:val="index heading"/>
    <w:basedOn w:val="1"/>
    <w:next w:val="20"/>
    <w:unhideWhenUsed/>
    <w:qFormat/>
    <w:locked/>
    <w:uiPriority w:val="99"/>
    <w:rPr>
      <w:rFonts w:ascii="Arial" w:hAnsi="Arial" w:cs="Arial"/>
      <w:b/>
      <w:bCs/>
      <w:sz w:val="28"/>
      <w:szCs w:val="28"/>
    </w:rPr>
  </w:style>
  <w:style w:type="paragraph" w:styleId="20">
    <w:name w:val="index 1"/>
    <w:basedOn w:val="1"/>
    <w:next w:val="1"/>
    <w:qFormat/>
    <w:locked/>
    <w:uiPriority w:val="0"/>
  </w:style>
  <w:style w:type="paragraph" w:styleId="21">
    <w:name w:val="Body Text Indent 3"/>
    <w:basedOn w:val="1"/>
    <w:link w:val="68"/>
    <w:qFormat/>
    <w:locked/>
    <w:uiPriority w:val="0"/>
    <w:pPr>
      <w:spacing w:after="120"/>
      <w:ind w:left="420" w:leftChars="200"/>
    </w:pPr>
    <w:rPr>
      <w:sz w:val="16"/>
      <w:szCs w:val="16"/>
    </w:rPr>
  </w:style>
  <w:style w:type="paragraph" w:styleId="22">
    <w:name w:val="table of figures"/>
    <w:basedOn w:val="1"/>
    <w:next w:val="1"/>
    <w:unhideWhenUsed/>
    <w:qFormat/>
    <w:locked/>
    <w:uiPriority w:val="99"/>
    <w:pPr>
      <w:spacing w:before="100" w:beforeAutospacing="1" w:after="100" w:afterAutospacing="1"/>
      <w:ind w:left="200" w:leftChars="200" w:hanging="200" w:hangingChars="200"/>
    </w:pPr>
    <w:rPr>
      <w:rFonts w:ascii="Calibri" w:hAnsi="Calibri"/>
      <w:szCs w:val="21"/>
    </w:rPr>
  </w:style>
  <w:style w:type="paragraph" w:styleId="23">
    <w:name w:val="Body Text 2"/>
    <w:basedOn w:val="1"/>
    <w:link w:val="51"/>
    <w:unhideWhenUsed/>
    <w:qFormat/>
    <w:locked/>
    <w:uiPriority w:val="99"/>
    <w:pPr>
      <w:spacing w:before="100" w:beforeAutospacing="1" w:after="120" w:line="480" w:lineRule="auto"/>
    </w:pPr>
    <w:rPr>
      <w:szCs w:val="21"/>
    </w:rPr>
  </w:style>
  <w:style w:type="paragraph" w:styleId="24">
    <w:name w:val="Normal (Web)"/>
    <w:basedOn w:val="1"/>
    <w:link w:val="36"/>
    <w:qFormat/>
    <w:uiPriority w:val="99"/>
    <w:pPr>
      <w:widowControl/>
      <w:spacing w:before="100" w:beforeAutospacing="1" w:after="100" w:afterAutospacing="1"/>
      <w:jc w:val="left"/>
    </w:pPr>
    <w:rPr>
      <w:rFonts w:ascii="宋体" w:hAnsi="宋体"/>
      <w:kern w:val="0"/>
      <w:sz w:val="24"/>
      <w:szCs w:val="20"/>
    </w:rPr>
  </w:style>
  <w:style w:type="paragraph" w:styleId="25">
    <w:name w:val="annotation subject"/>
    <w:basedOn w:val="8"/>
    <w:next w:val="8"/>
    <w:link w:val="44"/>
    <w:semiHidden/>
    <w:qFormat/>
    <w:uiPriority w:val="0"/>
    <w:rPr>
      <w:b/>
    </w:rPr>
  </w:style>
  <w:style w:type="table" w:styleId="27">
    <w:name w:val="Table Grid"/>
    <w:basedOn w:val="26"/>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page number"/>
    <w:basedOn w:val="28"/>
    <w:qFormat/>
    <w:locked/>
    <w:uiPriority w:val="0"/>
  </w:style>
  <w:style w:type="character" w:styleId="30">
    <w:name w:val="annotation reference"/>
    <w:semiHidden/>
    <w:qFormat/>
    <w:uiPriority w:val="0"/>
    <w:rPr>
      <w:sz w:val="21"/>
    </w:rPr>
  </w:style>
  <w:style w:type="paragraph" w:customStyle="1" w:styleId="31">
    <w:name w:val="Default"/>
    <w:next w:val="1"/>
    <w:qFormat/>
    <w:uiPriority w:val="0"/>
    <w:pPr>
      <w:widowControl w:val="0"/>
      <w:autoSpaceDE w:val="0"/>
      <w:autoSpaceDN w:val="0"/>
      <w:adjustRightInd w:val="0"/>
      <w:jc w:val="center"/>
    </w:pPr>
    <w:rPr>
      <w:rFonts w:ascii="仿宋_GB2312" w:hAnsi="仿宋_GB2312" w:eastAsia="宋体" w:cs="仿宋_GB2312"/>
      <w:color w:val="000000"/>
      <w:sz w:val="24"/>
      <w:szCs w:val="24"/>
      <w:lang w:val="en-US" w:eastAsia="zh-CN" w:bidi="ar-SA"/>
    </w:rPr>
  </w:style>
  <w:style w:type="character" w:customStyle="1" w:styleId="32">
    <w:name w:val="标题 3 字符"/>
    <w:basedOn w:val="28"/>
    <w:link w:val="4"/>
    <w:semiHidden/>
    <w:qFormat/>
    <w:uiPriority w:val="0"/>
    <w:rPr>
      <w:b/>
      <w:bCs/>
      <w:kern w:val="2"/>
      <w:sz w:val="32"/>
      <w:szCs w:val="32"/>
    </w:rPr>
  </w:style>
  <w:style w:type="character" w:customStyle="1" w:styleId="33">
    <w:name w:val="页脚 字符1"/>
    <w:link w:val="17"/>
    <w:qFormat/>
    <w:locked/>
    <w:uiPriority w:val="99"/>
    <w:rPr>
      <w:sz w:val="18"/>
    </w:rPr>
  </w:style>
  <w:style w:type="character" w:customStyle="1" w:styleId="34">
    <w:name w:val="日期 字符1"/>
    <w:link w:val="13"/>
    <w:qFormat/>
    <w:locked/>
    <w:uiPriority w:val="0"/>
    <w:rPr>
      <w:rFonts w:ascii="Times New Roman" w:hAnsi="Times New Roman" w:eastAsia="宋体"/>
      <w:sz w:val="24"/>
    </w:rPr>
  </w:style>
  <w:style w:type="character" w:customStyle="1" w:styleId="35">
    <w:name w:val="页脚 字符"/>
    <w:basedOn w:val="28"/>
    <w:qFormat/>
    <w:uiPriority w:val="99"/>
  </w:style>
  <w:style w:type="character" w:customStyle="1" w:styleId="36">
    <w:name w:val="普通(网站) 字符"/>
    <w:link w:val="24"/>
    <w:qFormat/>
    <w:locked/>
    <w:uiPriority w:val="0"/>
    <w:rPr>
      <w:rFonts w:ascii="宋体" w:hAnsi="宋体" w:eastAsia="宋体"/>
      <w:sz w:val="24"/>
    </w:rPr>
  </w:style>
  <w:style w:type="character" w:customStyle="1" w:styleId="37">
    <w:name w:val="正文文本 字符1"/>
    <w:semiHidden/>
    <w:qFormat/>
    <w:uiPriority w:val="0"/>
    <w:rPr>
      <w:rFonts w:ascii="Times New Roman" w:hAnsi="Times New Roman" w:eastAsia="宋体"/>
      <w:sz w:val="24"/>
    </w:rPr>
  </w:style>
  <w:style w:type="character" w:customStyle="1" w:styleId="38">
    <w:name w:val="正文文本 字符"/>
    <w:link w:val="10"/>
    <w:qFormat/>
    <w:locked/>
    <w:uiPriority w:val="99"/>
    <w:rPr>
      <w:sz w:val="18"/>
    </w:rPr>
  </w:style>
  <w:style w:type="character" w:customStyle="1" w:styleId="39">
    <w:name w:val="批注文字 字符"/>
    <w:link w:val="8"/>
    <w:qFormat/>
    <w:locked/>
    <w:uiPriority w:val="99"/>
    <w:rPr>
      <w:rFonts w:ascii="Times New Roman" w:hAnsi="Times New Roman" w:eastAsia="宋体"/>
      <w:sz w:val="24"/>
    </w:rPr>
  </w:style>
  <w:style w:type="character" w:customStyle="1" w:styleId="40">
    <w:name w:val="表格 Char"/>
    <w:link w:val="41"/>
    <w:qFormat/>
    <w:locked/>
    <w:uiPriority w:val="0"/>
    <w:rPr>
      <w:rFonts w:ascii="宋体"/>
      <w:sz w:val="21"/>
    </w:rPr>
  </w:style>
  <w:style w:type="paragraph" w:customStyle="1" w:styleId="41">
    <w:name w:val="表格"/>
    <w:basedOn w:val="1"/>
    <w:next w:val="1"/>
    <w:link w:val="40"/>
    <w:qFormat/>
    <w:uiPriority w:val="0"/>
    <w:pPr>
      <w:adjustRightInd w:val="0"/>
      <w:snapToGrid w:val="0"/>
      <w:spacing w:beforeLines="10" w:afterLines="10" w:line="259" w:lineRule="auto"/>
      <w:jc w:val="center"/>
    </w:pPr>
    <w:rPr>
      <w:rFonts w:ascii="宋体"/>
      <w:kern w:val="0"/>
      <w:szCs w:val="20"/>
    </w:rPr>
  </w:style>
  <w:style w:type="character" w:customStyle="1" w:styleId="42">
    <w:name w:val="日期 字符"/>
    <w:semiHidden/>
    <w:qFormat/>
    <w:uiPriority w:val="0"/>
    <w:rPr>
      <w:rFonts w:ascii="Times New Roman" w:hAnsi="Times New Roman" w:eastAsia="宋体"/>
      <w:sz w:val="24"/>
    </w:rPr>
  </w:style>
  <w:style w:type="character" w:customStyle="1" w:styleId="43">
    <w:name w:val="批注框文本 字符"/>
    <w:link w:val="16"/>
    <w:semiHidden/>
    <w:qFormat/>
    <w:locked/>
    <w:uiPriority w:val="0"/>
    <w:rPr>
      <w:rFonts w:ascii="Times New Roman" w:hAnsi="Times New Roman" w:eastAsia="宋体"/>
      <w:sz w:val="18"/>
    </w:rPr>
  </w:style>
  <w:style w:type="character" w:customStyle="1" w:styleId="44">
    <w:name w:val="批注主题 字符"/>
    <w:link w:val="25"/>
    <w:semiHidden/>
    <w:qFormat/>
    <w:locked/>
    <w:uiPriority w:val="0"/>
    <w:rPr>
      <w:rFonts w:ascii="Times New Roman" w:hAnsi="Times New Roman" w:eastAsia="宋体"/>
      <w:b/>
      <w:kern w:val="2"/>
      <w:sz w:val="24"/>
    </w:rPr>
  </w:style>
  <w:style w:type="character" w:customStyle="1" w:styleId="45">
    <w:name w:val="页眉 字符"/>
    <w:link w:val="18"/>
    <w:qFormat/>
    <w:locked/>
    <w:uiPriority w:val="0"/>
    <w:rPr>
      <w:sz w:val="18"/>
    </w:rPr>
  </w:style>
  <w:style w:type="character" w:customStyle="1" w:styleId="46">
    <w:name w:val="批注文字 字符1"/>
    <w:semiHidden/>
    <w:qFormat/>
    <w:uiPriority w:val="0"/>
    <w:rPr>
      <w:rFonts w:ascii="Times New Roman" w:hAnsi="Times New Roman" w:eastAsia="宋体"/>
      <w:sz w:val="24"/>
    </w:rPr>
  </w:style>
  <w:style w:type="character" w:customStyle="1" w:styleId="47">
    <w:name w:val="正文文本缩进 字符"/>
    <w:link w:val="11"/>
    <w:qFormat/>
    <w:locked/>
    <w:uiPriority w:val="99"/>
    <w:rPr>
      <w:rFonts w:ascii="Times New Roman" w:hAnsi="Times New Roman" w:eastAsia="宋体"/>
      <w:sz w:val="24"/>
    </w:rPr>
  </w:style>
  <w:style w:type="paragraph" w:customStyle="1" w:styleId="48">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49">
    <w:name w:val="普通(网站)2"/>
    <w:basedOn w:val="1"/>
    <w:qFormat/>
    <w:uiPriority w:val="0"/>
    <w:pPr>
      <w:widowControl/>
      <w:spacing w:before="100" w:beforeAutospacing="1" w:after="100" w:afterAutospacing="1"/>
      <w:jc w:val="left"/>
    </w:pPr>
    <w:rPr>
      <w:rFonts w:ascii="宋体" w:hAnsi="宋体"/>
      <w:sz w:val="24"/>
      <w:szCs w:val="20"/>
    </w:rPr>
  </w:style>
  <w:style w:type="paragraph" w:customStyle="1" w:styleId="50">
    <w:name w:val="样式 标题 3 + 段前: 0.5 行"/>
    <w:basedOn w:val="4"/>
    <w:qFormat/>
    <w:uiPriority w:val="0"/>
    <w:pPr>
      <w:keepNext w:val="0"/>
      <w:keepLines w:val="0"/>
      <w:tabs>
        <w:tab w:val="left" w:pos="142"/>
        <w:tab w:val="left" w:pos="1080"/>
      </w:tabs>
      <w:autoSpaceDE w:val="0"/>
      <w:autoSpaceDN w:val="0"/>
      <w:spacing w:before="50" w:beforeLines="100" w:after="0" w:line="360" w:lineRule="auto"/>
      <w:ind w:left="227" w:hanging="227"/>
      <w:textAlignment w:val="baseline"/>
    </w:pPr>
    <w:rPr>
      <w:rFonts w:hAnsi="Calibri" w:eastAsia="黑体" w:cs="宋体"/>
      <w:bCs w:val="0"/>
      <w:kern w:val="0"/>
      <w:szCs w:val="30"/>
    </w:rPr>
  </w:style>
  <w:style w:type="character" w:customStyle="1" w:styleId="51">
    <w:name w:val="正文文本 2 字符"/>
    <w:basedOn w:val="28"/>
    <w:link w:val="23"/>
    <w:qFormat/>
    <w:uiPriority w:val="99"/>
    <w:rPr>
      <w:kern w:val="2"/>
      <w:sz w:val="21"/>
      <w:szCs w:val="21"/>
    </w:rPr>
  </w:style>
  <w:style w:type="paragraph" w:customStyle="1" w:styleId="52">
    <w:name w:val="样式 五号 居中"/>
    <w:basedOn w:val="1"/>
    <w:qFormat/>
    <w:uiPriority w:val="0"/>
    <w:pPr>
      <w:jc w:val="center"/>
    </w:pPr>
    <w:rPr>
      <w:rFonts w:cs="宋体"/>
      <w:szCs w:val="21"/>
    </w:rPr>
  </w:style>
  <w:style w:type="paragraph" w:customStyle="1" w:styleId="53">
    <w:name w:val="样式35"/>
    <w:basedOn w:val="1"/>
    <w:qFormat/>
    <w:uiPriority w:val="0"/>
    <w:pPr>
      <w:adjustRightInd w:val="0"/>
      <w:spacing w:line="312" w:lineRule="auto"/>
      <w:ind w:firstLine="567"/>
    </w:pPr>
    <w:rPr>
      <w:rFonts w:ascii="宋体" w:hAnsi="Calibri"/>
      <w:kern w:val="0"/>
      <w:sz w:val="28"/>
      <w:szCs w:val="28"/>
    </w:rPr>
  </w:style>
  <w:style w:type="paragraph" w:customStyle="1" w:styleId="54">
    <w:name w:val="Table Paragraph"/>
    <w:basedOn w:val="1"/>
    <w:qFormat/>
    <w:uiPriority w:val="0"/>
    <w:pPr>
      <w:jc w:val="left"/>
    </w:pPr>
    <w:rPr>
      <w:rFonts w:ascii="Calibri" w:hAnsi="Calibri"/>
      <w:kern w:val="0"/>
      <w:sz w:val="22"/>
      <w:szCs w:val="22"/>
    </w:rPr>
  </w:style>
  <w:style w:type="character" w:customStyle="1" w:styleId="55">
    <w:name w:val="标题 2 字符"/>
    <w:basedOn w:val="28"/>
    <w:link w:val="3"/>
    <w:qFormat/>
    <w:uiPriority w:val="99"/>
    <w:rPr>
      <w:rFonts w:asciiTheme="majorHAnsi" w:hAnsiTheme="majorHAnsi" w:eastAsiaTheme="majorEastAsia" w:cstheme="majorBidi"/>
      <w:b/>
      <w:bCs/>
      <w:kern w:val="2"/>
      <w:sz w:val="32"/>
      <w:szCs w:val="32"/>
    </w:rPr>
  </w:style>
  <w:style w:type="paragraph" w:customStyle="1" w:styleId="56">
    <w:name w:val="msonormal"/>
    <w:basedOn w:val="1"/>
    <w:qFormat/>
    <w:uiPriority w:val="0"/>
    <w:pPr>
      <w:widowControl/>
      <w:spacing w:before="100" w:beforeAutospacing="1" w:after="100" w:afterAutospacing="1"/>
      <w:jc w:val="left"/>
    </w:pPr>
    <w:rPr>
      <w:rFonts w:ascii="宋体" w:hAnsi="宋体" w:cs="宋体"/>
      <w:kern w:val="0"/>
      <w:sz w:val="24"/>
    </w:rPr>
  </w:style>
  <w:style w:type="paragraph" w:customStyle="1" w:styleId="57">
    <w:name w:val="表格内部"/>
    <w:basedOn w:val="1"/>
    <w:qFormat/>
    <w:uiPriority w:val="0"/>
    <w:pPr>
      <w:jc w:val="center"/>
    </w:pPr>
    <w:rPr>
      <w:kern w:val="0"/>
      <w:szCs w:val="21"/>
    </w:rPr>
  </w:style>
  <w:style w:type="paragraph" w:customStyle="1" w:styleId="58">
    <w:name w:val="表内容"/>
    <w:basedOn w:val="1"/>
    <w:next w:val="1"/>
    <w:qFormat/>
    <w:uiPriority w:val="0"/>
    <w:pPr>
      <w:jc w:val="center"/>
    </w:pPr>
    <w:rPr>
      <w:szCs w:val="21"/>
    </w:rPr>
  </w:style>
  <w:style w:type="character" w:customStyle="1" w:styleId="59">
    <w:name w:val="正文文本缩进 2 字符"/>
    <w:basedOn w:val="28"/>
    <w:link w:val="14"/>
    <w:qFormat/>
    <w:uiPriority w:val="99"/>
    <w:rPr>
      <w:kern w:val="2"/>
      <w:sz w:val="21"/>
      <w:szCs w:val="21"/>
    </w:rPr>
  </w:style>
  <w:style w:type="character" w:customStyle="1" w:styleId="60">
    <w:name w:val="10"/>
    <w:basedOn w:val="28"/>
    <w:qFormat/>
    <w:uiPriority w:val="0"/>
    <w:rPr>
      <w:rFonts w:hint="default" w:ascii="Times New Roman" w:hAnsi="Times New Roman" w:cs="Times New Roman"/>
    </w:rPr>
  </w:style>
  <w:style w:type="character" w:customStyle="1" w:styleId="61">
    <w:name w:val="15"/>
    <w:basedOn w:val="28"/>
    <w:qFormat/>
    <w:uiPriority w:val="0"/>
    <w:rPr>
      <w:rFonts w:hint="default" w:ascii="Times New Roman" w:hAnsi="Times New Roman" w:cs="Times New Roman"/>
    </w:rPr>
  </w:style>
  <w:style w:type="paragraph" w:customStyle="1" w:styleId="62">
    <w:name w:val="正文 + 仿宋_GB2312"/>
    <w:basedOn w:val="1"/>
    <w:qFormat/>
    <w:uiPriority w:val="0"/>
    <w:pPr>
      <w:ind w:firstLine="480" w:firstLineChars="200"/>
    </w:pPr>
    <w:rPr>
      <w:rFonts w:ascii="仿宋_GB2312" w:hAnsi="Calibri" w:eastAsia="仿宋_GB2312"/>
      <w:sz w:val="24"/>
    </w:rPr>
  </w:style>
  <w:style w:type="paragraph" w:customStyle="1" w:styleId="63">
    <w:name w:val="List Paragraph1"/>
    <w:basedOn w:val="1"/>
    <w:qFormat/>
    <w:uiPriority w:val="0"/>
    <w:pPr>
      <w:ind w:firstLine="420" w:firstLineChars="200"/>
    </w:pPr>
    <w:rPr>
      <w:szCs w:val="21"/>
    </w:rPr>
  </w:style>
  <w:style w:type="paragraph" w:styleId="64">
    <w:name w:val="List Paragraph"/>
    <w:basedOn w:val="1"/>
    <w:qFormat/>
    <w:uiPriority w:val="99"/>
    <w:pPr>
      <w:ind w:firstLine="420" w:firstLineChars="200"/>
    </w:pPr>
  </w:style>
  <w:style w:type="paragraph" w:customStyle="1" w:styleId="65">
    <w:name w:val="目录22222222"/>
    <w:basedOn w:val="1"/>
    <w:qFormat/>
    <w:uiPriority w:val="0"/>
    <w:pPr>
      <w:keepNext/>
      <w:keepLines/>
      <w:spacing w:line="480" w:lineRule="exact"/>
      <w:jc w:val="left"/>
      <w:outlineLvl w:val="1"/>
    </w:pPr>
    <w:rPr>
      <w:rFonts w:ascii="Arial" w:hAnsi="Arial" w:eastAsia="黑体"/>
      <w:bCs/>
      <w:sz w:val="28"/>
      <w:szCs w:val="28"/>
    </w:rPr>
  </w:style>
  <w:style w:type="paragraph" w:customStyle="1" w:styleId="66">
    <w:name w:val="表内文字"/>
    <w:basedOn w:val="1"/>
    <w:qFormat/>
    <w:uiPriority w:val="0"/>
    <w:pPr>
      <w:adjustRightInd w:val="0"/>
      <w:jc w:val="center"/>
      <w:textAlignment w:val="baseline"/>
    </w:pPr>
    <w:rPr>
      <w:szCs w:val="21"/>
    </w:rPr>
  </w:style>
  <w:style w:type="paragraph" w:customStyle="1" w:styleId="67">
    <w:name w:val="Lux 正文"/>
    <w:basedOn w:val="1"/>
    <w:qFormat/>
    <w:uiPriority w:val="0"/>
    <w:pPr>
      <w:ind w:firstLine="200"/>
    </w:pPr>
    <w:rPr>
      <w:kern w:val="0"/>
      <w:szCs w:val="21"/>
    </w:rPr>
  </w:style>
  <w:style w:type="character" w:customStyle="1" w:styleId="68">
    <w:name w:val="正文文本缩进 3 字符"/>
    <w:basedOn w:val="28"/>
    <w:link w:val="21"/>
    <w:qFormat/>
    <w:uiPriority w:val="0"/>
    <w:rPr>
      <w:kern w:val="2"/>
      <w:sz w:val="16"/>
      <w:szCs w:val="16"/>
    </w:rPr>
  </w:style>
  <w:style w:type="paragraph" w:customStyle="1" w:styleId="69">
    <w:name w:val="表头"/>
    <w:basedOn w:val="1"/>
    <w:next w:val="1"/>
    <w:qFormat/>
    <w:uiPriority w:val="0"/>
    <w:pPr>
      <w:spacing w:line="420" w:lineRule="exact"/>
      <w:jc w:val="center"/>
    </w:pPr>
    <w:rPr>
      <w:rFonts w:ascii="Calibri" w:hAnsi="宋体"/>
      <w:b/>
      <w:color w:val="000000"/>
      <w:position w:val="2"/>
      <w:sz w:val="24"/>
    </w:rPr>
  </w:style>
  <w:style w:type="character" w:customStyle="1" w:styleId="70">
    <w:name w:val="称呼 字符"/>
    <w:basedOn w:val="28"/>
    <w:link w:val="9"/>
    <w:qFormat/>
    <w:uiPriority w:val="99"/>
    <w:rPr>
      <w:rFonts w:ascii="Calibri" w:hAnsi="Calibri"/>
      <w:kern w:val="2"/>
      <w:sz w:val="28"/>
      <w:szCs w:val="28"/>
    </w:rPr>
  </w:style>
  <w:style w:type="paragraph" w:customStyle="1" w:styleId="71">
    <w:name w:val="列表段落1"/>
    <w:basedOn w:val="1"/>
    <w:qFormat/>
    <w:uiPriority w:val="0"/>
    <w:pPr>
      <w:spacing w:before="1" w:after="100" w:afterAutospacing="1"/>
      <w:ind w:left="285" w:hanging="602"/>
    </w:pPr>
    <w:rPr>
      <w:rFonts w:ascii="宋体" w:hAnsi="宋体" w:cs="宋体"/>
      <w:sz w:val="28"/>
      <w:szCs w:val="28"/>
    </w:rPr>
  </w:style>
  <w:style w:type="paragraph" w:customStyle="1" w:styleId="72">
    <w:name w:val="_Style 2"/>
    <w:basedOn w:val="1"/>
    <w:next w:val="1"/>
    <w:qFormat/>
    <w:uiPriority w:val="0"/>
    <w:pPr>
      <w:spacing w:line="360" w:lineRule="exact"/>
      <w:jc w:val="center"/>
    </w:pPr>
    <w:rPr>
      <w:rFonts w:ascii="Calibri" w:hAnsi="Calibri" w:cs="Calibri"/>
      <w:iCs/>
      <w:color w:val="000000"/>
      <w:szCs w:val="21"/>
    </w:rPr>
  </w:style>
  <w:style w:type="paragraph" w:customStyle="1" w:styleId="73">
    <w:name w:val="列出段落"/>
    <w:basedOn w:val="1"/>
    <w:qFormat/>
    <w:uiPriority w:val="0"/>
    <w:pPr>
      <w:ind w:firstLine="420" w:firstLineChars="200"/>
    </w:pPr>
    <w:rPr>
      <w:rFonts w:ascii="Calibri" w:hAnsi="Calibri" w:cs="Calibri"/>
      <w:szCs w:val="21"/>
    </w:rPr>
  </w:style>
  <w:style w:type="paragraph" w:customStyle="1" w:styleId="74">
    <w:name w:val="正文首行缩进 22"/>
    <w:basedOn w:val="11"/>
    <w:next w:val="1"/>
    <w:qFormat/>
    <w:uiPriority w:val="0"/>
    <w:pPr>
      <w:spacing w:before="100" w:beforeAutospacing="1"/>
      <w:ind w:firstLine="420" w:firstLineChars="200"/>
    </w:pPr>
    <w:rPr>
      <w:rFonts w:ascii="Calibri" w:hAnsi="Calibri" w:cs="Calibri"/>
      <w:kern w:val="2"/>
      <w:sz w:val="21"/>
      <w:szCs w:val="21"/>
    </w:rPr>
  </w:style>
  <w:style w:type="paragraph" w:customStyle="1" w:styleId="75">
    <w:name w:val="1"/>
    <w:basedOn w:val="1"/>
    <w:next w:val="6"/>
    <w:qFormat/>
    <w:uiPriority w:val="0"/>
    <w:pPr>
      <w:ind w:firstLine="420"/>
    </w:pPr>
    <w:rPr>
      <w:rFonts w:ascii="宋体" w:hAnsi="宋体" w:cs="宋体"/>
      <w:sz w:val="26"/>
      <w:szCs w:val="26"/>
    </w:rPr>
  </w:style>
  <w:style w:type="paragraph" w:customStyle="1" w:styleId="76">
    <w:name w:val="表文字"/>
    <w:basedOn w:val="1"/>
    <w:qFormat/>
    <w:uiPriority w:val="0"/>
    <w:pPr>
      <w:topLinePunct/>
      <w:adjustRightInd w:val="0"/>
      <w:spacing w:line="360" w:lineRule="exact"/>
      <w:jc w:val="center"/>
      <w:textAlignment w:val="baseline"/>
    </w:pPr>
    <w:rPr>
      <w:rFonts w:ascii="Calibri" w:hAnsi="Calibri" w:cs="Calibri"/>
      <w:kern w:val="0"/>
      <w:szCs w:val="21"/>
    </w:rPr>
  </w:style>
  <w:style w:type="paragraph" w:customStyle="1" w:styleId="77">
    <w:name w:val="表格内容自定"/>
    <w:basedOn w:val="1"/>
    <w:qFormat/>
    <w:uiPriority w:val="0"/>
    <w:pPr>
      <w:spacing w:line="280" w:lineRule="exact"/>
      <w:jc w:val="center"/>
    </w:pPr>
    <w:rPr>
      <w:rFonts w:ascii="Calibri" w:hAnsi="Calibri" w:cs="Calibri"/>
      <w:kern w:val="0"/>
      <w:sz w:val="18"/>
      <w:szCs w:val="18"/>
    </w:rPr>
  </w:style>
  <w:style w:type="paragraph" w:customStyle="1" w:styleId="78">
    <w:name w:val="中文报告书样式"/>
    <w:basedOn w:val="1"/>
    <w:qFormat/>
    <w:uiPriority w:val="0"/>
    <w:pPr>
      <w:adjustRightInd w:val="0"/>
      <w:spacing w:line="480" w:lineRule="atLeast"/>
      <w:ind w:firstLine="482"/>
      <w:textAlignment w:val="baseline"/>
    </w:pPr>
    <w:rPr>
      <w:rFonts w:ascii="仿宋_GB2312" w:hAnsi="宋体" w:eastAsia="仿宋_GB2312" w:cs="宋体"/>
      <w:kern w:val="24"/>
      <w:sz w:val="24"/>
    </w:rPr>
  </w:style>
  <w:style w:type="paragraph" w:customStyle="1" w:styleId="79">
    <w:name w:val="样式 12.5 磅 行距: 固定值 22 磅 首行缩进:  2 字符"/>
    <w:basedOn w:val="1"/>
    <w:qFormat/>
    <w:uiPriority w:val="0"/>
    <w:pPr>
      <w:spacing w:line="440" w:lineRule="exact"/>
      <w:ind w:firstLine="200" w:firstLineChars="200"/>
    </w:pPr>
    <w:rPr>
      <w:rFonts w:ascii="仿宋_GB2312" w:hAnsi="宋体" w:eastAsia="仿宋_GB2312" w:cs="宋体"/>
      <w:sz w:val="25"/>
      <w:szCs w:val="25"/>
    </w:rPr>
  </w:style>
  <w:style w:type="paragraph" w:customStyle="1" w:styleId="80">
    <w:name w:val="p0"/>
    <w:basedOn w:val="1"/>
    <w:qFormat/>
    <w:uiPriority w:val="0"/>
    <w:pPr>
      <w:widowControl/>
    </w:pPr>
    <w:rPr>
      <w:rFonts w:ascii="仿宋_GB2312" w:hAnsi="宋体" w:eastAsia="仿宋_GB2312" w:cs="宋体"/>
      <w:kern w:val="0"/>
      <w:szCs w:val="21"/>
    </w:rPr>
  </w:style>
  <w:style w:type="paragraph" w:customStyle="1" w:styleId="81">
    <w:name w:val="_Style 1036"/>
    <w:basedOn w:val="1"/>
    <w:next w:val="1"/>
    <w:qFormat/>
    <w:uiPriority w:val="0"/>
    <w:pPr>
      <w:widowControl/>
      <w:ind w:firstLine="420" w:firstLineChars="200"/>
      <w:jc w:val="left"/>
    </w:pPr>
    <w:rPr>
      <w:spacing w:val="-2"/>
      <w:kern w:val="0"/>
      <w:sz w:val="28"/>
      <w:szCs w:val="28"/>
    </w:rPr>
  </w:style>
  <w:style w:type="paragraph" w:customStyle="1" w:styleId="82">
    <w:name w:val="p15"/>
    <w:basedOn w:val="1"/>
    <w:qFormat/>
    <w:uiPriority w:val="0"/>
    <w:pPr>
      <w:widowControl/>
      <w:jc w:val="left"/>
    </w:pPr>
    <w:rPr>
      <w:rFonts w:ascii="仿宋_GB2312" w:hAnsi="宋体" w:eastAsia="仿宋_GB2312" w:cs="宋体"/>
      <w:kern w:val="0"/>
      <w:sz w:val="20"/>
      <w:szCs w:val="20"/>
    </w:rPr>
  </w:style>
  <w:style w:type="paragraph" w:customStyle="1" w:styleId="83">
    <w:name w:val="！正文"/>
    <w:basedOn w:val="1"/>
    <w:qFormat/>
    <w:uiPriority w:val="0"/>
    <w:pPr>
      <w:spacing w:line="360" w:lineRule="auto"/>
      <w:ind w:firstLine="480" w:firstLineChars="200"/>
    </w:pPr>
    <w:rPr>
      <w:rFonts w:ascii="宋体" w:cs="宋体"/>
      <w:kern w:val="0"/>
      <w:sz w:val="24"/>
    </w:rPr>
  </w:style>
  <w:style w:type="paragraph" w:customStyle="1" w:styleId="84">
    <w:name w:val="表格内容"/>
    <w:basedOn w:val="1"/>
    <w:qFormat/>
    <w:uiPriority w:val="0"/>
    <w:pPr>
      <w:widowControl/>
      <w:jc w:val="center"/>
    </w:pPr>
    <w:rPr>
      <w:kern w:val="0"/>
      <w:szCs w:val="21"/>
    </w:rPr>
  </w:style>
  <w:style w:type="paragraph" w:customStyle="1" w:styleId="85">
    <w:name w:val="样式 标题 2 + 自动设置"/>
    <w:basedOn w:val="3"/>
    <w:qFormat/>
    <w:uiPriority w:val="0"/>
    <w:pPr>
      <w:adjustRightInd w:val="0"/>
      <w:snapToGrid w:val="0"/>
      <w:spacing w:before="0" w:beforeLines="50" w:after="0" w:afterLines="50" w:line="240" w:lineRule="auto"/>
      <w:ind w:firstLine="540" w:firstLineChars="168"/>
    </w:pPr>
    <w:rPr>
      <w:rFonts w:ascii="Times New Roman" w:hAnsi="Times New Roman" w:eastAsia="黑体" w:cs="Times New Roman"/>
      <w:b w:val="0"/>
      <w:sz w:val="28"/>
      <w:szCs w:val="28"/>
    </w:rPr>
  </w:style>
  <w:style w:type="paragraph" w:customStyle="1" w:styleId="86">
    <w:name w:val="表格名称"/>
    <w:basedOn w:val="1"/>
    <w:qFormat/>
    <w:uiPriority w:val="0"/>
    <w:pPr>
      <w:spacing w:before="100" w:beforeAutospacing="1" w:after="100" w:afterAutospacing="1"/>
      <w:jc w:val="center"/>
    </w:pPr>
    <w:rPr>
      <w:b/>
      <w:sz w:val="28"/>
      <w:szCs w:val="28"/>
    </w:rPr>
  </w:style>
  <w:style w:type="paragraph" w:customStyle="1" w:styleId="87">
    <w:name w:val="A正文"/>
    <w:basedOn w:val="1"/>
    <w:qFormat/>
    <w:uiPriority w:val="0"/>
    <w:pPr>
      <w:adjustRightInd w:val="0"/>
      <w:snapToGrid w:val="0"/>
      <w:spacing w:line="360" w:lineRule="auto"/>
      <w:ind w:firstLine="480" w:firstLineChars="200"/>
    </w:pPr>
    <w:rPr>
      <w:rFonts w:ascii="Calibri" w:hAnsi="Calibri"/>
      <w:kern w:val="0"/>
      <w:sz w:val="24"/>
    </w:rPr>
  </w:style>
  <w:style w:type="paragraph" w:customStyle="1" w:styleId="88">
    <w:name w:val="表格标题"/>
    <w:basedOn w:val="7"/>
    <w:qFormat/>
    <w:uiPriority w:val="0"/>
    <w:pPr>
      <w:keepNext/>
      <w:spacing w:line="440" w:lineRule="exact"/>
      <w:jc w:val="center"/>
    </w:pPr>
    <w:rPr>
      <w:rFonts w:ascii="Times New Roman" w:hAnsi="宋体" w:eastAsia="宋体" w:cs="Times New Roman"/>
      <w:sz w:val="24"/>
      <w:szCs w:val="24"/>
    </w:rPr>
  </w:style>
  <w:style w:type="table" w:customStyle="1" w:styleId="89">
    <w:name w:val="Table Normal"/>
    <w:basedOn w:val="26"/>
    <w:qFormat/>
    <w:uiPriority w:val="0"/>
    <w:pPr>
      <w:widowControl w:val="0"/>
    </w:pPr>
    <w:rPr>
      <w:rFonts w:eastAsia="Times New Roman"/>
      <w:sz w:val="22"/>
      <w:szCs w:val="22"/>
      <w:lang w:eastAsia="en-US"/>
    </w:rPr>
    <w:tblPr>
      <w:tblCellMar>
        <w:left w:w="0" w:type="dxa"/>
        <w:right w:w="0" w:type="dxa"/>
      </w:tblCellMar>
    </w:tblPr>
  </w:style>
  <w:style w:type="paragraph" w:customStyle="1" w:styleId="90">
    <w:name w:val="列表段落2"/>
    <w:basedOn w:val="1"/>
    <w:qFormat/>
    <w:uiPriority w:val="0"/>
    <w:pPr>
      <w:ind w:firstLine="420" w:firstLineChars="200"/>
    </w:pPr>
    <w:rPr>
      <w:szCs w:val="21"/>
    </w:rPr>
  </w:style>
  <w:style w:type="paragraph" w:customStyle="1" w:styleId="91">
    <w:name w:val="1正文"/>
    <w:basedOn w:val="1"/>
    <w:qFormat/>
    <w:uiPriority w:val="0"/>
    <w:pPr>
      <w:widowControl/>
      <w:spacing w:line="360" w:lineRule="auto"/>
      <w:ind w:firstLine="200" w:firstLineChars="200"/>
    </w:pPr>
    <w:rPr>
      <w:rFonts w:ascii="Calibri" w:hAnsi="Calibri"/>
      <w:kern w:val="0"/>
      <w:sz w:val="24"/>
    </w:rPr>
  </w:style>
  <w:style w:type="character" w:customStyle="1" w:styleId="92">
    <w:name w:val="16"/>
    <w:basedOn w:val="28"/>
    <w:qFormat/>
    <w:uiPriority w:val="0"/>
    <w:rPr>
      <w:rFonts w:hint="default" w:ascii="Times New Roman" w:hAnsi="Times New Roman" w:cs="Times New Roman"/>
      <w:color w:val="000000"/>
      <w:sz w:val="22"/>
      <w:szCs w:val="22"/>
    </w:rPr>
  </w:style>
  <w:style w:type="character" w:customStyle="1" w:styleId="93">
    <w:name w:val="纯文本 字符"/>
    <w:basedOn w:val="28"/>
    <w:link w:val="12"/>
    <w:qFormat/>
    <w:uiPriority w:val="99"/>
    <w:rPr>
      <w:rFonts w:ascii="宋体" w:hAnsi="Courier New"/>
      <w:kern w:val="2"/>
      <w:sz w:val="21"/>
      <w:szCs w:val="21"/>
    </w:rPr>
  </w:style>
  <w:style w:type="paragraph" w:customStyle="1" w:styleId="94">
    <w:name w:val="正文001"/>
    <w:basedOn w:val="1"/>
    <w:qFormat/>
    <w:uiPriority w:val="0"/>
    <w:pPr>
      <w:spacing w:before="60" w:after="100" w:afterAutospacing="1" w:line="420" w:lineRule="exact"/>
      <w:ind w:firstLine="482"/>
    </w:pPr>
    <w:rPr>
      <w:rFonts w:ascii="Calibri" w:hAnsi="Calibri"/>
      <w:sz w:val="24"/>
    </w:rPr>
  </w:style>
  <w:style w:type="paragraph" w:customStyle="1" w:styleId="95">
    <w:name w:val="List Paragraph2"/>
    <w:basedOn w:val="1"/>
    <w:qFormat/>
    <w:uiPriority w:val="0"/>
    <w:pPr>
      <w:spacing w:before="1" w:after="100" w:afterAutospacing="1"/>
      <w:ind w:left="285" w:hanging="602"/>
    </w:pPr>
    <w:rPr>
      <w:rFonts w:ascii="宋体" w:hAnsi="宋体" w:cs="宋体"/>
      <w:sz w:val="28"/>
      <w:szCs w:val="28"/>
    </w:rPr>
  </w:style>
  <w:style w:type="paragraph" w:customStyle="1" w:styleId="96">
    <w:name w:val="表格内正文"/>
    <w:basedOn w:val="1"/>
    <w:qFormat/>
    <w:uiPriority w:val="0"/>
    <w:pPr>
      <w:adjustRightInd w:val="0"/>
      <w:spacing w:line="360" w:lineRule="auto"/>
      <w:ind w:firstLine="493"/>
      <w:textAlignment w:val="baseline"/>
    </w:pPr>
    <w:rPr>
      <w:rFonts w:ascii="宋体" w:hAnsi="宋体"/>
      <w:spacing w:val="4"/>
      <w:kern w:val="18"/>
      <w:sz w:val="24"/>
      <w:szCs w:val="20"/>
    </w:rPr>
  </w:style>
  <w:style w:type="paragraph" w:customStyle="1" w:styleId="97">
    <w:name w:val="4"/>
    <w:basedOn w:val="1"/>
    <w:next w:val="64"/>
    <w:qFormat/>
    <w:uiPriority w:val="34"/>
    <w:pPr>
      <w:widowControl/>
      <w:ind w:firstLine="420" w:firstLineChars="200"/>
      <w:jc w:val="left"/>
    </w:pPr>
    <w:rPr>
      <w:spacing w:val="-2"/>
      <w:kern w:val="0"/>
      <w:sz w:val="28"/>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3.emf"/><Relationship Id="rId8" Type="http://schemas.openxmlformats.org/officeDocument/2006/relationships/oleObject" Target="embeddings/oleObject1.bin"/><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7.wmf"/><Relationship Id="rId13" Type="http://schemas.openxmlformats.org/officeDocument/2006/relationships/oleObject" Target="embeddings/oleObject2.bin"/><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718728A-16B7-4DC8-9F76-92CF71E408E1}">
  <ds:schemaRefs/>
</ds:datastoreItem>
</file>

<file path=docProps/app.xml><?xml version="1.0" encoding="utf-8"?>
<Properties xmlns="http://schemas.openxmlformats.org/officeDocument/2006/extended-properties" xmlns:vt="http://schemas.openxmlformats.org/officeDocument/2006/docPropsVTypes">
  <Template>wdzx97</Template>
  <Company>微软中国</Company>
  <Pages>1</Pages>
  <Words>9548</Words>
  <Characters>54429</Characters>
  <Lines>453</Lines>
  <Paragraphs>127</Paragraphs>
  <TotalTime>3</TotalTime>
  <ScaleCrop>false</ScaleCrop>
  <LinksUpToDate>false</LinksUpToDate>
  <CharactersWithSpaces>63850</CharactersWithSpaces>
  <Application>WPS Office_11.1.0.11284_F1E327BC-269C-435d-A152-05C5408002CA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2021-03-18T01:35:00Z</dcterms:created>
  <dc:creator>lhj</dc:creator>
  <cp:lastModifiedBy>啦啦啦</cp:lastModifiedBy>
  <cp:lastPrinted>2021-08-06T10:14:00Z</cp:lastPrinted>
  <dcterms:modified xsi:type="dcterms:W3CDTF">2021-12-30T00:34:33Z</dcterms:modified>
  <dc:title>附件2</dc:title>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2052-11.1.0.11284</vt:lpwstr>
  </property>
  <property fmtid="{D5CDD505-2E9C-101B-9397-08002B2CF9AE}" pid="3" name="ICV">
    <vt:lpwstr>445C9F20906F42B7A993ADD0BCD9DCF6</vt:lpwstr>
  </property>
</Properties>
</file>