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540" w:leftChars="-257" w:right="124" w:rightChars="59" w:firstLine="426" w:firstLineChars="59"/>
        <w:jc w:val="center"/>
        <w:rPr>
          <w:rFonts w:hint="eastAsia" w:ascii="Times New Roman" w:hAnsi="Times New Roman" w:eastAsia="宋体" w:cs="华文仿宋"/>
          <w:b/>
          <w:color w:val="auto"/>
          <w:sz w:val="72"/>
          <w:szCs w:val="72"/>
          <w:lang w:val="en-US" w:eastAsia="zh-CN"/>
        </w:rPr>
      </w:pPr>
      <w:r>
        <w:rPr>
          <w:rFonts w:hint="eastAsia" w:ascii="Times New Roman" w:hAnsi="Times New Roman" w:eastAsia="宋体" w:cs="华文仿宋"/>
          <w:b/>
          <w:color w:val="auto"/>
          <w:sz w:val="72"/>
          <w:szCs w:val="72"/>
          <w:lang w:val="en-US" w:eastAsia="zh-CN"/>
        </w:rPr>
        <w:t xml:space="preserve"> </w:t>
      </w:r>
    </w:p>
    <w:p>
      <w:pPr>
        <w:keepNext w:val="0"/>
        <w:keepLines w:val="0"/>
        <w:widowControl w:val="0"/>
        <w:suppressLineNumbers w:val="0"/>
        <w:spacing w:before="0" w:beforeAutospacing="0" w:after="0" w:afterAutospacing="0"/>
        <w:ind w:left="-540" w:leftChars="-257" w:right="124" w:rightChars="59" w:firstLine="426" w:firstLineChars="59"/>
        <w:jc w:val="center"/>
        <w:rPr>
          <w:rFonts w:hint="eastAsia" w:ascii="Times New Roman" w:hAnsi="Times New Roman" w:eastAsia="宋体" w:cs="华文仿宋"/>
          <w:b/>
          <w:color w:val="auto"/>
          <w:sz w:val="72"/>
          <w:szCs w:val="72"/>
          <w:lang w:val="en-US"/>
        </w:rPr>
      </w:pPr>
      <w:r>
        <w:rPr>
          <w:rFonts w:hint="eastAsia" w:ascii="Times New Roman" w:hAnsi="Times New Roman" w:eastAsia="宋体" w:cs="华文仿宋"/>
          <w:b/>
          <w:color w:val="auto"/>
          <w:kern w:val="2"/>
          <w:sz w:val="72"/>
          <w:szCs w:val="72"/>
          <w:lang w:val="en-US" w:eastAsia="zh-CN" w:bidi="ar"/>
        </w:rPr>
        <w:t>建设项目环境影响报告表</w:t>
      </w:r>
    </w:p>
    <w:p>
      <w:pPr>
        <w:keepNext w:val="0"/>
        <w:keepLines w:val="0"/>
        <w:widowControl w:val="0"/>
        <w:suppressLineNumbers w:val="0"/>
        <w:spacing w:before="0" w:beforeAutospacing="0" w:after="0" w:afterAutospacing="0"/>
        <w:ind w:left="-540" w:leftChars="-257" w:right="124" w:rightChars="59" w:firstLine="213" w:firstLineChars="59"/>
        <w:jc w:val="center"/>
        <w:rPr>
          <w:rFonts w:hint="eastAsia" w:ascii="Times New Roman" w:hAnsi="Times New Roman" w:eastAsia="宋体" w:cs="仿宋_GB2312"/>
          <w:b/>
          <w:color w:val="auto"/>
          <w:sz w:val="36"/>
          <w:szCs w:val="36"/>
          <w:lang w:val="en-US" w:eastAsia="zh-CN"/>
        </w:rPr>
      </w:pPr>
    </w:p>
    <w:p>
      <w:pPr>
        <w:keepNext w:val="0"/>
        <w:keepLines w:val="0"/>
        <w:widowControl w:val="0"/>
        <w:suppressLineNumbers w:val="0"/>
        <w:spacing w:before="0" w:beforeAutospacing="0" w:after="0" w:afterAutospacing="0"/>
        <w:ind w:left="-540" w:leftChars="-257" w:right="124" w:rightChars="59" w:firstLine="213" w:firstLineChars="59"/>
        <w:jc w:val="center"/>
        <w:rPr>
          <w:rFonts w:hint="eastAsia" w:ascii="Times New Roman" w:hAnsi="Times New Roman" w:eastAsia="宋体" w:cs="仿宋_GB2312"/>
          <w:b/>
          <w:color w:val="auto"/>
          <w:sz w:val="36"/>
          <w:szCs w:val="36"/>
          <w:lang w:val="en-US" w:eastAsia="zh-CN"/>
        </w:rPr>
      </w:pPr>
      <w:r>
        <w:rPr>
          <w:rFonts w:hint="eastAsia" w:ascii="Times New Roman" w:hAnsi="Times New Roman" w:eastAsia="宋体" w:cs="仿宋_GB2312"/>
          <w:b/>
          <w:color w:val="auto"/>
          <w:sz w:val="36"/>
          <w:szCs w:val="36"/>
          <w:lang w:val="en-US" w:eastAsia="zh-CN"/>
        </w:rPr>
        <w:t>（送审本）</w:t>
      </w: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right="124" w:rightChars="59" w:firstLine="1205" w:firstLineChars="400"/>
        <w:jc w:val="both"/>
        <w:rPr>
          <w:rFonts w:hint="eastAsia" w:ascii="Times New Roman" w:hAnsi="Times New Roman" w:eastAsia="宋体" w:cs="华文仿宋"/>
          <w:b/>
          <w:color w:val="auto"/>
          <w:kern w:val="2"/>
          <w:sz w:val="30"/>
          <w:szCs w:val="30"/>
          <w:u w:val="single"/>
          <w:lang w:val="en-US" w:eastAsia="zh-CN" w:bidi="ar"/>
        </w:rPr>
      </w:pPr>
      <w:r>
        <w:rPr>
          <w:rFonts w:hint="eastAsia" w:ascii="Times New Roman" w:hAnsi="Times New Roman" w:eastAsia="宋体" w:cs="华文仿宋"/>
          <w:b/>
          <w:color w:val="auto"/>
          <w:kern w:val="2"/>
          <w:sz w:val="30"/>
          <w:szCs w:val="30"/>
          <w:lang w:val="en-US" w:eastAsia="zh-CN" w:bidi="ar"/>
        </w:rPr>
        <w:t>项目名称：</w:t>
      </w:r>
      <w:r>
        <w:rPr>
          <w:rFonts w:hint="eastAsia" w:ascii="Times New Roman" w:hAnsi="Times New Roman" w:eastAsia="宋体" w:cs="华文仿宋"/>
          <w:b/>
          <w:color w:val="auto"/>
          <w:kern w:val="2"/>
          <w:sz w:val="30"/>
          <w:szCs w:val="30"/>
          <w:u w:val="single"/>
          <w:lang w:val="en-US" w:eastAsia="zh-CN" w:bidi="ar"/>
        </w:rPr>
        <w:t xml:space="preserve"> 安徽海螺暹罗耐火材料</w:t>
      </w:r>
      <w:r>
        <w:rPr>
          <w:rFonts w:hint="eastAsia" w:cs="华文仿宋"/>
          <w:b/>
          <w:color w:val="auto"/>
          <w:kern w:val="2"/>
          <w:sz w:val="30"/>
          <w:szCs w:val="30"/>
          <w:u w:val="single"/>
          <w:lang w:val="en-US" w:eastAsia="zh-CN" w:bidi="ar"/>
        </w:rPr>
        <w:t>有限</w:t>
      </w:r>
      <w:r>
        <w:rPr>
          <w:rFonts w:hint="eastAsia" w:ascii="Times New Roman" w:hAnsi="Times New Roman" w:eastAsia="宋体" w:cs="华文仿宋"/>
          <w:b/>
          <w:color w:val="auto"/>
          <w:kern w:val="2"/>
          <w:sz w:val="30"/>
          <w:szCs w:val="30"/>
          <w:u w:val="single"/>
          <w:lang w:val="en-US" w:eastAsia="zh-CN" w:bidi="ar"/>
        </w:rPr>
        <w:t xml:space="preserve">公司年产5万吨耐火材料项目      </w:t>
      </w:r>
    </w:p>
    <w:p>
      <w:pPr>
        <w:keepNext w:val="0"/>
        <w:keepLines w:val="0"/>
        <w:widowControl w:val="0"/>
        <w:suppressLineNumbers w:val="0"/>
        <w:spacing w:before="0" w:beforeAutospacing="0" w:after="0" w:afterAutospacing="0"/>
        <w:ind w:right="124" w:rightChars="59" w:firstLine="1205" w:firstLineChars="400"/>
        <w:jc w:val="both"/>
        <w:rPr>
          <w:rFonts w:hint="eastAsia" w:ascii="Times New Roman" w:hAnsi="Times New Roman" w:eastAsia="宋体" w:cs="华文仿宋"/>
          <w:b/>
          <w:color w:val="auto"/>
          <w:kern w:val="2"/>
          <w:sz w:val="30"/>
          <w:szCs w:val="30"/>
          <w:u w:val="single"/>
          <w:lang w:val="en-US" w:eastAsia="zh-CN" w:bidi="ar"/>
        </w:rPr>
      </w:pPr>
      <w:r>
        <w:rPr>
          <w:rFonts w:hint="eastAsia" w:ascii="Times New Roman" w:hAnsi="Times New Roman" w:eastAsia="宋体" w:cs="华文仿宋"/>
          <w:b/>
          <w:color w:val="auto"/>
          <w:kern w:val="2"/>
          <w:sz w:val="30"/>
          <w:szCs w:val="30"/>
          <w:lang w:val="en-US" w:eastAsia="zh-CN" w:bidi="ar"/>
        </w:rPr>
        <w:t>建设单位：</w:t>
      </w:r>
      <w:r>
        <w:rPr>
          <w:rFonts w:hint="eastAsia" w:ascii="Times New Roman" w:hAnsi="Times New Roman" w:eastAsia="宋体" w:cs="华文仿宋"/>
          <w:b/>
          <w:color w:val="auto"/>
          <w:kern w:val="2"/>
          <w:sz w:val="30"/>
          <w:szCs w:val="30"/>
          <w:u w:val="single"/>
          <w:lang w:val="en-US" w:eastAsia="zh-CN" w:bidi="ar"/>
        </w:rPr>
        <w:t xml:space="preserve">     安徽海螺暹罗耐火材料有限公司       </w:t>
      </w: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213" w:firstLineChars="59"/>
        <w:jc w:val="both"/>
        <w:rPr>
          <w:rFonts w:hint="eastAsia" w:ascii="Times New Roman" w:hAnsi="Times New Roman" w:eastAsia="宋体" w:cs="仿宋_GB2312"/>
          <w:b/>
          <w:color w:val="auto"/>
          <w:sz w:val="36"/>
          <w:szCs w:val="36"/>
          <w:lang w:val="en-US"/>
        </w:rPr>
      </w:pPr>
    </w:p>
    <w:p>
      <w:pPr>
        <w:keepNext w:val="0"/>
        <w:keepLines w:val="0"/>
        <w:widowControl w:val="0"/>
        <w:suppressLineNumbers w:val="0"/>
        <w:spacing w:before="0" w:beforeAutospacing="0" w:after="0" w:afterAutospacing="0"/>
        <w:ind w:left="-540" w:leftChars="-257" w:right="124" w:rightChars="59" w:firstLine="178" w:firstLineChars="59"/>
        <w:jc w:val="center"/>
        <w:rPr>
          <w:rFonts w:hint="default" w:ascii="Times New Roman" w:hAnsi="Times New Roman" w:eastAsia="宋体" w:cs="华文仿宋"/>
          <w:b/>
          <w:color w:val="auto"/>
          <w:sz w:val="30"/>
          <w:szCs w:val="30"/>
          <w:lang w:val="en-US"/>
        </w:rPr>
      </w:pPr>
      <w:r>
        <w:rPr>
          <w:rFonts w:hint="eastAsia" w:cs="华文仿宋"/>
          <w:b/>
          <w:color w:val="auto"/>
          <w:kern w:val="2"/>
          <w:sz w:val="30"/>
          <w:szCs w:val="30"/>
          <w:lang w:val="en-US" w:eastAsia="zh-CN" w:bidi="ar"/>
        </w:rPr>
        <w:t>芜湖民宇环境科技有限公司</w:t>
      </w:r>
    </w:p>
    <w:p>
      <w:pPr>
        <w:keepNext w:val="0"/>
        <w:keepLines w:val="0"/>
        <w:widowControl w:val="0"/>
        <w:suppressLineNumbers w:val="0"/>
        <w:spacing w:before="0" w:beforeAutospacing="0" w:after="0" w:afterAutospacing="0"/>
        <w:ind w:left="-540" w:leftChars="-257" w:right="124" w:rightChars="59" w:firstLine="178" w:firstLineChars="59"/>
        <w:jc w:val="center"/>
        <w:rPr>
          <w:rFonts w:hint="eastAsia" w:ascii="Times New Roman" w:hAnsi="Times New Roman" w:eastAsia="宋体" w:cs="华文仿宋"/>
          <w:b/>
          <w:color w:val="auto"/>
          <w:kern w:val="2"/>
          <w:sz w:val="30"/>
          <w:szCs w:val="30"/>
          <w:lang w:val="en-US" w:eastAsia="zh-CN" w:bidi="ar"/>
        </w:rPr>
      </w:pPr>
      <w:r>
        <w:rPr>
          <w:rFonts w:hint="eastAsia" w:ascii="Times New Roman" w:hAnsi="Times New Roman" w:eastAsia="宋体" w:cs="华文仿宋"/>
          <w:b/>
          <w:color w:val="auto"/>
          <w:kern w:val="2"/>
          <w:sz w:val="30"/>
          <w:szCs w:val="30"/>
          <w:lang w:val="en-US" w:eastAsia="zh-CN" w:bidi="ar"/>
        </w:rPr>
        <w:t>编制日期：二〇二〇年十一月</w:t>
      </w:r>
    </w:p>
    <w:p>
      <w:pPr>
        <w:keepNext w:val="0"/>
        <w:keepLines w:val="0"/>
        <w:widowControl w:val="0"/>
        <w:suppressLineNumbers w:val="0"/>
        <w:spacing w:before="0" w:beforeAutospacing="0" w:after="0" w:afterAutospacing="0"/>
        <w:ind w:left="-540" w:leftChars="-257" w:right="124" w:rightChars="59" w:firstLine="178" w:firstLineChars="59"/>
        <w:jc w:val="center"/>
        <w:rPr>
          <w:rFonts w:hint="eastAsia" w:ascii="Times New Roman" w:hAnsi="Times New Roman" w:eastAsia="宋体" w:cs="华文仿宋"/>
          <w:b/>
          <w:color w:val="auto"/>
          <w:kern w:val="2"/>
          <w:sz w:val="30"/>
          <w:szCs w:val="30"/>
          <w:lang w:val="en-US" w:eastAsia="zh-CN" w:bidi="ar"/>
        </w:rPr>
      </w:pPr>
    </w:p>
    <w:p>
      <w:pPr>
        <w:keepNext w:val="0"/>
        <w:keepLines w:val="0"/>
        <w:widowControl w:val="0"/>
        <w:suppressLineNumbers w:val="0"/>
        <w:spacing w:before="0" w:beforeAutospacing="0" w:after="0" w:afterAutospacing="0"/>
        <w:ind w:left="-540" w:leftChars="-257" w:right="124" w:rightChars="59" w:firstLine="178" w:firstLineChars="59"/>
        <w:jc w:val="center"/>
        <w:rPr>
          <w:rFonts w:hint="eastAsia" w:ascii="Times New Roman" w:hAnsi="Times New Roman" w:eastAsia="宋体" w:cs="华文仿宋"/>
          <w:b/>
          <w:color w:val="auto"/>
          <w:kern w:val="2"/>
          <w:sz w:val="30"/>
          <w:szCs w:val="30"/>
          <w:lang w:val="en-US" w:eastAsia="zh-CN" w:bidi="ar"/>
        </w:rPr>
      </w:pPr>
    </w:p>
    <w:p>
      <w:pPr>
        <w:jc w:val="center"/>
        <w:rPr>
          <w:rFonts w:ascii="Times New Roman" w:hAnsi="Times New Roman" w:eastAsia="宋体"/>
          <w:color w:val="auto"/>
          <w:sz w:val="30"/>
        </w:rPr>
      </w:pPr>
      <w:r>
        <w:rPr>
          <w:rFonts w:hint="eastAsia" w:ascii="Times New Roman" w:hAnsi="Times New Roman" w:eastAsia="宋体"/>
          <w:color w:val="auto"/>
          <w:sz w:val="30"/>
        </w:rPr>
        <w:t>《建设项目环境影响报告表》编制说明</w:t>
      </w:r>
    </w:p>
    <w:p>
      <w:pPr>
        <w:ind w:firstLine="420" w:firstLineChars="150"/>
        <w:rPr>
          <w:rFonts w:ascii="Times New Roman" w:hAnsi="Times New Roman" w:eastAsia="宋体"/>
          <w:color w:val="auto"/>
          <w:sz w:val="28"/>
        </w:rPr>
      </w:pPr>
      <w:r>
        <w:rPr>
          <w:rFonts w:hint="eastAsia" w:ascii="Times New Roman" w:hAnsi="Times New Roman" w:eastAsia="宋体"/>
          <w:color w:val="auto"/>
          <w:sz w:val="28"/>
        </w:rPr>
        <w:t>《建设项目环境影响报告表》由具有从事环境影响评价工作资质的单位编制。</w:t>
      </w:r>
    </w:p>
    <w:p>
      <w:pPr>
        <w:numPr>
          <w:ilvl w:val="0"/>
          <w:numId w:val="1"/>
        </w:numPr>
        <w:tabs>
          <w:tab w:val="left" w:pos="142"/>
          <w:tab w:val="left" w:pos="284"/>
          <w:tab w:val="clear" w:pos="780"/>
        </w:tabs>
        <w:ind w:left="284" w:hanging="284"/>
        <w:rPr>
          <w:rFonts w:ascii="Times New Roman" w:hAnsi="Times New Roman" w:eastAsia="宋体"/>
          <w:color w:val="auto"/>
          <w:sz w:val="28"/>
        </w:rPr>
      </w:pPr>
      <w:r>
        <w:rPr>
          <w:rFonts w:hint="eastAsia" w:ascii="Times New Roman" w:hAnsi="Times New Roman" w:eastAsia="宋体"/>
          <w:color w:val="auto"/>
          <w:sz w:val="28"/>
        </w:rPr>
        <w:t>项目名称</w:t>
      </w:r>
      <w:r>
        <w:rPr>
          <w:rFonts w:ascii="Times New Roman" w:hAnsi="Times New Roman" w:eastAsia="宋体"/>
          <w:color w:val="auto"/>
          <w:sz w:val="28"/>
        </w:rPr>
        <w:t>——</w:t>
      </w:r>
      <w:r>
        <w:rPr>
          <w:rFonts w:hint="eastAsia" w:ascii="Times New Roman" w:hAnsi="Times New Roman" w:eastAsia="宋体"/>
          <w:color w:val="auto"/>
          <w:sz w:val="28"/>
        </w:rPr>
        <w:t>指项目立项批复时的名称，应不超过</w:t>
      </w:r>
      <w:r>
        <w:rPr>
          <w:rFonts w:ascii="Times New Roman" w:hAnsi="Times New Roman" w:eastAsia="宋体"/>
          <w:color w:val="auto"/>
          <w:sz w:val="28"/>
        </w:rPr>
        <w:t>30</w:t>
      </w:r>
      <w:r>
        <w:rPr>
          <w:rFonts w:hint="eastAsia" w:ascii="Times New Roman" w:hAnsi="Times New Roman" w:eastAsia="宋体"/>
          <w:color w:val="auto"/>
          <w:sz w:val="28"/>
        </w:rPr>
        <w:t>个字（两个英文字段作一个汉字）。</w:t>
      </w:r>
    </w:p>
    <w:p>
      <w:pPr>
        <w:numPr>
          <w:ilvl w:val="0"/>
          <w:numId w:val="1"/>
        </w:numPr>
        <w:tabs>
          <w:tab w:val="left" w:pos="142"/>
          <w:tab w:val="left" w:pos="284"/>
          <w:tab w:val="clear" w:pos="780"/>
        </w:tabs>
        <w:ind w:left="284" w:hanging="284"/>
        <w:rPr>
          <w:rFonts w:ascii="Times New Roman" w:hAnsi="Times New Roman" w:eastAsia="宋体"/>
          <w:color w:val="auto"/>
          <w:sz w:val="28"/>
        </w:rPr>
      </w:pPr>
      <w:r>
        <w:rPr>
          <w:rFonts w:hint="eastAsia" w:ascii="Times New Roman" w:hAnsi="Times New Roman" w:eastAsia="宋体"/>
          <w:color w:val="auto"/>
          <w:sz w:val="28"/>
        </w:rPr>
        <w:t>建设地点</w:t>
      </w:r>
      <w:r>
        <w:rPr>
          <w:rFonts w:ascii="Times New Roman" w:hAnsi="Times New Roman" w:eastAsia="宋体"/>
          <w:color w:val="auto"/>
          <w:sz w:val="28"/>
        </w:rPr>
        <w:t>——</w:t>
      </w:r>
      <w:r>
        <w:rPr>
          <w:rFonts w:hint="eastAsia" w:ascii="Times New Roman" w:hAnsi="Times New Roman" w:eastAsia="宋体"/>
          <w:color w:val="auto"/>
          <w:sz w:val="28"/>
        </w:rPr>
        <w:t>指项目所在地详细地址，公路、铁路应填写起止地点。</w:t>
      </w:r>
    </w:p>
    <w:p>
      <w:pPr>
        <w:numPr>
          <w:ilvl w:val="0"/>
          <w:numId w:val="1"/>
        </w:numPr>
        <w:tabs>
          <w:tab w:val="left" w:pos="142"/>
          <w:tab w:val="left" w:pos="284"/>
          <w:tab w:val="clear" w:pos="780"/>
        </w:tabs>
        <w:ind w:left="284" w:hanging="284"/>
        <w:rPr>
          <w:rFonts w:ascii="Times New Roman" w:hAnsi="Times New Roman" w:eastAsia="宋体"/>
          <w:color w:val="auto"/>
          <w:sz w:val="28"/>
        </w:rPr>
      </w:pPr>
      <w:r>
        <w:rPr>
          <w:rFonts w:hint="eastAsia" w:ascii="Times New Roman" w:hAnsi="Times New Roman" w:eastAsia="宋体"/>
          <w:color w:val="auto"/>
          <w:sz w:val="28"/>
        </w:rPr>
        <w:t>行业类别</w:t>
      </w:r>
      <w:r>
        <w:rPr>
          <w:rFonts w:ascii="Times New Roman" w:hAnsi="Times New Roman" w:eastAsia="宋体"/>
          <w:color w:val="auto"/>
          <w:sz w:val="28"/>
        </w:rPr>
        <w:t>——</w:t>
      </w:r>
      <w:r>
        <w:rPr>
          <w:rFonts w:hint="eastAsia" w:ascii="Times New Roman" w:hAnsi="Times New Roman" w:eastAsia="宋体"/>
          <w:color w:val="auto"/>
          <w:sz w:val="28"/>
        </w:rPr>
        <w:t>按国标填写。</w:t>
      </w:r>
    </w:p>
    <w:p>
      <w:pPr>
        <w:numPr>
          <w:ilvl w:val="0"/>
          <w:numId w:val="1"/>
        </w:numPr>
        <w:tabs>
          <w:tab w:val="left" w:pos="142"/>
          <w:tab w:val="left" w:pos="284"/>
          <w:tab w:val="clear" w:pos="780"/>
        </w:tabs>
        <w:ind w:left="284" w:hanging="284"/>
        <w:rPr>
          <w:rFonts w:ascii="Times New Roman" w:hAnsi="Times New Roman" w:eastAsia="宋体"/>
          <w:color w:val="auto"/>
          <w:sz w:val="28"/>
        </w:rPr>
      </w:pPr>
      <w:r>
        <w:rPr>
          <w:rFonts w:hint="eastAsia" w:ascii="Times New Roman" w:hAnsi="Times New Roman" w:eastAsia="宋体"/>
          <w:color w:val="auto"/>
          <w:sz w:val="28"/>
        </w:rPr>
        <w:t>总投资</w:t>
      </w:r>
      <w:r>
        <w:rPr>
          <w:rFonts w:ascii="Times New Roman" w:hAnsi="Times New Roman" w:eastAsia="宋体"/>
          <w:color w:val="auto"/>
          <w:sz w:val="28"/>
        </w:rPr>
        <w:t>——</w:t>
      </w:r>
      <w:r>
        <w:rPr>
          <w:rFonts w:hint="eastAsia" w:ascii="Times New Roman" w:hAnsi="Times New Roman" w:eastAsia="宋体"/>
          <w:color w:val="auto"/>
          <w:sz w:val="28"/>
        </w:rPr>
        <w:t>指项目投资总额。</w:t>
      </w:r>
    </w:p>
    <w:p>
      <w:pPr>
        <w:numPr>
          <w:ilvl w:val="0"/>
          <w:numId w:val="1"/>
        </w:numPr>
        <w:tabs>
          <w:tab w:val="left" w:pos="142"/>
          <w:tab w:val="left" w:pos="284"/>
          <w:tab w:val="clear" w:pos="780"/>
        </w:tabs>
        <w:ind w:left="284" w:hanging="284"/>
        <w:rPr>
          <w:rFonts w:ascii="Times New Roman" w:hAnsi="Times New Roman" w:eastAsia="宋体"/>
          <w:color w:val="auto"/>
          <w:sz w:val="28"/>
        </w:rPr>
      </w:pPr>
      <w:r>
        <w:rPr>
          <w:rFonts w:hint="eastAsia" w:ascii="Times New Roman" w:hAnsi="Times New Roman" w:eastAsia="宋体"/>
          <w:color w:val="auto"/>
          <w:sz w:val="28"/>
        </w:rPr>
        <w:t>主要环境保护目标</w:t>
      </w:r>
      <w:r>
        <w:rPr>
          <w:rFonts w:ascii="Times New Roman" w:hAnsi="Times New Roman" w:eastAsia="宋体"/>
          <w:color w:val="auto"/>
          <w:sz w:val="28"/>
        </w:rPr>
        <w:t>——</w:t>
      </w:r>
      <w:r>
        <w:rPr>
          <w:rFonts w:hint="eastAsia" w:ascii="Times New Roman" w:hAnsi="Times New Roman" w:eastAsia="宋体"/>
          <w:color w:val="auto"/>
          <w:sz w:val="28"/>
        </w:rPr>
        <w:t>指项目区周围一定范围内集中居民住宅区、学校、医院、保护文物、风景名胜区、水源地和生态敏感点等，应尽可能给出保护目标、性质、规模和距厂界距离等。</w:t>
      </w:r>
    </w:p>
    <w:p>
      <w:pPr>
        <w:numPr>
          <w:ilvl w:val="0"/>
          <w:numId w:val="1"/>
        </w:numPr>
        <w:tabs>
          <w:tab w:val="left" w:pos="142"/>
          <w:tab w:val="left" w:pos="284"/>
          <w:tab w:val="clear" w:pos="780"/>
        </w:tabs>
        <w:ind w:left="284" w:hanging="284"/>
        <w:rPr>
          <w:rFonts w:ascii="Times New Roman" w:hAnsi="Times New Roman" w:eastAsia="宋体"/>
          <w:color w:val="auto"/>
          <w:sz w:val="28"/>
        </w:rPr>
      </w:pPr>
      <w:r>
        <w:rPr>
          <w:rFonts w:hint="eastAsia" w:ascii="Times New Roman" w:hAnsi="Times New Roman" w:eastAsia="宋体"/>
          <w:color w:val="auto"/>
          <w:sz w:val="28"/>
        </w:rPr>
        <w:t>结论与建议</w:t>
      </w:r>
      <w:r>
        <w:rPr>
          <w:rFonts w:ascii="Times New Roman" w:hAnsi="Times New Roman" w:eastAsia="宋体"/>
          <w:color w:val="auto"/>
          <w:sz w:val="28"/>
        </w:rPr>
        <w:t>——</w:t>
      </w:r>
      <w:r>
        <w:rPr>
          <w:rFonts w:hint="eastAsia" w:ascii="Times New Roman" w:hAnsi="Times New Roman" w:eastAsia="宋体"/>
          <w:color w:val="auto"/>
          <w:sz w:val="28"/>
        </w:rPr>
        <w:t>给出本项目清洁生产、达标排放和总量控制的分析结论，确定污染防治措施的有效性，说明本项目对环境造成的影响，给出建设项目环境可行性的明确结论。同时提出减少环境影响的其他建议。</w:t>
      </w:r>
    </w:p>
    <w:p>
      <w:pPr>
        <w:numPr>
          <w:ilvl w:val="0"/>
          <w:numId w:val="1"/>
        </w:numPr>
        <w:tabs>
          <w:tab w:val="left" w:pos="142"/>
          <w:tab w:val="left" w:pos="284"/>
          <w:tab w:val="clear" w:pos="780"/>
        </w:tabs>
        <w:ind w:left="284" w:hanging="284"/>
        <w:rPr>
          <w:rFonts w:ascii="Times New Roman" w:hAnsi="Times New Roman" w:eastAsia="宋体"/>
          <w:color w:val="auto"/>
          <w:sz w:val="28"/>
        </w:rPr>
      </w:pPr>
      <w:r>
        <w:rPr>
          <w:rFonts w:hint="eastAsia" w:ascii="Times New Roman" w:hAnsi="Times New Roman" w:eastAsia="宋体"/>
          <w:color w:val="auto"/>
          <w:sz w:val="28"/>
        </w:rPr>
        <w:t>预审意见</w:t>
      </w:r>
      <w:r>
        <w:rPr>
          <w:rFonts w:ascii="Times New Roman" w:hAnsi="Times New Roman" w:eastAsia="宋体"/>
          <w:color w:val="auto"/>
          <w:sz w:val="28"/>
        </w:rPr>
        <w:t>——</w:t>
      </w:r>
      <w:r>
        <w:rPr>
          <w:rFonts w:hint="eastAsia" w:ascii="Times New Roman" w:hAnsi="Times New Roman" w:eastAsia="宋体"/>
          <w:color w:val="auto"/>
          <w:sz w:val="28"/>
        </w:rPr>
        <w:t>由行业主管部门填写答复意见，无主管部门项目，可不填。</w:t>
      </w:r>
    </w:p>
    <w:p>
      <w:pPr>
        <w:numPr>
          <w:ilvl w:val="0"/>
          <w:numId w:val="1"/>
        </w:numPr>
        <w:tabs>
          <w:tab w:val="left" w:pos="142"/>
          <w:tab w:val="left" w:pos="284"/>
          <w:tab w:val="clear" w:pos="780"/>
        </w:tabs>
        <w:ind w:left="284" w:hanging="284"/>
        <w:rPr>
          <w:rFonts w:ascii="Times New Roman" w:hAnsi="Times New Roman" w:eastAsia="宋体"/>
          <w:color w:val="auto"/>
          <w:sz w:val="28"/>
        </w:rPr>
      </w:pPr>
      <w:r>
        <w:rPr>
          <w:rFonts w:hint="eastAsia" w:ascii="Times New Roman" w:hAnsi="Times New Roman" w:eastAsia="宋体"/>
          <w:color w:val="auto"/>
          <w:sz w:val="28"/>
        </w:rPr>
        <w:t>审批意见</w:t>
      </w:r>
      <w:r>
        <w:rPr>
          <w:rFonts w:ascii="Times New Roman" w:hAnsi="Times New Roman" w:eastAsia="宋体"/>
          <w:color w:val="auto"/>
          <w:sz w:val="28"/>
        </w:rPr>
        <w:t>——</w:t>
      </w:r>
      <w:r>
        <w:rPr>
          <w:rFonts w:hint="eastAsia" w:ascii="Times New Roman" w:hAnsi="Times New Roman" w:eastAsia="宋体"/>
          <w:color w:val="auto"/>
          <w:sz w:val="28"/>
        </w:rPr>
        <w:t>由负责审批该项目的环境保护行政主管部门批复。</w:t>
      </w:r>
    </w:p>
    <w:p>
      <w:pPr>
        <w:rPr>
          <w:rFonts w:ascii="Times New Roman" w:hAnsi="Times New Roman" w:eastAsia="宋体"/>
          <w:color w:val="auto"/>
          <w:sz w:val="28"/>
        </w:rPr>
      </w:pPr>
    </w:p>
    <w:p>
      <w:pPr>
        <w:rPr>
          <w:rFonts w:hint="eastAsia" w:ascii="Times New Roman" w:hAnsi="Times New Roman" w:eastAsia="宋体"/>
          <w:color w:val="auto"/>
        </w:rPr>
      </w:pPr>
    </w:p>
    <w:p>
      <w:pPr>
        <w:spacing w:line="440" w:lineRule="atLeast"/>
        <w:ind w:right="124" w:rightChars="59" w:firstLine="420"/>
        <w:rPr>
          <w:rFonts w:hint="eastAsia" w:ascii="Times New Roman" w:hAnsi="Times New Roman" w:eastAsia="宋体"/>
          <w:b/>
          <w:bCs/>
          <w:color w:val="auto"/>
          <w:sz w:val="28"/>
          <w:szCs w:val="28"/>
        </w:rPr>
      </w:pPr>
    </w:p>
    <w:p>
      <w:pPr>
        <w:spacing w:line="440" w:lineRule="atLeast"/>
        <w:ind w:right="124" w:rightChars="59" w:firstLine="420"/>
        <w:rPr>
          <w:rFonts w:hint="eastAsia" w:ascii="Times New Roman" w:hAnsi="Times New Roman" w:eastAsia="宋体"/>
          <w:b/>
          <w:bCs/>
          <w:color w:val="auto"/>
          <w:sz w:val="28"/>
          <w:szCs w:val="28"/>
        </w:rPr>
      </w:pPr>
    </w:p>
    <w:p>
      <w:pPr>
        <w:spacing w:line="440" w:lineRule="atLeast"/>
        <w:ind w:right="124" w:rightChars="59" w:firstLine="420"/>
        <w:rPr>
          <w:rFonts w:hint="eastAsia" w:ascii="Times New Roman" w:hAnsi="Times New Roman" w:eastAsia="宋体"/>
          <w:b/>
          <w:bCs/>
          <w:color w:val="auto"/>
          <w:sz w:val="28"/>
          <w:szCs w:val="28"/>
        </w:rPr>
      </w:pPr>
    </w:p>
    <w:p>
      <w:pPr>
        <w:spacing w:line="440" w:lineRule="atLeast"/>
        <w:ind w:right="124" w:rightChars="59" w:firstLine="420"/>
        <w:rPr>
          <w:rFonts w:hint="eastAsia" w:ascii="Times New Roman" w:hAnsi="Times New Roman" w:eastAsia="宋体"/>
          <w:b/>
          <w:bCs/>
          <w:color w:val="auto"/>
          <w:sz w:val="28"/>
          <w:szCs w:val="28"/>
        </w:rPr>
      </w:pPr>
    </w:p>
    <w:p>
      <w:pPr>
        <w:spacing w:line="440" w:lineRule="atLeast"/>
        <w:ind w:right="124" w:rightChars="59"/>
        <w:rPr>
          <w:rFonts w:hint="eastAsia" w:ascii="Times New Roman" w:hAnsi="Times New Roman" w:eastAsia="宋体"/>
          <w:b/>
          <w:bCs/>
          <w:color w:val="auto"/>
          <w:sz w:val="28"/>
          <w:szCs w:val="28"/>
        </w:rPr>
        <w:sectPr>
          <w:footerReference r:id="rId3" w:type="default"/>
          <w:footerReference r:id="rId4" w:type="even"/>
          <w:pgSz w:w="11906" w:h="16838"/>
          <w:pgMar w:top="1134" w:right="1531" w:bottom="1134" w:left="1531" w:header="851" w:footer="992" w:gutter="0"/>
          <w:pgNumType w:start="1"/>
          <w:cols w:space="720" w:num="1"/>
          <w:docGrid w:type="lines" w:linePitch="312" w:charSpace="0"/>
        </w:sectPr>
      </w:pPr>
    </w:p>
    <w:p>
      <w:pPr>
        <w:pStyle w:val="3"/>
        <w:rPr>
          <w:rFonts w:ascii="Times New Roman" w:hAnsi="Times New Roman" w:eastAsia="宋体"/>
        </w:rPr>
      </w:pPr>
      <w:r>
        <w:rPr>
          <w:rFonts w:hint="eastAsia" w:ascii="Times New Roman" w:hAnsi="Times New Roman" w:eastAsia="宋体"/>
          <w:lang w:eastAsia="zh-CN"/>
        </w:rPr>
        <w:t>一、</w:t>
      </w:r>
      <w:r>
        <w:rPr>
          <w:rFonts w:ascii="Times New Roman" w:hAnsi="Times New Roman" w:eastAsia="宋体"/>
        </w:rPr>
        <w:t>建设项目基本情况</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1018"/>
        <w:gridCol w:w="1606"/>
        <w:gridCol w:w="1451"/>
        <w:gridCol w:w="1623"/>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项目名称</w:t>
            </w:r>
          </w:p>
        </w:tc>
        <w:tc>
          <w:tcPr>
            <w:tcW w:w="7460" w:type="dxa"/>
            <w:gridSpan w:val="5"/>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highlight w:val="none"/>
              </w:rPr>
            </w:pPr>
            <w:r>
              <w:rPr>
                <w:rFonts w:hint="eastAsia" w:ascii="Times New Roman" w:hAnsi="Times New Roman" w:eastAsia="宋体" w:cs="Times New Roman"/>
                <w:color w:val="auto"/>
                <w:sz w:val="24"/>
                <w:lang w:val="en-US" w:eastAsia="zh-CN"/>
              </w:rPr>
              <w:t>安徽海螺暹罗耐火材料</w:t>
            </w:r>
            <w:r>
              <w:rPr>
                <w:rFonts w:hint="eastAsia" w:cs="Times New Roman"/>
                <w:color w:val="auto"/>
                <w:sz w:val="24"/>
                <w:lang w:val="en-US" w:eastAsia="zh-CN"/>
              </w:rPr>
              <w:t>有限</w:t>
            </w:r>
            <w:r>
              <w:rPr>
                <w:rFonts w:hint="eastAsia" w:ascii="Times New Roman" w:hAnsi="Times New Roman" w:eastAsia="宋体" w:cs="Times New Roman"/>
                <w:color w:val="auto"/>
                <w:sz w:val="24"/>
                <w:lang w:val="en-US" w:eastAsia="zh-CN"/>
              </w:rPr>
              <w:t>公司年产5万吨耐火材料项目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建设单位</w:t>
            </w:r>
          </w:p>
        </w:tc>
        <w:tc>
          <w:tcPr>
            <w:tcW w:w="7460" w:type="dxa"/>
            <w:gridSpan w:val="5"/>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highlight w:val="none"/>
              </w:rPr>
            </w:pPr>
            <w:r>
              <w:rPr>
                <w:rFonts w:hint="eastAsia" w:ascii="Times New Roman" w:hAnsi="Times New Roman" w:eastAsia="宋体" w:cs="Times New Roman"/>
                <w:color w:val="auto"/>
                <w:sz w:val="24"/>
                <w:lang w:val="en-US" w:eastAsia="zh-CN"/>
              </w:rPr>
              <w:t>安徽海螺暹罗耐火材料有限公司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法人代表</w:t>
            </w:r>
          </w:p>
        </w:tc>
        <w:tc>
          <w:tcPr>
            <w:tcW w:w="3213"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rPr>
            </w:pPr>
            <w:r>
              <w:rPr>
                <w:rFonts w:hint="eastAsia" w:ascii="Times New Roman" w:hAnsi="Times New Roman" w:eastAsia="宋体" w:cs="Times New Roman"/>
                <w:color w:val="auto"/>
                <w:sz w:val="24"/>
                <w:highlight w:val="none"/>
                <w:lang w:eastAsia="zh-CN"/>
              </w:rPr>
              <w:t>李乐意</w:t>
            </w:r>
          </w:p>
        </w:tc>
        <w:tc>
          <w:tcPr>
            <w:tcW w:w="171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sz w:val="24"/>
                <w:szCs w:val="24"/>
              </w:rPr>
            </w:pPr>
            <w:r>
              <w:rPr>
                <w:rFonts w:hint="eastAsia" w:ascii="Times New Roman" w:hAnsi="Times New Roman" w:eastAsia="宋体" w:cs="Times New Roman"/>
                <w:b/>
                <w:color w:val="auto"/>
                <w:sz w:val="24"/>
              </w:rPr>
              <w:t>联系人</w:t>
            </w:r>
          </w:p>
        </w:tc>
        <w:tc>
          <w:tcPr>
            <w:tcW w:w="2537"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rPr>
            </w:pPr>
            <w:r>
              <w:rPr>
                <w:rFonts w:hint="eastAsia" w:ascii="Times New Roman" w:hAnsi="Times New Roman" w:eastAsia="宋体"/>
                <w:color w:val="auto"/>
                <w:sz w:val="24"/>
                <w:lang w:val="en-US" w:eastAsia="zh-CN"/>
              </w:rPr>
              <w:t>张桂发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通讯地址</w:t>
            </w:r>
          </w:p>
        </w:tc>
        <w:tc>
          <w:tcPr>
            <w:tcW w:w="3213"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highlight w:val="none"/>
              </w:rPr>
            </w:pPr>
            <w:r>
              <w:rPr>
                <w:rFonts w:hint="eastAsia" w:ascii="Times New Roman" w:hAnsi="Times New Roman" w:eastAsia="宋体"/>
                <w:sz w:val="24"/>
                <w:szCs w:val="24"/>
              </w:rPr>
              <w:t>安徽省芜湖市火龙岗镇安徽海螺暹罗耐火材料有限公司</w:t>
            </w:r>
          </w:p>
        </w:tc>
        <w:tc>
          <w:tcPr>
            <w:tcW w:w="171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sz w:val="24"/>
                <w:szCs w:val="24"/>
              </w:rPr>
            </w:pPr>
            <w:r>
              <w:rPr>
                <w:rFonts w:hint="default" w:ascii="Times New Roman" w:hAnsi="Times New Roman" w:eastAsia="宋体" w:cs="Times New Roman"/>
                <w:b/>
                <w:color w:val="auto"/>
                <w:sz w:val="24"/>
              </w:rPr>
              <w:t>邮政编码</w:t>
            </w:r>
          </w:p>
        </w:tc>
        <w:tc>
          <w:tcPr>
            <w:tcW w:w="2537"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highlight w:val="yellow"/>
              </w:rPr>
            </w:pPr>
            <w:r>
              <w:rPr>
                <w:rFonts w:hint="eastAsia" w:ascii="Times New Roman" w:hAnsi="Times New Roman" w:eastAsia="宋体"/>
                <w:color w:val="auto"/>
                <w:sz w:val="24"/>
                <w:lang w:val="en-US" w:eastAsia="zh-CN"/>
              </w:rPr>
              <w:t>241000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联系电话</w:t>
            </w:r>
          </w:p>
        </w:tc>
        <w:tc>
          <w:tcPr>
            <w:tcW w:w="3213"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rPr>
            </w:pPr>
            <w:r>
              <w:rPr>
                <w:rFonts w:hint="eastAsia" w:ascii="Times New Roman" w:hAnsi="Times New Roman" w:eastAsia="宋体"/>
                <w:sz w:val="24"/>
                <w:szCs w:val="24"/>
                <w:lang w:val="en-US" w:eastAsia="zh-CN"/>
              </w:rPr>
              <w:t>15395533717</w:t>
            </w:r>
          </w:p>
        </w:tc>
        <w:tc>
          <w:tcPr>
            <w:tcW w:w="171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sz w:val="24"/>
                <w:szCs w:val="24"/>
              </w:rPr>
            </w:pPr>
            <w:r>
              <w:rPr>
                <w:rFonts w:hint="default" w:ascii="Times New Roman" w:hAnsi="Times New Roman" w:eastAsia="宋体" w:cs="Times New Roman"/>
                <w:b/>
                <w:color w:val="auto"/>
                <w:sz w:val="24"/>
              </w:rPr>
              <w:t>传  真</w:t>
            </w:r>
          </w:p>
        </w:tc>
        <w:tc>
          <w:tcPr>
            <w:tcW w:w="2537"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rPr>
            </w:pPr>
            <w:r>
              <w:rPr>
                <w:rFonts w:hint="eastAsia" w:ascii="Times New Roman" w:hAnsi="Times New Roman" w:eastAsia="宋体" w:cs="Times New Roman"/>
                <w:color w:val="auto"/>
                <w:sz w:val="24"/>
              </w:rPr>
              <w:t>0553－8399888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建设地点</w:t>
            </w:r>
          </w:p>
        </w:tc>
        <w:tc>
          <w:tcPr>
            <w:tcW w:w="7460" w:type="dxa"/>
            <w:gridSpan w:val="5"/>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highlight w:val="none"/>
              </w:rPr>
            </w:pPr>
            <w:r>
              <w:rPr>
                <w:rFonts w:hint="eastAsia" w:ascii="Times New Roman" w:hAnsi="Times New Roman" w:eastAsia="宋体"/>
                <w:sz w:val="24"/>
                <w:szCs w:val="24"/>
                <w:lang w:val="en-US" w:eastAsia="zh-CN"/>
              </w:rPr>
              <w:t>安徽省芜湖市弋江区火龙岗街道永胜四联村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立项审批部门</w:t>
            </w:r>
          </w:p>
        </w:tc>
        <w:tc>
          <w:tcPr>
            <w:tcW w:w="3213"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rPr>
            </w:pPr>
            <w:r>
              <w:rPr>
                <w:rFonts w:hint="eastAsia" w:ascii="Times New Roman" w:hAnsi="Times New Roman" w:eastAsia="宋体"/>
                <w:color w:val="auto"/>
                <w:sz w:val="24"/>
                <w:lang w:val="en-US" w:eastAsia="zh-CN"/>
              </w:rPr>
              <w:t>芜湖市弋江区发展和改革</w:t>
            </w:r>
            <w:r>
              <w:rPr>
                <w:rFonts w:hint="eastAsia" w:ascii="Times New Roman" w:hAnsi="Times New Roman" w:eastAsia="宋体"/>
                <w:color w:val="auto"/>
                <w:sz w:val="24"/>
              </w:rPr>
              <w:t>委员会</w:t>
            </w:r>
          </w:p>
        </w:tc>
        <w:tc>
          <w:tcPr>
            <w:tcW w:w="171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sz w:val="24"/>
                <w:szCs w:val="24"/>
              </w:rPr>
            </w:pPr>
            <w:r>
              <w:rPr>
                <w:rFonts w:hint="default" w:ascii="Times New Roman" w:hAnsi="Times New Roman" w:eastAsia="宋体" w:cs="Times New Roman"/>
                <w:b/>
                <w:color w:val="auto"/>
                <w:sz w:val="24"/>
              </w:rPr>
              <w:t>批准文号</w:t>
            </w:r>
          </w:p>
        </w:tc>
        <w:tc>
          <w:tcPr>
            <w:tcW w:w="2537"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eastAsia="宋体"/>
                <w:sz w:val="24"/>
                <w:szCs w:val="24"/>
                <w:lang w:val="en-US" w:eastAsia="zh-CN"/>
              </w:rPr>
            </w:pPr>
            <w:r>
              <w:rPr>
                <w:rFonts w:hint="eastAsia" w:ascii="Times New Roman" w:hAnsi="Times New Roman" w:eastAsia="宋体" w:cs="Times New Roman"/>
                <w:color w:val="auto"/>
                <w:sz w:val="24"/>
                <w:lang w:eastAsia="zh-CN"/>
              </w:rPr>
              <w:t>项目编码：</w:t>
            </w:r>
            <w:r>
              <w:rPr>
                <w:rFonts w:hint="eastAsia" w:ascii="Times New Roman" w:hAnsi="Times New Roman" w:eastAsia="宋体" w:cs="Times New Roman"/>
                <w:color w:val="auto"/>
                <w:sz w:val="24"/>
              </w:rPr>
              <w:t>20</w:t>
            </w:r>
            <w:r>
              <w:rPr>
                <w:rFonts w:hint="eastAsia" w:cs="Times New Roman"/>
                <w:color w:val="auto"/>
                <w:sz w:val="24"/>
                <w:lang w:val="en-US" w:eastAsia="zh-CN"/>
              </w:rPr>
              <w:t>20</w:t>
            </w:r>
            <w:r>
              <w:rPr>
                <w:rFonts w:hint="eastAsia" w:ascii="Times New Roman" w:hAnsi="Times New Roman" w:eastAsia="宋体" w:cs="Times New Roman"/>
                <w:color w:val="auto"/>
                <w:sz w:val="24"/>
              </w:rPr>
              <w:t>-340203-30-03-</w:t>
            </w:r>
            <w:r>
              <w:rPr>
                <w:rFonts w:hint="eastAsia" w:cs="Times New Roman"/>
                <w:color w:val="auto"/>
                <w:sz w:val="24"/>
                <w:lang w:val="en-US" w:eastAsia="zh-CN"/>
              </w:rPr>
              <w:t>031084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建设性质</w:t>
            </w:r>
          </w:p>
        </w:tc>
        <w:tc>
          <w:tcPr>
            <w:tcW w:w="3213"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rPr>
            </w:pPr>
            <w:r>
              <w:rPr>
                <w:rFonts w:hint="default" w:ascii="Times New Roman" w:hAnsi="Times New Roman" w:eastAsia="宋体" w:cs="Times New Roman"/>
                <w:color w:val="auto"/>
                <w:sz w:val="24"/>
                <w:highlight w:val="none"/>
              </w:rPr>
              <w:t>新建</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 xml:space="preserve">  </w:t>
            </w:r>
            <w:r>
              <w:rPr>
                <w:rFonts w:hint="default" w:ascii="Times New Roman" w:hAnsi="Times New Roman" w:eastAsia="宋体" w:cs="Times New Roman"/>
                <w:color w:val="auto"/>
                <w:sz w:val="24"/>
                <w:highlight w:val="none"/>
              </w:rPr>
              <w:t>改扩建</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 xml:space="preserve"> </w:t>
            </w:r>
            <w:r>
              <w:rPr>
                <w:rFonts w:hint="eastAsia" w:ascii="Times New Roman" w:hAnsi="Times New Roman" w:eastAsia="宋体" w:cs="Times New Roman"/>
                <w:color w:val="auto"/>
                <w:sz w:val="24"/>
                <w:highlight w:val="none"/>
              </w:rPr>
              <w:t xml:space="preserve"> </w:t>
            </w:r>
            <w:r>
              <w:rPr>
                <w:rFonts w:hint="default" w:ascii="Times New Roman" w:hAnsi="Times New Roman" w:eastAsia="宋体" w:cs="Times New Roman"/>
                <w:color w:val="auto"/>
                <w:sz w:val="24"/>
                <w:highlight w:val="none"/>
              </w:rPr>
              <w:t>技改□</w:t>
            </w:r>
          </w:p>
        </w:tc>
        <w:tc>
          <w:tcPr>
            <w:tcW w:w="1710" w:type="dxa"/>
            <w:noWrap w:val="0"/>
            <w:vAlign w:val="center"/>
          </w:tcPr>
          <w:p>
            <w:pPr>
              <w:keepNext w:val="0"/>
              <w:keepLines w:val="0"/>
              <w:suppressLineNumbers w:val="0"/>
              <w:spacing w:before="0" w:beforeAutospacing="0" w:after="0" w:afterAutospacing="0" w:line="440" w:lineRule="exact"/>
              <w:ind w:left="0" w:right="0"/>
              <w:jc w:val="center"/>
              <w:rPr>
                <w:rFonts w:hint="eastAsia"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行业类别</w:t>
            </w:r>
          </w:p>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highlight w:val="none"/>
              </w:rPr>
              <w:t>及代码</w:t>
            </w:r>
          </w:p>
        </w:tc>
        <w:tc>
          <w:tcPr>
            <w:tcW w:w="2537" w:type="dxa"/>
            <w:gridSpan w:val="2"/>
            <w:noWrap w:val="0"/>
            <w:vAlign w:val="center"/>
          </w:tcPr>
          <w:p>
            <w:pPr>
              <w:keepNext w:val="0"/>
              <w:keepLines w:val="0"/>
              <w:suppressLineNumbers w:val="0"/>
              <w:spacing w:before="0" w:beforeAutospacing="0" w:after="0" w:afterAutospacing="0" w:line="440" w:lineRule="exact"/>
              <w:ind w:left="0" w:right="0"/>
              <w:jc w:val="center"/>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rPr>
              <w:t>C</w:t>
            </w:r>
            <w:r>
              <w:rPr>
                <w:rFonts w:hint="eastAsia" w:ascii="Times New Roman" w:hAnsi="Times New Roman" w:eastAsia="宋体" w:cs="Times New Roman"/>
                <w:color w:val="auto"/>
                <w:sz w:val="24"/>
                <w:highlight w:val="none"/>
                <w:lang w:val="en-US" w:eastAsia="zh-CN"/>
              </w:rPr>
              <w:t>3089</w:t>
            </w:r>
          </w:p>
          <w:p>
            <w:pPr>
              <w:keepNext w:val="0"/>
              <w:keepLines w:val="0"/>
              <w:suppressLineNumbers w:val="0"/>
              <w:spacing w:before="0" w:beforeAutospacing="0" w:after="0" w:afterAutospacing="0" w:line="440" w:lineRule="exact"/>
              <w:ind w:left="0" w:leftChars="0" w:right="0" w:rightChars="0"/>
              <w:jc w:val="center"/>
              <w:rPr>
                <w:rFonts w:hint="eastAsia" w:ascii="Times New Roman" w:hAnsi="Times New Roman" w:eastAsia="宋体"/>
                <w:color w:val="000000"/>
                <w:sz w:val="24"/>
              </w:rPr>
            </w:pPr>
            <w:r>
              <w:rPr>
                <w:rFonts w:hint="eastAsia" w:ascii="Times New Roman" w:hAnsi="Times New Roman" w:eastAsia="宋体" w:cs="Times New Roman"/>
                <w:color w:val="auto"/>
                <w:sz w:val="24"/>
                <w:highlight w:val="none"/>
              </w:rPr>
              <w:t>耐火陶瓷制品及其他耐火材料制造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占地面积（m</w:t>
            </w:r>
            <w:r>
              <w:rPr>
                <w:rFonts w:hint="default" w:ascii="Times New Roman" w:hAnsi="Times New Roman" w:eastAsia="宋体" w:cs="Times New Roman"/>
                <w:b/>
                <w:color w:val="auto"/>
                <w:sz w:val="24"/>
                <w:vertAlign w:val="superscript"/>
              </w:rPr>
              <w:t>2</w:t>
            </w:r>
            <w:r>
              <w:rPr>
                <w:rFonts w:hint="default" w:ascii="Times New Roman" w:hAnsi="Times New Roman" w:eastAsia="宋体" w:cs="Times New Roman"/>
                <w:b/>
                <w:color w:val="auto"/>
                <w:sz w:val="24"/>
              </w:rPr>
              <w:t>）</w:t>
            </w:r>
          </w:p>
        </w:tc>
        <w:tc>
          <w:tcPr>
            <w:tcW w:w="3213"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highlight w:val="none"/>
              </w:rPr>
            </w:pPr>
            <w:r>
              <w:rPr>
                <w:rFonts w:hint="eastAsia" w:ascii="Times New Roman" w:hAnsi="Times New Roman" w:eastAsia="宋体" w:cs="Times New Roman"/>
                <w:color w:val="auto"/>
                <w:sz w:val="24"/>
                <w:lang w:val="en-US" w:eastAsia="zh-CN"/>
              </w:rPr>
              <w:t>24000</w:t>
            </w:r>
          </w:p>
        </w:tc>
        <w:tc>
          <w:tcPr>
            <w:tcW w:w="171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sz w:val="24"/>
                <w:szCs w:val="24"/>
                <w:highlight w:val="yellow"/>
              </w:rPr>
            </w:pPr>
            <w:r>
              <w:rPr>
                <w:rFonts w:hint="default" w:ascii="Times New Roman" w:hAnsi="Times New Roman" w:eastAsia="宋体" w:cs="Times New Roman"/>
                <w:b/>
                <w:color w:val="auto"/>
                <w:sz w:val="24"/>
              </w:rPr>
              <w:t>绿化面积</w:t>
            </w:r>
            <w:r>
              <w:rPr>
                <w:rFonts w:hint="eastAsia" w:ascii="Times New Roman" w:hAnsi="Times New Roman" w:eastAsia="宋体" w:cs="Times New Roman"/>
                <w:b/>
                <w:color w:val="auto"/>
                <w:sz w:val="24"/>
              </w:rPr>
              <w:t>（</w:t>
            </w:r>
            <w:r>
              <w:rPr>
                <w:rFonts w:hint="eastAsia" w:ascii="Times New Roman" w:hAnsi="Times New Roman" w:eastAsia="宋体" w:cs="Times New Roman"/>
                <w:b/>
                <w:color w:val="auto"/>
                <w:sz w:val="24"/>
                <w:lang w:val="en-US" w:eastAsia="zh-CN"/>
              </w:rPr>
              <w:t>%</w:t>
            </w:r>
            <w:r>
              <w:rPr>
                <w:rFonts w:hint="eastAsia" w:ascii="Times New Roman" w:hAnsi="Times New Roman" w:eastAsia="宋体" w:cs="Times New Roman"/>
                <w:b/>
                <w:color w:val="auto"/>
                <w:sz w:val="24"/>
              </w:rPr>
              <w:t>）</w:t>
            </w:r>
          </w:p>
        </w:tc>
        <w:tc>
          <w:tcPr>
            <w:tcW w:w="2537"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highlight w:val="yellow"/>
              </w:rPr>
            </w:pPr>
            <w:r>
              <w:rPr>
                <w:rFonts w:hint="eastAsia" w:ascii="Times New Roman" w:hAnsi="Times New Roman" w:eastAsia="宋体" w:cs="Times New Roman"/>
                <w:color w:val="auto"/>
                <w:sz w:val="24"/>
                <w:lang w:val="en-US" w:eastAsia="zh-CN"/>
              </w:rPr>
              <w:t>17.94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178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highlight w:val="none"/>
              </w:rPr>
              <w:t>总投资（万元）</w:t>
            </w:r>
          </w:p>
        </w:tc>
        <w:tc>
          <w:tcPr>
            <w:tcW w:w="1071"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rPr>
            </w:pPr>
            <w:r>
              <w:rPr>
                <w:rFonts w:hint="eastAsia" w:ascii="Times New Roman" w:hAnsi="Times New Roman" w:eastAsia="宋体" w:cs="Times New Roman"/>
                <w:color w:val="auto"/>
                <w:sz w:val="24"/>
                <w:highlight w:val="none"/>
                <w:lang w:val="en-US" w:eastAsia="zh-CN"/>
              </w:rPr>
              <w:t>17000</w:t>
            </w:r>
          </w:p>
        </w:tc>
        <w:tc>
          <w:tcPr>
            <w:tcW w:w="2142" w:type="dxa"/>
            <w:noWrap w:val="0"/>
            <w:vAlign w:val="center"/>
          </w:tcPr>
          <w:p>
            <w:pPr>
              <w:keepNext w:val="0"/>
              <w:keepLines w:val="0"/>
              <w:suppressLineNumbers w:val="0"/>
              <w:spacing w:before="0" w:beforeAutospacing="0" w:after="0" w:afterAutospacing="0" w:line="440" w:lineRule="exact"/>
              <w:ind w:left="0" w:right="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其中：环保投资</w:t>
            </w:r>
          </w:p>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sz w:val="24"/>
                <w:szCs w:val="24"/>
              </w:rPr>
            </w:pPr>
            <w:r>
              <w:rPr>
                <w:rFonts w:hint="default" w:ascii="Times New Roman" w:hAnsi="Times New Roman" w:eastAsia="宋体" w:cs="Times New Roman"/>
                <w:b/>
                <w:color w:val="auto"/>
                <w:sz w:val="24"/>
                <w:highlight w:val="none"/>
              </w:rPr>
              <w:t>（万元）</w:t>
            </w:r>
          </w:p>
        </w:tc>
        <w:tc>
          <w:tcPr>
            <w:tcW w:w="171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rPr>
            </w:pPr>
            <w:r>
              <w:rPr>
                <w:rFonts w:hint="eastAsia" w:ascii="Times New Roman" w:hAnsi="Times New Roman" w:eastAsia="宋体" w:cs="Times New Roman"/>
                <w:color w:val="auto"/>
                <w:sz w:val="24"/>
                <w:highlight w:val="none"/>
                <w:lang w:val="en-US" w:eastAsia="zh-CN"/>
              </w:rPr>
              <w:t>800</w:t>
            </w:r>
          </w:p>
        </w:tc>
        <w:tc>
          <w:tcPr>
            <w:tcW w:w="1594" w:type="dxa"/>
            <w:noWrap w:val="0"/>
            <w:vAlign w:val="center"/>
          </w:tcPr>
          <w:p>
            <w:pPr>
              <w:keepNext w:val="0"/>
              <w:keepLines w:val="0"/>
              <w:suppressLineNumbers w:val="0"/>
              <w:spacing w:before="0" w:beforeAutospacing="0" w:after="0" w:afterAutospacing="0" w:line="440" w:lineRule="exact"/>
              <w:ind w:left="0" w:right="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环保投资占</w:t>
            </w:r>
          </w:p>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rPr>
            </w:pPr>
            <w:r>
              <w:rPr>
                <w:rFonts w:hint="default" w:ascii="Times New Roman" w:hAnsi="Times New Roman" w:eastAsia="宋体" w:cs="Times New Roman"/>
                <w:b/>
                <w:color w:val="auto"/>
                <w:sz w:val="24"/>
                <w:highlight w:val="none"/>
              </w:rPr>
              <w:t>总投资比例</w:t>
            </w:r>
          </w:p>
        </w:tc>
        <w:tc>
          <w:tcPr>
            <w:tcW w:w="943"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rPr>
            </w:pPr>
            <w:r>
              <w:rPr>
                <w:rFonts w:hint="eastAsia" w:ascii="Times New Roman" w:hAnsi="Times New Roman" w:eastAsia="宋体" w:cs="Times New Roman"/>
                <w:color w:val="auto"/>
                <w:sz w:val="24"/>
                <w:highlight w:val="none"/>
                <w:lang w:val="en-US" w:eastAsia="zh-CN"/>
              </w:rPr>
              <w:t>4.7</w:t>
            </w:r>
            <w:r>
              <w:rPr>
                <w:rFonts w:hint="eastAsia" w:ascii="Times New Roman" w:hAnsi="Times New Roman" w:eastAsia="宋体" w:cs="Times New Roman"/>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853"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评价经费</w:t>
            </w:r>
            <w:r>
              <w:rPr>
                <w:rFonts w:hint="eastAsia" w:ascii="Times New Roman" w:hAnsi="Times New Roman" w:eastAsia="宋体" w:cs="Times New Roman"/>
                <w:b/>
                <w:color w:val="auto"/>
                <w:sz w:val="24"/>
              </w:rPr>
              <w:t>（万元）</w:t>
            </w:r>
          </w:p>
        </w:tc>
        <w:tc>
          <w:tcPr>
            <w:tcW w:w="2142"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rPr>
            </w:pPr>
            <w:r>
              <w:rPr>
                <w:rFonts w:hint="eastAsia" w:ascii="Times New Roman" w:hAnsi="Times New Roman" w:eastAsia="宋体" w:cs="Times New Roman"/>
                <w:color w:val="auto"/>
                <w:sz w:val="24"/>
              </w:rPr>
              <w:t>/</w:t>
            </w:r>
          </w:p>
        </w:tc>
        <w:tc>
          <w:tcPr>
            <w:tcW w:w="171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
                <w:color w:val="000000"/>
                <w:sz w:val="24"/>
                <w:szCs w:val="24"/>
              </w:rPr>
            </w:pPr>
            <w:r>
              <w:rPr>
                <w:rFonts w:hint="default" w:ascii="Times New Roman" w:hAnsi="Times New Roman" w:eastAsia="宋体" w:cs="Times New Roman"/>
                <w:b/>
                <w:color w:val="auto"/>
                <w:sz w:val="24"/>
              </w:rPr>
              <w:t>投产日期</w:t>
            </w:r>
          </w:p>
        </w:tc>
        <w:tc>
          <w:tcPr>
            <w:tcW w:w="2537" w:type="dxa"/>
            <w:gridSpan w:val="2"/>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color w:val="000000"/>
                <w:sz w:val="24"/>
                <w:szCs w:val="24"/>
              </w:rPr>
            </w:pPr>
            <w:r>
              <w:rPr>
                <w:rFonts w:hint="eastAsia" w:ascii="Times New Roman" w:hAnsi="Times New Roman" w:eastAsia="宋体" w:cs="Times New Roman"/>
                <w:color w:val="auto"/>
                <w:sz w:val="24"/>
                <w:highlight w:val="none"/>
                <w:lang w:val="en-US" w:eastAsia="zh-CN"/>
              </w:rPr>
              <w:t xml:space="preserve">2022年5月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8" w:hRule="atLeast"/>
          <w:jc w:val="center"/>
        </w:trPr>
        <w:tc>
          <w:tcPr>
            <w:tcW w:w="9242" w:type="dxa"/>
            <w:gridSpan w:val="6"/>
            <w:tcBorders>
              <w:bottom w:val="single" w:color="auto" w:sz="4" w:space="0"/>
            </w:tcBorders>
            <w:noWrap w:val="0"/>
            <w:vAlign w:val="top"/>
          </w:tcPr>
          <w:p>
            <w:pPr>
              <w:spacing w:line="360" w:lineRule="auto"/>
              <w:rPr>
                <w:rFonts w:ascii="Times New Roman" w:hAnsi="Times New Roman" w:eastAsia="宋体"/>
                <w:b/>
                <w:color w:val="000000"/>
                <w:sz w:val="28"/>
                <w:szCs w:val="28"/>
                <w:highlight w:val="none"/>
              </w:rPr>
            </w:pPr>
            <w:r>
              <w:rPr>
                <w:rFonts w:ascii="Times New Roman" w:hAnsi="Times New Roman" w:eastAsia="宋体"/>
                <w:b/>
                <w:color w:val="000000"/>
                <w:sz w:val="28"/>
                <w:szCs w:val="28"/>
                <w:highlight w:val="none"/>
              </w:rPr>
              <w:t>工程内容及规模：</w:t>
            </w:r>
          </w:p>
          <w:p>
            <w:pPr>
              <w:spacing w:line="360" w:lineRule="auto"/>
              <w:ind w:firstLine="482" w:firstLineChars="200"/>
              <w:rPr>
                <w:rFonts w:hint="eastAsia" w:ascii="Times New Roman" w:hAnsi="Times New Roman" w:eastAsia="宋体"/>
                <w:b/>
                <w:color w:val="000000"/>
                <w:sz w:val="24"/>
                <w:szCs w:val="24"/>
                <w:highlight w:val="none"/>
                <w:lang w:eastAsia="zh-CN"/>
              </w:rPr>
            </w:pPr>
            <w:r>
              <w:rPr>
                <w:rFonts w:ascii="Times New Roman" w:hAnsi="Times New Roman" w:eastAsia="宋体"/>
                <w:b/>
                <w:color w:val="000000"/>
                <w:sz w:val="24"/>
                <w:szCs w:val="24"/>
                <w:highlight w:val="none"/>
              </w:rPr>
              <w:t>1、项目</w:t>
            </w:r>
            <w:r>
              <w:rPr>
                <w:rFonts w:hint="eastAsia" w:ascii="Times New Roman" w:hAnsi="Times New Roman" w:eastAsia="宋体"/>
                <w:b/>
                <w:color w:val="000000"/>
                <w:sz w:val="24"/>
                <w:szCs w:val="24"/>
                <w:highlight w:val="none"/>
                <w:lang w:val="en-US" w:eastAsia="zh-CN"/>
              </w:rPr>
              <w:t>由来</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安徽海螺水泥股份有限公司（以下简称海螺水泥）是由安徽海螺集团有限责任公司独家发起，成立于1997年9月1日。1997年10月21日在香港挂牌上市，主要从事水泥及商品熟料的生产和销售，是世界上最大的单一品牌供应商。经过多年发展，公司先后建成了铜陵、英德、池州、枞阳、芜湖5个千万吨级特大型熟料基地，并在安徽芜湖、铜陵兴建了代表当今世界最先进技术水平的4条12000吨熟料生产线。目前公司共有新型干法水泥生产线145条、390台水泥磨、103套余热发电机组，共形成熟料产能2.5亿吨、水泥总产能3.5亿吨、发电装机容量1225兆瓦。“CONCH”商标被国家商标局认定为驰名商标，“海螺”牌水泥被国家质量监督检验检疫总局批准为免检产品，长期、广泛应用于举世瞩目的标志性工程，如：上海东方明珠电视塔、上海磁悬浮列车（轨道梁）、连云港田湾核电站、浦东国际机场、厦门海沧大桥、杭州湾跨海大桥、京沪高铁等工程。同时，产品出口美国、欧洲、非洲、亚洲等20多个国家和地区。</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2006年12月31日，国家发改委、国土资源部、中国人民银行共同下发了《关于公布国家重点支持水泥工业结构调整大型企业(集团)名单的通知》，首次公布了60家国家重点支持的大型水泥企业，其中12户企业为全国性重点企业，安徽海螺集团名列12户全国重点企业之首。</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长期以来，海螺水泥始终以振兴民族水泥工业为己任，牢牢把握国家水泥工业的产业政策，在科学规划、合理布局和有效地利用资源的基础上，坚持大力发展新型干法水泥技术，不断提高水泥生产的现代化、大型化、集约化水平，在自身快速发展的同时，有力地推动了我国水泥工业的技术进步和结构调整，2010年5月，海螺集团被授予“2010节能中国十大贡献企业”荣誉称号。 2010年9月，海螺水泥作为水泥行业的领军企业入选了“2010年度中国最具创新力公司”，2017年海螺水泥被国际水泥评论杂志（ICR）评为世界水泥六强第二位，并获得了业界最高的国际信用评级。</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暹罗水泥集团水泥有限公司(SCG Cement Co., Ltd.）（以下简称暹罗水泥）成立于1913年，是泰国最大的水泥生产商。其母公司SCG集团已经有105年的经营历史，下设3个核心产业，分别是水泥建筑材料、化工产品、包装制品，2017年销售额达133亿美元。暹罗水泥主要经营混凝土、水泥和耐火材料，2017年水泥产能为3360万吨，销售额达52亿美元。</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暹罗水泥的子公司——暹罗耐火材料工业有限公司（SRIC），成立于1953年，其生产规模达16.2万吨/年，是东南亚最大的耐火材料生产商。SRIC公司的产品技术水平可与美国和欧洲等先进国家相媲美，该公司有较长的水泥窑用耐火材料生产历史，而且有自己的研发团队。可以提供水泥生产线从冷却器、回转窑到预热器等全套耐火材料。其产品不仅供应国内，而且出口许多国家，例如：马来西亚、印尼、柬埔寨、越南、菲律宾、巴基斯坦、埃及、苏丹、尼日利亚、澳大利亚等。</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发展壮大耐火材料产业，海螺水泥与SCG公司实现强强联手，本着互惠互利、共同发展的原则，共同开发生产高质量的耐火材料产品。发挥海螺水泥的存量资产及市场优势和SCＧ公司管理、技术及服务模式优势，双方共同出资于2011年9月23日成立安徽海螺暹罗耐火材料有限公司，一期生产线于2012年9月份建成投产，汲取泰国SRIC公司的生产技术，借助海螺集团在水泥生产规模、资源、技术、人才和管理等方面优势，创新人才培养和经营管理模式，为员工提供广阔的发展平台，实现员工与企业共同成长。主要从事水泥行业碱性砖等耐火材料的研发、制造、销售和服务。在满足海螺水泥生产需要的同时，也为国内外水泥企业提供优质耐火材料产品。</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安徽海螺暹罗耐火材料有限公司位于安徽省芜湖市弋江区，总占地128亩，距离芜湖市中心约11公里，距205国道约200米。规划年产15万吨耐火材料，统一规划，分步实施。一期工程规划2条碱性耐火砖生产线，生产规模为5万吨/年，于2012年9月份建成投产；二期生产产品为高铝耐火砖，年产能为5万吨</w:t>
            </w:r>
            <w:r>
              <w:rPr>
                <w:rFonts w:hint="eastAsia" w:ascii="Times New Roman" w:hAnsi="Times New Roman" w:eastAsia="宋体" w:cs="Times New Roman"/>
                <w:color w:val="auto"/>
                <w:sz w:val="24"/>
                <w:lang w:eastAsia="zh-CN"/>
              </w:rPr>
              <w:t>。</w:t>
            </w:r>
            <w:r>
              <w:rPr>
                <w:rFonts w:hint="eastAsia" w:cs="Times New Roman"/>
                <w:color w:val="auto"/>
                <w:sz w:val="24"/>
                <w:lang w:val="en-US" w:eastAsia="zh-CN"/>
              </w:rPr>
              <w:t>本项目为二期高铝砖项目。</w:t>
            </w:r>
          </w:p>
          <w:p>
            <w:pPr>
              <w:pStyle w:val="16"/>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default" w:ascii="Times New Roman" w:hAnsi="Times New Roman" w:eastAsia="宋体" w:cs="Times New Roman"/>
                <w:color w:val="auto"/>
                <w:kern w:val="2"/>
                <w:sz w:val="24"/>
                <w:szCs w:val="22"/>
                <w:lang w:val="en-US" w:eastAsia="zh-CN" w:bidi="ar-SA"/>
              </w:rPr>
            </w:pPr>
            <w:r>
              <w:rPr>
                <w:rFonts w:hint="default" w:ascii="Times New Roman" w:hAnsi="Times New Roman" w:eastAsia="宋体" w:cs="Times New Roman"/>
                <w:color w:val="auto"/>
                <w:kern w:val="2"/>
                <w:sz w:val="24"/>
                <w:szCs w:val="22"/>
                <w:lang w:val="en-US" w:eastAsia="zh-CN" w:bidi="ar-SA"/>
              </w:rPr>
              <w:t>安徽海螺暹罗耐火材料有限公司</w:t>
            </w:r>
            <w:r>
              <w:rPr>
                <w:rFonts w:hint="eastAsia" w:ascii="Times New Roman" w:hAnsi="Times New Roman" w:eastAsia="宋体" w:cs="Times New Roman"/>
                <w:color w:val="auto"/>
                <w:kern w:val="2"/>
                <w:sz w:val="24"/>
                <w:szCs w:val="22"/>
                <w:lang w:val="en-US" w:eastAsia="zh-CN" w:bidi="ar-SA"/>
              </w:rPr>
              <w:t>于2011年6月委托安徽省环境科学研究院编制</w:t>
            </w:r>
            <w:r>
              <w:rPr>
                <w:rFonts w:hint="eastAsia" w:ascii="Times New Roman" w:hAnsi="Times New Roman" w:eastAsia="宋体"/>
                <w:sz w:val="24"/>
                <w:szCs w:val="24"/>
              </w:rPr>
              <w:t>安徽海螺暹罗耐火材料有限公司15万t/a耐火材料项目</w:t>
            </w:r>
            <w:r>
              <w:rPr>
                <w:rFonts w:hint="eastAsia" w:ascii="Times New Roman" w:hAnsi="Times New Roman" w:eastAsia="宋体"/>
                <w:sz w:val="24"/>
                <w:szCs w:val="24"/>
                <w:lang w:eastAsia="zh-CN"/>
              </w:rPr>
              <w:t>环境影响报告表，该项目已于</w:t>
            </w:r>
            <w:r>
              <w:rPr>
                <w:rFonts w:hint="eastAsia" w:ascii="Times New Roman" w:hAnsi="Times New Roman" w:eastAsia="宋体"/>
                <w:sz w:val="24"/>
                <w:szCs w:val="24"/>
                <w:lang w:val="en-US" w:eastAsia="zh-CN"/>
              </w:rPr>
              <w:t>2011年8月16日经原芜湖市环境保护局批复。其中项目分为两期建设，一期建设内容为5万t/a水泥窑用碱性耐火材料生产线。目前一期建设内容已建成投产并于2013年原芜湖市环境保护局“环验【2013】041号”文批准验收。</w:t>
            </w:r>
          </w:p>
          <w:p>
            <w:pPr>
              <w:pStyle w:val="16"/>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default" w:ascii="Times New Roman" w:hAnsi="Times New Roman" w:eastAsia="宋体" w:cs="Times New Roman"/>
                <w:color w:val="auto"/>
                <w:kern w:val="2"/>
                <w:sz w:val="24"/>
                <w:szCs w:val="22"/>
                <w:lang w:val="en-US" w:eastAsia="zh-CN" w:bidi="ar-SA"/>
              </w:rPr>
            </w:pPr>
            <w:r>
              <w:rPr>
                <w:rFonts w:hint="eastAsia" w:ascii="Times New Roman" w:hAnsi="Times New Roman" w:eastAsia="宋体" w:cs="Times New Roman"/>
                <w:color w:val="auto"/>
                <w:kern w:val="2"/>
                <w:sz w:val="24"/>
                <w:szCs w:val="22"/>
                <w:lang w:val="en-US" w:eastAsia="zh-CN" w:bidi="ar-SA"/>
              </w:rPr>
              <w:t>本次扩建</w:t>
            </w:r>
            <w:r>
              <w:rPr>
                <w:rFonts w:hint="default" w:ascii="Times New Roman" w:hAnsi="Times New Roman" w:eastAsia="宋体" w:cs="Times New Roman"/>
                <w:color w:val="auto"/>
                <w:kern w:val="2"/>
                <w:sz w:val="24"/>
                <w:szCs w:val="22"/>
                <w:lang w:val="en-US" w:eastAsia="zh-CN" w:bidi="ar-SA"/>
              </w:rPr>
              <w:t>项目总投</w:t>
            </w:r>
            <w:r>
              <w:rPr>
                <w:rFonts w:hint="eastAsia" w:ascii="Times New Roman" w:hAnsi="Times New Roman" w:eastAsia="宋体" w:cs="Times New Roman"/>
                <w:color w:val="auto"/>
                <w:kern w:val="2"/>
                <w:sz w:val="24"/>
                <w:szCs w:val="22"/>
                <w:lang w:val="en-US" w:eastAsia="zh-CN" w:bidi="ar-SA"/>
              </w:rPr>
              <w:t>17000万</w:t>
            </w:r>
            <w:r>
              <w:rPr>
                <w:rFonts w:hint="default" w:ascii="Times New Roman" w:hAnsi="Times New Roman" w:eastAsia="宋体" w:cs="Times New Roman"/>
                <w:color w:val="auto"/>
                <w:kern w:val="2"/>
                <w:sz w:val="24"/>
                <w:szCs w:val="22"/>
                <w:lang w:val="en-US" w:eastAsia="zh-CN" w:bidi="ar-SA"/>
              </w:rPr>
              <w:t>元，</w:t>
            </w:r>
            <w:r>
              <w:rPr>
                <w:rFonts w:hint="eastAsia" w:ascii="Times New Roman" w:hAnsi="Times New Roman" w:eastAsia="宋体" w:cs="Times New Roman"/>
                <w:color w:val="auto"/>
                <w:kern w:val="2"/>
                <w:sz w:val="24"/>
                <w:szCs w:val="22"/>
                <w:lang w:val="en-US" w:eastAsia="zh-CN" w:bidi="ar-SA"/>
              </w:rPr>
              <w:t>扩建产能为年产5万吨高铝耐火材料生产线。建设内容包括：原料</w:t>
            </w:r>
            <w:r>
              <w:rPr>
                <w:rFonts w:hint="eastAsia" w:ascii="Times New Roman" w:hAnsi="Times New Roman" w:cs="Times New Roman"/>
                <w:color w:val="auto"/>
                <w:kern w:val="2"/>
                <w:sz w:val="24"/>
                <w:szCs w:val="22"/>
                <w:lang w:val="en-US" w:eastAsia="zh-CN" w:bidi="ar-SA"/>
              </w:rPr>
              <w:t>立</w:t>
            </w:r>
            <w:r>
              <w:rPr>
                <w:rFonts w:hint="eastAsia" w:ascii="Times New Roman" w:hAnsi="Times New Roman" w:eastAsia="宋体" w:cs="Times New Roman"/>
                <w:color w:val="auto"/>
                <w:kern w:val="2"/>
                <w:sz w:val="24"/>
                <w:szCs w:val="22"/>
                <w:lang w:val="en-US" w:eastAsia="zh-CN" w:bidi="ar-SA"/>
              </w:rPr>
              <w:t>库、配料、混合、成型、干燥、烧成等各工艺环节，以及配套生产辅助设施、</w:t>
            </w:r>
            <w:r>
              <w:rPr>
                <w:rFonts w:hint="eastAsia" w:ascii="Times New Roman" w:hAnsi="Times New Roman" w:cs="Times New Roman"/>
                <w:color w:val="auto"/>
                <w:kern w:val="2"/>
                <w:sz w:val="24"/>
                <w:szCs w:val="22"/>
                <w:lang w:val="en-US" w:eastAsia="zh-CN" w:bidi="ar-SA"/>
              </w:rPr>
              <w:t>新建</w:t>
            </w:r>
            <w:r>
              <w:rPr>
                <w:rFonts w:hint="eastAsia" w:ascii="Times New Roman" w:hAnsi="Times New Roman" w:eastAsia="宋体" w:cs="Times New Roman"/>
                <w:color w:val="auto"/>
                <w:kern w:val="2"/>
                <w:sz w:val="24"/>
                <w:szCs w:val="22"/>
                <w:lang w:val="en-US" w:eastAsia="zh-CN" w:bidi="ar-SA"/>
              </w:rPr>
              <w:t>办公楼</w:t>
            </w:r>
            <w:r>
              <w:rPr>
                <w:rFonts w:hint="eastAsia" w:ascii="Times New Roman" w:hAnsi="Times New Roman" w:cs="Times New Roman"/>
                <w:color w:val="auto"/>
                <w:kern w:val="2"/>
                <w:sz w:val="24"/>
                <w:szCs w:val="22"/>
                <w:lang w:val="en-US" w:eastAsia="zh-CN" w:bidi="ar-SA"/>
              </w:rPr>
              <w:t>、食堂</w:t>
            </w:r>
            <w:r>
              <w:rPr>
                <w:rFonts w:hint="eastAsia" w:ascii="Times New Roman" w:hAnsi="Times New Roman" w:eastAsia="宋体" w:cs="Times New Roman"/>
                <w:color w:val="auto"/>
                <w:kern w:val="2"/>
                <w:sz w:val="24"/>
                <w:szCs w:val="22"/>
                <w:lang w:val="en-US" w:eastAsia="zh-CN" w:bidi="ar-SA"/>
              </w:rPr>
              <w:t>改造、项目生产区域的总平面规划等。</w:t>
            </w:r>
            <w:r>
              <w:rPr>
                <w:rFonts w:hint="default" w:ascii="Times New Roman" w:hAnsi="Times New Roman" w:eastAsia="宋体" w:cs="Times New Roman"/>
                <w:color w:val="auto"/>
                <w:kern w:val="2"/>
                <w:sz w:val="24"/>
                <w:szCs w:val="22"/>
                <w:lang w:val="en-US" w:eastAsia="zh-CN" w:bidi="ar-SA"/>
              </w:rPr>
              <w:t>安徽海螺暹罗耐火材料有限公司位</w:t>
            </w:r>
            <w:r>
              <w:rPr>
                <w:rFonts w:hint="eastAsia" w:ascii="Times New Roman" w:hAnsi="Times New Roman" w:eastAsia="宋体" w:cs="Times New Roman"/>
                <w:color w:val="auto"/>
                <w:kern w:val="2"/>
                <w:sz w:val="24"/>
                <w:szCs w:val="22"/>
                <w:lang w:val="en-US" w:eastAsia="zh-CN" w:bidi="ar-SA"/>
              </w:rPr>
              <w:t>于20</w:t>
            </w:r>
            <w:r>
              <w:rPr>
                <w:rFonts w:hint="eastAsia" w:ascii="Times New Roman" w:hAnsi="Times New Roman" w:cs="Times New Roman"/>
                <w:color w:val="auto"/>
                <w:kern w:val="2"/>
                <w:sz w:val="24"/>
                <w:szCs w:val="22"/>
                <w:lang w:val="en-US" w:eastAsia="zh-CN" w:bidi="ar-SA"/>
              </w:rPr>
              <w:t>20</w:t>
            </w:r>
            <w:r>
              <w:rPr>
                <w:rFonts w:hint="eastAsia" w:ascii="Times New Roman" w:hAnsi="Times New Roman" w:eastAsia="宋体" w:cs="Times New Roman"/>
                <w:color w:val="auto"/>
                <w:kern w:val="2"/>
                <w:sz w:val="24"/>
                <w:szCs w:val="22"/>
                <w:lang w:val="en-US" w:eastAsia="zh-CN" w:bidi="ar-SA"/>
              </w:rPr>
              <w:t>年</w:t>
            </w:r>
            <w:r>
              <w:rPr>
                <w:rFonts w:hint="eastAsia" w:ascii="Times New Roman" w:hAnsi="Times New Roman" w:cs="Times New Roman"/>
                <w:color w:val="auto"/>
                <w:kern w:val="2"/>
                <w:sz w:val="24"/>
                <w:szCs w:val="22"/>
                <w:lang w:val="en-US" w:eastAsia="zh-CN" w:bidi="ar-SA"/>
              </w:rPr>
              <w:t>8</w:t>
            </w:r>
            <w:r>
              <w:rPr>
                <w:rFonts w:hint="eastAsia" w:ascii="Times New Roman" w:hAnsi="Times New Roman" w:eastAsia="宋体" w:cs="Times New Roman"/>
                <w:color w:val="auto"/>
                <w:kern w:val="2"/>
                <w:sz w:val="24"/>
                <w:szCs w:val="22"/>
                <w:lang w:val="en-US" w:eastAsia="zh-CN" w:bidi="ar-SA"/>
              </w:rPr>
              <w:t>月1</w:t>
            </w:r>
            <w:r>
              <w:rPr>
                <w:rFonts w:hint="eastAsia" w:ascii="Times New Roman" w:hAnsi="Times New Roman" w:cs="Times New Roman"/>
                <w:color w:val="auto"/>
                <w:kern w:val="2"/>
                <w:sz w:val="24"/>
                <w:szCs w:val="22"/>
                <w:lang w:val="en-US" w:eastAsia="zh-CN" w:bidi="ar-SA"/>
              </w:rPr>
              <w:t>2</w:t>
            </w:r>
            <w:r>
              <w:rPr>
                <w:rFonts w:hint="eastAsia" w:ascii="Times New Roman" w:hAnsi="Times New Roman" w:eastAsia="宋体" w:cs="Times New Roman"/>
                <w:color w:val="auto"/>
                <w:kern w:val="2"/>
                <w:sz w:val="24"/>
                <w:szCs w:val="22"/>
                <w:lang w:val="en-US" w:eastAsia="zh-CN" w:bidi="ar-SA"/>
              </w:rPr>
              <w:t>日获得芜湖市弋江区发展和改革委员会关于本项目备案的通知。</w:t>
            </w:r>
          </w:p>
          <w:p>
            <w:pPr>
              <w:keepNext w:val="0"/>
              <w:keepLines w:val="0"/>
              <w:suppressLineNumbers w:val="0"/>
              <w:autoSpaceDE w:val="0"/>
              <w:autoSpaceDN w:val="0"/>
              <w:adjustRightInd w:val="0"/>
              <w:snapToGrid w:val="0"/>
              <w:spacing w:before="0" w:beforeAutospacing="0" w:after="0" w:afterAutospacing="0" w:line="44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w:t>
            </w:r>
            <w:r>
              <w:rPr>
                <w:rFonts w:hint="eastAsia" w:ascii="Times New Roman" w:hAnsi="Times New Roman" w:eastAsia="宋体" w:cs="Times New Roman"/>
                <w:color w:val="auto"/>
                <w:sz w:val="24"/>
              </w:rPr>
              <w:t>《中华人民共和国环境保护法》、</w:t>
            </w:r>
            <w:r>
              <w:rPr>
                <w:rFonts w:hint="default" w:ascii="Times New Roman" w:hAnsi="Times New Roman" w:eastAsia="宋体" w:cs="Times New Roman"/>
                <w:color w:val="auto"/>
                <w:sz w:val="24"/>
              </w:rPr>
              <w:t>《中华人民共和国环境影响评价法》和《建设项目环境保护管理条例》的有关规定，该项目应进行环境影响评价工作</w:t>
            </w:r>
            <w:r>
              <w:rPr>
                <w:rFonts w:hint="eastAsia" w:ascii="Times New Roman" w:hAnsi="Times New Roman" w:eastAsia="宋体" w:cs="Times New Roman"/>
                <w:color w:val="auto"/>
                <w:sz w:val="24"/>
              </w:rPr>
              <w:t>。根据《建设项目环境影响评价分类管理名录》项目属于“</w:t>
            </w:r>
            <w:r>
              <w:rPr>
                <w:rFonts w:hint="eastAsia" w:ascii="Times New Roman" w:hAnsi="Times New Roman" w:eastAsia="宋体" w:cs="Times New Roman"/>
                <w:color w:val="auto"/>
                <w:sz w:val="24"/>
                <w:lang w:val="en-US" w:eastAsia="zh-CN"/>
              </w:rPr>
              <w:t>十九、非金属矿物制品业</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55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耐火材料及其制品</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中其他项</w:t>
            </w:r>
            <w:r>
              <w:rPr>
                <w:rFonts w:hint="eastAsia"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rPr>
              <w:t>需要编制报告表。</w:t>
            </w:r>
            <w:r>
              <w:rPr>
                <w:rFonts w:hint="eastAsia" w:ascii="Times New Roman" w:hAnsi="Times New Roman" w:eastAsia="宋体" w:cs="Times New Roman"/>
                <w:color w:val="auto"/>
                <w:sz w:val="24"/>
                <w:lang w:val="en-US" w:eastAsia="zh-CN"/>
              </w:rPr>
              <w:t>安徽海螺暹罗耐火材料有限公司</w:t>
            </w:r>
            <w:r>
              <w:rPr>
                <w:rFonts w:hint="eastAsia" w:ascii="Times New Roman" w:hAnsi="Times New Roman" w:eastAsia="宋体" w:cs="Times New Roman"/>
                <w:color w:val="auto"/>
                <w:sz w:val="24"/>
              </w:rPr>
              <w:t>委托</w:t>
            </w:r>
            <w:r>
              <w:rPr>
                <w:rFonts w:hint="default" w:ascii="Times New Roman" w:hAnsi="Times New Roman" w:eastAsia="宋体" w:cs="Times New Roman"/>
                <w:color w:val="auto"/>
                <w:sz w:val="24"/>
              </w:rPr>
              <w:t>我</w:t>
            </w:r>
            <w:r>
              <w:rPr>
                <w:rFonts w:hint="eastAsia" w:ascii="Times New Roman" w:hAnsi="Times New Roman" w:eastAsia="宋体" w:cs="Times New Roman"/>
                <w:color w:val="auto"/>
                <w:sz w:val="24"/>
              </w:rPr>
              <w:t>公司</w:t>
            </w:r>
            <w:r>
              <w:rPr>
                <w:rFonts w:hint="default" w:ascii="Times New Roman" w:hAnsi="Times New Roman" w:eastAsia="宋体" w:cs="Times New Roman"/>
                <w:color w:val="auto"/>
                <w:sz w:val="24"/>
              </w:rPr>
              <w:t>进行该项目的环境影响评价。接受委托后，</w:t>
            </w:r>
            <w:r>
              <w:rPr>
                <w:rFonts w:hint="eastAsia" w:ascii="Times New Roman" w:hAnsi="Times New Roman" w:eastAsia="宋体" w:cs="Times New Roman"/>
                <w:color w:val="auto"/>
                <w:sz w:val="24"/>
              </w:rPr>
              <w:t>我</w:t>
            </w:r>
            <w:r>
              <w:rPr>
                <w:rFonts w:hint="default" w:ascii="Times New Roman" w:hAnsi="Times New Roman" w:eastAsia="宋体" w:cs="Times New Roman"/>
                <w:color w:val="auto"/>
                <w:sz w:val="24"/>
              </w:rPr>
              <w:t>单位有关工程技术人员对本项目进行了实地考察，对厂址周围环境状况进行了调查，收集了当地的环保、水文、气象、地质等有关资料，按有关技术要求编写了本环境影响报告表。</w:t>
            </w:r>
          </w:p>
          <w:p>
            <w:pPr>
              <w:spacing w:line="360" w:lineRule="auto"/>
              <w:ind w:firstLine="482" w:firstLineChars="200"/>
              <w:rPr>
                <w:rFonts w:ascii="Times New Roman" w:hAnsi="Times New Roman" w:eastAsia="宋体"/>
                <w:b/>
                <w:color w:val="000000"/>
                <w:sz w:val="24"/>
                <w:szCs w:val="24"/>
                <w:highlight w:val="none"/>
              </w:rPr>
            </w:pPr>
            <w:r>
              <w:rPr>
                <w:rFonts w:ascii="Times New Roman" w:hAnsi="Times New Roman" w:eastAsia="宋体"/>
                <w:b/>
                <w:color w:val="000000"/>
                <w:sz w:val="24"/>
                <w:szCs w:val="24"/>
                <w:highlight w:val="none"/>
              </w:rPr>
              <w:t>2、项目基本情况</w:t>
            </w:r>
          </w:p>
          <w:p>
            <w:pPr>
              <w:keepNext w:val="0"/>
              <w:keepLines w:val="0"/>
              <w:suppressLineNumbers w:val="0"/>
              <w:spacing w:before="0" w:beforeAutospacing="0" w:after="0" w:afterAutospacing="0" w:line="44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（1）项目名称</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安徽海螺暹罗耐火材料</w:t>
            </w:r>
            <w:r>
              <w:rPr>
                <w:rFonts w:hint="eastAsia" w:cs="Times New Roman"/>
                <w:color w:val="auto"/>
                <w:sz w:val="24"/>
                <w:lang w:val="en-US" w:eastAsia="zh-CN"/>
              </w:rPr>
              <w:t>有限</w:t>
            </w:r>
            <w:r>
              <w:rPr>
                <w:rFonts w:hint="eastAsia" w:ascii="Times New Roman" w:hAnsi="Times New Roman" w:eastAsia="宋体" w:cs="Times New Roman"/>
                <w:color w:val="auto"/>
                <w:sz w:val="24"/>
                <w:lang w:val="en-US" w:eastAsia="zh-CN"/>
              </w:rPr>
              <w:t>公司年产5万吨耐火材料项目</w:t>
            </w:r>
          </w:p>
          <w:p>
            <w:pPr>
              <w:keepNext w:val="0"/>
              <w:keepLines w:val="0"/>
              <w:suppressLineNumbers w:val="0"/>
              <w:spacing w:before="0" w:beforeAutospacing="0" w:after="0" w:afterAutospacing="0" w:line="440" w:lineRule="exact"/>
              <w:ind w:left="0" w:right="0" w:firstLine="480" w:firstLineChars="200"/>
              <w:rPr>
                <w:rFonts w:hint="default" w:ascii="Times New Roman" w:hAnsi="Times New Roman" w:eastAsia="宋体" w:cs="Times New Roman"/>
                <w:color w:val="auto"/>
                <w:sz w:val="24"/>
                <w:highlight w:val="red"/>
              </w:rPr>
            </w:pPr>
            <w:r>
              <w:rPr>
                <w:rFonts w:hint="default" w:ascii="Times New Roman" w:hAnsi="Times New Roman" w:eastAsia="宋体" w:cs="Times New Roman"/>
                <w:color w:val="auto"/>
                <w:sz w:val="24"/>
              </w:rPr>
              <w:t>（2）建设单位</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安徽海螺暹罗耐火材料有限公司</w:t>
            </w:r>
          </w:p>
          <w:p>
            <w:pPr>
              <w:keepNext w:val="0"/>
              <w:keepLines w:val="0"/>
              <w:suppressLineNumbers w:val="0"/>
              <w:spacing w:before="0" w:beforeAutospacing="0" w:after="0" w:afterAutospacing="0" w:line="440" w:lineRule="exact"/>
              <w:ind w:left="0" w:right="0" w:firstLine="480" w:firstLineChars="200"/>
              <w:rPr>
                <w:rFonts w:hint="default" w:ascii="Times New Roman" w:hAnsi="Times New Roman" w:eastAsia="宋体" w:cs="Times New Roman"/>
                <w:color w:val="auto"/>
                <w:sz w:val="24"/>
                <w:highlight w:val="red"/>
              </w:rPr>
            </w:pPr>
            <w:r>
              <w:rPr>
                <w:rFonts w:hint="default" w:ascii="Times New Roman" w:hAnsi="Times New Roman" w:eastAsia="宋体" w:cs="Times New Roman"/>
                <w:color w:val="auto"/>
                <w:sz w:val="24"/>
              </w:rPr>
              <w:t>（3）项目性质</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扩建</w:t>
            </w:r>
          </w:p>
          <w:p>
            <w:pPr>
              <w:keepNext w:val="0"/>
              <w:keepLines w:val="0"/>
              <w:suppressLineNumbers w:val="0"/>
              <w:spacing w:before="0" w:beforeAutospacing="0" w:after="0" w:afterAutospacing="0" w:line="440" w:lineRule="exact"/>
              <w:ind w:left="0" w:right="0" w:firstLine="480" w:firstLineChars="200"/>
              <w:rPr>
                <w:rFonts w:hint="default" w:ascii="Times New Roman" w:hAnsi="Times New Roman" w:eastAsia="宋体" w:cs="Times New Roman"/>
                <w:color w:val="auto"/>
                <w:sz w:val="24"/>
                <w:highlight w:val="red"/>
              </w:rPr>
            </w:pPr>
            <w:r>
              <w:rPr>
                <w:rFonts w:hint="default" w:ascii="Times New Roman" w:hAnsi="Times New Roman" w:eastAsia="宋体" w:cs="Times New Roman"/>
                <w:color w:val="auto"/>
                <w:sz w:val="24"/>
              </w:rPr>
              <w:t>（4）建设地点及周围环境状况</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highlight w:val="yellow"/>
              </w:rPr>
            </w:pPr>
            <w:r>
              <w:rPr>
                <w:rFonts w:hint="eastAsia" w:ascii="Times New Roman" w:hAnsi="Times New Roman" w:eastAsia="宋体" w:cs="Times New Roman"/>
                <w:color w:val="auto"/>
                <w:sz w:val="24"/>
              </w:rPr>
              <w:t>本项目选址于</w:t>
            </w:r>
            <w:r>
              <w:rPr>
                <w:rFonts w:hint="eastAsia" w:ascii="Times New Roman" w:hAnsi="Times New Roman" w:eastAsia="宋体" w:cs="Times New Roman"/>
                <w:color w:val="auto"/>
                <w:w w:val="98"/>
                <w:sz w:val="24"/>
                <w:highlight w:val="none"/>
                <w:lang w:val="en-US" w:eastAsia="zh-CN"/>
              </w:rPr>
              <w:t>安徽省芜湖市火龙街道永胜四联村安徽海螺暹罗耐火材料有限公司</w:t>
            </w:r>
            <w:r>
              <w:rPr>
                <w:rFonts w:hint="eastAsia" w:ascii="Times New Roman" w:hAnsi="Times New Roman" w:eastAsia="宋体" w:cs="Times New Roman"/>
                <w:color w:val="auto"/>
                <w:sz w:val="24"/>
                <w:highlight w:val="none"/>
              </w:rPr>
              <w:t>（北纬</w:t>
            </w:r>
            <w:r>
              <w:rPr>
                <w:rFonts w:hint="default" w:ascii="Times New Roman" w:hAnsi="Times New Roman" w:eastAsia="宋体" w:cs="Times New Roman"/>
                <w:color w:val="auto"/>
                <w:sz w:val="24"/>
                <w:highlight w:val="none"/>
              </w:rPr>
              <w:t>31°</w:t>
            </w:r>
            <w:r>
              <w:rPr>
                <w:rFonts w:hint="eastAsia" w:ascii="Times New Roman" w:hAnsi="Times New Roman" w:eastAsia="宋体" w:cs="Times New Roman"/>
                <w:color w:val="auto"/>
                <w:sz w:val="24"/>
                <w:highlight w:val="none"/>
                <w:lang w:val="en-US" w:eastAsia="zh-CN"/>
              </w:rPr>
              <w:t>23</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03.71</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rPr>
              <w:t>东经118°</w:t>
            </w:r>
            <w:r>
              <w:rPr>
                <w:rFonts w:hint="eastAsia" w:ascii="Times New Roman" w:hAnsi="Times New Roman" w:eastAsia="宋体" w:cs="Times New Roman"/>
                <w:color w:val="auto"/>
                <w:sz w:val="24"/>
                <w:highlight w:val="none"/>
                <w:lang w:val="en-US" w:eastAsia="zh-CN"/>
              </w:rPr>
              <w:t>13</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33.96</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），交通条件便利。项目东侧为</w:t>
            </w:r>
            <w:r>
              <w:rPr>
                <w:rFonts w:hint="eastAsia" w:cs="Times New Roman"/>
                <w:color w:val="auto"/>
                <w:sz w:val="24"/>
                <w:highlight w:val="none"/>
                <w:lang w:val="en-US" w:eastAsia="zh-CN"/>
              </w:rPr>
              <w:t>永盛花园</w:t>
            </w:r>
            <w:r>
              <w:rPr>
                <w:rFonts w:hint="eastAsia" w:ascii="Times New Roman" w:hAnsi="Times New Roman" w:eastAsia="宋体" w:cs="Times New Roman"/>
                <w:color w:val="auto"/>
                <w:sz w:val="24"/>
                <w:highlight w:val="none"/>
              </w:rPr>
              <w:t>，南侧为</w:t>
            </w:r>
            <w:r>
              <w:rPr>
                <w:rFonts w:hint="eastAsia" w:cs="宋体"/>
                <w:sz w:val="24"/>
                <w:szCs w:val="24"/>
                <w:lang w:val="en-US" w:eastAsia="zh-CN"/>
              </w:rPr>
              <w:t>空地</w:t>
            </w:r>
            <w:r>
              <w:rPr>
                <w:rFonts w:hint="eastAsia" w:ascii="Times New Roman" w:hAnsi="Times New Roman" w:eastAsia="宋体" w:cs="Times New Roman"/>
                <w:color w:val="auto"/>
                <w:sz w:val="24"/>
                <w:highlight w:val="none"/>
              </w:rPr>
              <w:t>，西侧为</w:t>
            </w:r>
            <w:r>
              <w:rPr>
                <w:rFonts w:hint="eastAsia" w:ascii="Times New Roman" w:hAnsi="Times New Roman" w:eastAsia="宋体" w:cs="Times New Roman"/>
                <w:color w:val="auto"/>
                <w:sz w:val="24"/>
                <w:highlight w:val="none"/>
                <w:lang w:val="en-US" w:eastAsia="zh-CN"/>
              </w:rPr>
              <w:t>白马山水泥厂</w:t>
            </w:r>
            <w:r>
              <w:rPr>
                <w:rFonts w:hint="eastAsia" w:ascii="Times New Roman" w:hAnsi="Times New Roman" w:eastAsia="宋体" w:cs="Times New Roman"/>
                <w:color w:val="auto"/>
                <w:sz w:val="24"/>
                <w:highlight w:val="none"/>
              </w:rPr>
              <w:t>，北侧为</w:t>
            </w:r>
            <w:r>
              <w:rPr>
                <w:rFonts w:hint="eastAsia" w:ascii="Times New Roman" w:hAnsi="Times New Roman" w:eastAsia="宋体" w:cs="Times New Roman"/>
                <w:color w:val="auto"/>
                <w:sz w:val="24"/>
                <w:highlight w:val="none"/>
                <w:lang w:val="en-US" w:eastAsia="zh-CN"/>
              </w:rPr>
              <w:t>白马山水泥厂</w:t>
            </w:r>
            <w:r>
              <w:rPr>
                <w:rFonts w:hint="eastAsia" w:ascii="Times New Roman" w:hAnsi="Times New Roman" w:eastAsia="宋体" w:cs="Times New Roman"/>
                <w:color w:val="auto"/>
                <w:sz w:val="24"/>
                <w:highlight w:val="none"/>
              </w:rPr>
              <w:t>。项目具体地理位置详见附图</w:t>
            </w:r>
            <w:r>
              <w:rPr>
                <w:rFonts w:hint="default" w:ascii="Times New Roman" w:hAnsi="Times New Roman" w:eastAsia="宋体" w:cs="Times New Roman"/>
                <w:color w:val="auto"/>
                <w:sz w:val="24"/>
                <w:highlight w:val="none"/>
              </w:rPr>
              <w:t>1</w:t>
            </w:r>
            <w:r>
              <w:rPr>
                <w:rFonts w:hint="eastAsia" w:ascii="Times New Roman" w:hAnsi="Times New Roman" w:eastAsia="宋体" w:cs="Times New Roman"/>
                <w:color w:val="auto"/>
                <w:sz w:val="24"/>
                <w:highlight w:val="none"/>
              </w:rPr>
              <w:t>，项目周边概况见附图</w:t>
            </w:r>
            <w:r>
              <w:rPr>
                <w:rFonts w:hint="default" w:ascii="Times New Roman" w:hAnsi="Times New Roman" w:eastAsia="宋体" w:cs="Times New Roman"/>
                <w:color w:val="auto"/>
                <w:sz w:val="24"/>
                <w:highlight w:val="none"/>
              </w:rPr>
              <w:t>2</w:t>
            </w:r>
            <w:r>
              <w:rPr>
                <w:rFonts w:hint="eastAsia" w:ascii="Times New Roman" w:hAnsi="Times New Roman" w:eastAsia="宋体" w:cs="Times New Roman"/>
                <w:color w:val="auto"/>
                <w:sz w:val="24"/>
                <w:highlight w:val="none"/>
              </w:rPr>
              <w:t>，平面布置详见附图</w:t>
            </w:r>
            <w:r>
              <w:rPr>
                <w:rFonts w:hint="default" w:ascii="Times New Roman" w:hAnsi="Times New Roman" w:eastAsia="宋体" w:cs="Times New Roman"/>
                <w:color w:val="auto"/>
                <w:sz w:val="24"/>
                <w:highlight w:val="none"/>
              </w:rPr>
              <w:t>3。</w:t>
            </w:r>
          </w:p>
          <w:p>
            <w:pPr>
              <w:keepNext w:val="0"/>
              <w:keepLines w:val="0"/>
              <w:suppressLineNumbers w:val="0"/>
              <w:spacing w:before="0" w:beforeAutospacing="0" w:after="0" w:afterAutospacing="0" w:line="440" w:lineRule="exact"/>
              <w:ind w:left="0" w:right="0" w:firstLine="480" w:firstLineChars="200"/>
              <w:rPr>
                <w:rFonts w:hint="default" w:ascii="Times New Roman" w:hAnsi="Times New Roman" w:eastAsia="宋体" w:cs="Times New Roman"/>
                <w:color w:val="auto"/>
                <w:sz w:val="24"/>
                <w:highlight w:val="red"/>
              </w:rPr>
            </w:pPr>
            <w:r>
              <w:rPr>
                <w:rFonts w:hint="default" w:ascii="Times New Roman" w:hAnsi="Times New Roman" w:eastAsia="宋体" w:cs="Times New Roman"/>
                <w:color w:val="auto"/>
                <w:sz w:val="24"/>
              </w:rPr>
              <w:t>（5）项目总投资</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该项目总投资</w:t>
            </w:r>
            <w:r>
              <w:rPr>
                <w:rFonts w:hint="eastAsia" w:ascii="Times New Roman" w:hAnsi="Times New Roman" w:eastAsia="宋体" w:cs="Times New Roman"/>
                <w:color w:val="auto"/>
                <w:sz w:val="24"/>
                <w:highlight w:val="none"/>
                <w:lang w:val="en-US" w:eastAsia="zh-CN"/>
              </w:rPr>
              <w:t>17000</w:t>
            </w:r>
            <w:r>
              <w:rPr>
                <w:rFonts w:hint="default" w:ascii="Times New Roman" w:hAnsi="Times New Roman" w:eastAsia="宋体" w:cs="Times New Roman"/>
                <w:color w:val="auto"/>
                <w:sz w:val="24"/>
                <w:highlight w:val="none"/>
              </w:rPr>
              <w:t>万元</w:t>
            </w:r>
            <w:r>
              <w:rPr>
                <w:rFonts w:hint="eastAsia" w:ascii="Times New Roman" w:hAnsi="Times New Roman" w:eastAsia="宋体" w:cs="Times New Roman"/>
                <w:color w:val="auto"/>
                <w:sz w:val="24"/>
                <w:highlight w:val="none"/>
              </w:rPr>
              <w:t>。</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（6）建设规模及内容</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highlight w:val="none"/>
                <w:lang w:val="en-US" w:eastAsia="zh-CN"/>
              </w:rPr>
              <w:t>项目建设厂房建筑面积约24000m</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rPr>
              <w:t>项目组成见下表</w:t>
            </w:r>
            <w:r>
              <w:rPr>
                <w:rFonts w:hint="eastAsia" w:ascii="Times New Roman" w:hAnsi="Times New Roman" w:eastAsia="宋体" w:cs="Times New Roman"/>
                <w:color w:val="auto"/>
                <w:sz w:val="24"/>
              </w:rPr>
              <w:t>。</w:t>
            </w:r>
          </w:p>
          <w:p>
            <w:pPr>
              <w:spacing w:line="360" w:lineRule="auto"/>
              <w:ind w:firstLine="200"/>
              <w:jc w:val="center"/>
              <w:rPr>
                <w:rFonts w:ascii="Times New Roman" w:hAnsi="Times New Roman" w:eastAsia="宋体"/>
                <w:b/>
                <w:color w:val="000000"/>
                <w:sz w:val="24"/>
                <w:szCs w:val="24"/>
                <w:highlight w:val="none"/>
              </w:rPr>
            </w:pPr>
            <w:r>
              <w:rPr>
                <w:rFonts w:ascii="Times New Roman" w:hAnsi="Times New Roman" w:eastAsia="宋体"/>
                <w:b/>
                <w:color w:val="000000"/>
                <w:sz w:val="24"/>
                <w:szCs w:val="24"/>
                <w:highlight w:val="none"/>
              </w:rPr>
              <w:t xml:space="preserve">表1-1  </w:t>
            </w:r>
            <w:r>
              <w:rPr>
                <w:rFonts w:hint="eastAsia" w:ascii="Times New Roman" w:hAnsi="Times New Roman" w:eastAsia="宋体"/>
                <w:b/>
                <w:color w:val="000000"/>
                <w:sz w:val="24"/>
                <w:szCs w:val="24"/>
                <w:highlight w:val="none"/>
              </w:rPr>
              <w:t>本</w:t>
            </w:r>
            <w:r>
              <w:rPr>
                <w:rFonts w:ascii="Times New Roman" w:hAnsi="Times New Roman" w:eastAsia="宋体"/>
                <w:b/>
                <w:color w:val="000000"/>
                <w:sz w:val="24"/>
                <w:szCs w:val="24"/>
                <w:highlight w:val="none"/>
              </w:rPr>
              <w:t>项目建设组成一览表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860"/>
              <w:gridCol w:w="2761"/>
              <w:gridCol w:w="2883"/>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6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工程类别</w:t>
                  </w:r>
                </w:p>
              </w:tc>
              <w:tc>
                <w:tcPr>
                  <w:tcW w:w="8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工程名称</w:t>
                  </w:r>
                </w:p>
              </w:tc>
              <w:tc>
                <w:tcPr>
                  <w:tcW w:w="2761"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现有工程内容及规模</w:t>
                  </w:r>
                </w:p>
              </w:tc>
              <w:tc>
                <w:tcPr>
                  <w:tcW w:w="2883"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扩建工程内容及规模</w:t>
                  </w:r>
                </w:p>
              </w:tc>
              <w:tc>
                <w:tcPr>
                  <w:tcW w:w="1132"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color w:val="000000"/>
                      <w:kern w:val="0"/>
                      <w:szCs w:val="21"/>
                      <w:highlight w:val="none"/>
                      <w:lang w:val="en-GB"/>
                    </w:rPr>
                    <w:t>依托关系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主体工程</w:t>
                  </w:r>
                </w:p>
              </w:tc>
              <w:tc>
                <w:tcPr>
                  <w:tcW w:w="860" w:type="dxa"/>
                  <w:noWrap w:val="0"/>
                  <w:vAlign w:val="center"/>
                </w:tcPr>
                <w:p>
                  <w:pPr>
                    <w:jc w:val="center"/>
                    <w:rPr>
                      <w:rFonts w:hint="eastAsia" w:ascii="Times New Roman" w:hAnsi="Times New Roman" w:eastAsia="宋体"/>
                      <w:szCs w:val="21"/>
                      <w:highlight w:val="none"/>
                    </w:rPr>
                  </w:pPr>
                  <w:r>
                    <w:rPr>
                      <w:rFonts w:hint="eastAsia" w:ascii="Times New Roman" w:hAnsi="Times New Roman" w:eastAsia="宋体"/>
                      <w:szCs w:val="21"/>
                      <w:highlight w:val="none"/>
                    </w:rPr>
                    <w:t>碱性砖生产线</w:t>
                  </w:r>
                </w:p>
              </w:tc>
              <w:tc>
                <w:tcPr>
                  <w:tcW w:w="2761" w:type="dxa"/>
                  <w:noWrap w:val="0"/>
                  <w:vAlign w:val="center"/>
                </w:tcPr>
                <w:p>
                  <w:pPr>
                    <w:jc w:val="center"/>
                    <w:rPr>
                      <w:rFonts w:hint="eastAsia" w:ascii="Times New Roman" w:hAnsi="Times New Roman" w:eastAsia="宋体"/>
                      <w:szCs w:val="21"/>
                      <w:highlight w:val="none"/>
                    </w:rPr>
                  </w:pPr>
                  <w:r>
                    <w:rPr>
                      <w:rFonts w:hint="eastAsia" w:ascii="Times New Roman" w:hAnsi="Times New Roman" w:eastAsia="宋体"/>
                      <w:szCs w:val="21"/>
                      <w:highlight w:val="none"/>
                    </w:rPr>
                    <w:t>一期碱性砖生产线（包含原料库、破粉碎配料混合</w:t>
                  </w:r>
                  <w:r>
                    <w:rPr>
                      <w:rFonts w:hint="eastAsia"/>
                      <w:szCs w:val="21"/>
                      <w:highlight w:val="none"/>
                      <w:lang w:val="en-US" w:eastAsia="zh-CN"/>
                    </w:rPr>
                    <w:t>工序</w:t>
                  </w:r>
                  <w:r>
                    <w:rPr>
                      <w:rFonts w:hint="eastAsia" w:ascii="Times New Roman" w:hAnsi="Times New Roman" w:eastAsia="宋体"/>
                      <w:szCs w:val="21"/>
                      <w:highlight w:val="none"/>
                    </w:rPr>
                    <w:t>、成型</w:t>
                  </w:r>
                  <w:r>
                    <w:rPr>
                      <w:rFonts w:hint="eastAsia"/>
                      <w:szCs w:val="21"/>
                      <w:highlight w:val="none"/>
                      <w:lang w:val="en-US" w:eastAsia="zh-CN"/>
                    </w:rPr>
                    <w:t>工序</w:t>
                  </w:r>
                  <w:r>
                    <w:rPr>
                      <w:rFonts w:hint="eastAsia" w:ascii="Times New Roman" w:hAnsi="Times New Roman" w:eastAsia="宋体"/>
                      <w:szCs w:val="21"/>
                      <w:highlight w:val="none"/>
                    </w:rPr>
                    <w:t>及干燥烧成包装成品</w:t>
                  </w:r>
                  <w:r>
                    <w:rPr>
                      <w:rFonts w:hint="eastAsia"/>
                      <w:szCs w:val="21"/>
                      <w:highlight w:val="none"/>
                      <w:lang w:val="en-US" w:eastAsia="zh-CN"/>
                    </w:rPr>
                    <w:t>工序</w:t>
                  </w:r>
                  <w:r>
                    <w:rPr>
                      <w:rFonts w:hint="eastAsia" w:ascii="Times New Roman" w:hAnsi="Times New Roman" w:eastAsia="宋体"/>
                      <w:szCs w:val="21"/>
                      <w:highlight w:val="none"/>
                    </w:rPr>
                    <w:t>）等主要生产设施；配套新建车间变电所、空压站，利用原白马水泥厂机修车间作为新厂机修车间、利用原白马水泥厂仓库作为成品库，利用原化验室改造为新厂化验室</w:t>
                  </w:r>
                </w:p>
              </w:tc>
              <w:tc>
                <w:tcPr>
                  <w:tcW w:w="2883" w:type="dxa"/>
                  <w:noWrap w:val="0"/>
                  <w:vAlign w:val="center"/>
                </w:tcPr>
                <w:p>
                  <w:pPr>
                    <w:jc w:val="center"/>
                    <w:rPr>
                      <w:rFonts w:hint="default" w:ascii="Times New Roman" w:hAnsi="Times New Roman" w:eastAsia="宋体"/>
                      <w:szCs w:val="21"/>
                      <w:highlight w:val="none"/>
                      <w:lang w:val="en-US" w:eastAsia="zh-CN"/>
                    </w:rPr>
                  </w:pPr>
                  <w:r>
                    <w:rPr>
                      <w:rFonts w:hint="default" w:ascii="Times New Roman" w:hAnsi="Times New Roman" w:eastAsia="宋体"/>
                      <w:szCs w:val="21"/>
                      <w:highlight w:val="none"/>
                      <w:lang w:val="en-US" w:eastAsia="zh-CN"/>
                    </w:rPr>
                    <w:t>扩建一条产能为年产5万吨高铝耐火砖生产线。建设内容包括：</w:t>
                  </w:r>
                  <w:r>
                    <w:rPr>
                      <w:rFonts w:hint="eastAsia"/>
                      <w:szCs w:val="21"/>
                      <w:highlight w:val="none"/>
                      <w:lang w:val="en-US" w:eastAsia="zh-CN"/>
                    </w:rPr>
                    <w:t>自动</w:t>
                  </w:r>
                  <w:r>
                    <w:rPr>
                      <w:rFonts w:hint="default" w:ascii="Times New Roman" w:hAnsi="Times New Roman" w:eastAsia="宋体"/>
                      <w:szCs w:val="21"/>
                      <w:highlight w:val="none"/>
                      <w:lang w:val="en-US" w:eastAsia="zh-CN"/>
                    </w:rPr>
                    <w:t>原料</w:t>
                  </w:r>
                  <w:r>
                    <w:rPr>
                      <w:rFonts w:hint="eastAsia"/>
                      <w:szCs w:val="21"/>
                      <w:highlight w:val="none"/>
                      <w:lang w:val="en-US" w:eastAsia="zh-CN"/>
                    </w:rPr>
                    <w:t>立</w:t>
                  </w:r>
                  <w:r>
                    <w:rPr>
                      <w:rFonts w:hint="default" w:ascii="Times New Roman" w:hAnsi="Times New Roman" w:eastAsia="宋体"/>
                      <w:szCs w:val="21"/>
                      <w:highlight w:val="none"/>
                      <w:lang w:val="en-US" w:eastAsia="zh-CN"/>
                    </w:rPr>
                    <w:t>库、</w:t>
                  </w:r>
                  <w:r>
                    <w:rPr>
                      <w:rFonts w:hint="eastAsia"/>
                      <w:lang w:val="en-US" w:eastAsia="zh-CN"/>
                    </w:rPr>
                    <w:t>自动成品立库</w:t>
                  </w:r>
                  <w:r>
                    <w:rPr>
                      <w:rFonts w:hint="eastAsia"/>
                      <w:szCs w:val="21"/>
                      <w:highlight w:val="none"/>
                      <w:lang w:val="en-US" w:eastAsia="zh-CN"/>
                    </w:rPr>
                    <w:t>、</w:t>
                  </w:r>
                  <w:r>
                    <w:rPr>
                      <w:rFonts w:hint="default" w:ascii="Times New Roman" w:hAnsi="Times New Roman" w:eastAsia="宋体"/>
                      <w:szCs w:val="21"/>
                      <w:highlight w:val="none"/>
                      <w:lang w:val="en-US" w:eastAsia="zh-CN"/>
                    </w:rPr>
                    <w:t>配料、混合、成型、干燥、烧成等各工艺环节</w:t>
                  </w:r>
                </w:p>
              </w:tc>
              <w:tc>
                <w:tcPr>
                  <w:tcW w:w="1132" w:type="dxa"/>
                  <w:noWrap w:val="0"/>
                  <w:vAlign w:val="center"/>
                </w:tcPr>
                <w:p>
                  <w:pPr>
                    <w:jc w:val="center"/>
                    <w:rPr>
                      <w:rFonts w:hint="default"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辅助工程</w:t>
                  </w:r>
                </w:p>
              </w:tc>
              <w:tc>
                <w:tcPr>
                  <w:tcW w:w="860" w:type="dxa"/>
                  <w:noWrap w:val="0"/>
                  <w:vAlign w:val="center"/>
                </w:tcPr>
                <w:p>
                  <w:pPr>
                    <w:spacing w:line="240" w:lineRule="atLeast"/>
                    <w:jc w:val="center"/>
                    <w:rPr>
                      <w:rFonts w:ascii="Times New Roman" w:hAnsi="Times New Roman" w:eastAsia="宋体"/>
                      <w:bCs/>
                      <w:szCs w:val="21"/>
                      <w:highlight w:val="none"/>
                    </w:rPr>
                  </w:pPr>
                  <w:r>
                    <w:rPr>
                      <w:rFonts w:ascii="Times New Roman" w:hAnsi="Times New Roman" w:eastAsia="宋体"/>
                      <w:szCs w:val="21"/>
                      <w:highlight w:val="none"/>
                    </w:rPr>
                    <w:t>办公用房</w:t>
                  </w:r>
                </w:p>
              </w:tc>
              <w:tc>
                <w:tcPr>
                  <w:tcW w:w="2761" w:type="dxa"/>
                  <w:noWrap w:val="0"/>
                  <w:vAlign w:val="center"/>
                </w:tcPr>
                <w:p>
                  <w:pPr>
                    <w:spacing w:before="20" w:after="20" w:line="360" w:lineRule="exact"/>
                    <w:ind w:left="4" w:hanging="4" w:hangingChars="2"/>
                    <w:rPr>
                      <w:rFonts w:hint="eastAsia" w:ascii="Times New Roman" w:hAnsi="Times New Roman" w:eastAsia="宋体"/>
                      <w:bCs/>
                      <w:szCs w:val="21"/>
                      <w:highlight w:val="none"/>
                      <w:lang w:eastAsia="zh-CN"/>
                    </w:rPr>
                  </w:pPr>
                  <w:r>
                    <w:rPr>
                      <w:rFonts w:hint="eastAsia" w:ascii="Times New Roman" w:hAnsi="Times New Roman" w:eastAsia="宋体"/>
                      <w:szCs w:val="21"/>
                    </w:rPr>
                    <w:t>利用原白马水泥厂水泵房及水池等公用设施</w:t>
                  </w:r>
                  <w:r>
                    <w:rPr>
                      <w:rFonts w:hint="eastAsia" w:ascii="Times New Roman" w:hAnsi="Times New Roman" w:eastAsia="宋体"/>
                      <w:szCs w:val="21"/>
                      <w:lang w:eastAsia="zh-CN"/>
                    </w:rPr>
                    <w:t>。</w:t>
                  </w:r>
                </w:p>
              </w:tc>
              <w:tc>
                <w:tcPr>
                  <w:tcW w:w="2883" w:type="dxa"/>
                  <w:noWrap w:val="0"/>
                  <w:vAlign w:val="center"/>
                </w:tcPr>
                <w:p>
                  <w:pPr>
                    <w:jc w:val="center"/>
                    <w:rPr>
                      <w:rFonts w:ascii="Times New Roman" w:hAnsi="Times New Roman" w:eastAsia="宋体"/>
                      <w:bCs/>
                      <w:szCs w:val="21"/>
                      <w:highlight w:val="none"/>
                    </w:rPr>
                  </w:pPr>
                  <w:r>
                    <w:rPr>
                      <w:rFonts w:hint="eastAsia" w:ascii="Times New Roman" w:hAnsi="Times New Roman" w:eastAsia="宋体"/>
                      <w:szCs w:val="21"/>
                    </w:rPr>
                    <w:t>新建门卫房、厂区大门，办公楼等行政生活福利设施</w:t>
                  </w:r>
                  <w:r>
                    <w:rPr>
                      <w:rFonts w:hint="eastAsia"/>
                      <w:szCs w:val="21"/>
                      <w:lang w:eastAsia="zh-CN"/>
                    </w:rPr>
                    <w:t>，</w:t>
                  </w:r>
                  <w:r>
                    <w:rPr>
                      <w:rFonts w:hint="eastAsia"/>
                      <w:szCs w:val="21"/>
                      <w:lang w:val="en-US" w:eastAsia="zh-CN"/>
                    </w:rPr>
                    <w:t>对原有食堂进行改造</w:t>
                  </w:r>
                  <w:r>
                    <w:rPr>
                      <w:rFonts w:hint="eastAsia" w:ascii="Times New Roman" w:hAnsi="Times New Roman" w:eastAsia="宋体"/>
                      <w:szCs w:val="21"/>
                    </w:rPr>
                    <w:t>。</w:t>
                  </w:r>
                </w:p>
              </w:tc>
              <w:tc>
                <w:tcPr>
                  <w:tcW w:w="1132" w:type="dxa"/>
                  <w:noWrap w:val="0"/>
                  <w:vAlign w:val="center"/>
                </w:tcPr>
                <w:p>
                  <w:pPr>
                    <w:jc w:val="center"/>
                    <w:rPr>
                      <w:rFonts w:hint="eastAsia" w:ascii="Times New Roman" w:hAnsi="Times New Roman" w:eastAsia="宋体"/>
                      <w:bCs/>
                      <w:szCs w:val="21"/>
                      <w:highlight w:val="none"/>
                      <w:lang w:eastAsia="zh-CN"/>
                    </w:rPr>
                  </w:pPr>
                  <w:r>
                    <w:rPr>
                      <w:rFonts w:hint="eastAsia" w:ascii="Times New Roman" w:hAnsi="Times New Roman" w:eastAsia="宋体"/>
                      <w:bCs/>
                      <w:szCs w:val="21"/>
                      <w:highlight w:val="no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储运工程</w:t>
                  </w:r>
                </w:p>
              </w:tc>
              <w:tc>
                <w:tcPr>
                  <w:tcW w:w="860" w:type="dxa"/>
                  <w:noWrap w:val="0"/>
                  <w:vAlign w:val="center"/>
                </w:tcPr>
                <w:p>
                  <w:pPr>
                    <w:spacing w:line="240" w:lineRule="atLeast"/>
                    <w:jc w:val="center"/>
                    <w:rPr>
                      <w:rFonts w:ascii="Times New Roman" w:hAnsi="Times New Roman" w:eastAsia="宋体"/>
                      <w:bCs/>
                      <w:szCs w:val="21"/>
                      <w:highlight w:val="none"/>
                    </w:rPr>
                  </w:pPr>
                  <w:r>
                    <w:rPr>
                      <w:rFonts w:hint="eastAsia" w:ascii="Times New Roman" w:hAnsi="Times New Roman" w:eastAsia="宋体"/>
                      <w:szCs w:val="21"/>
                    </w:rPr>
                    <w:t>碱性砖生产线</w:t>
                  </w:r>
                </w:p>
              </w:tc>
              <w:tc>
                <w:tcPr>
                  <w:tcW w:w="2761" w:type="dxa"/>
                  <w:noWrap w:val="0"/>
                  <w:vAlign w:val="center"/>
                </w:tcPr>
                <w:p>
                  <w:pPr>
                    <w:spacing w:line="240" w:lineRule="atLeast"/>
                    <w:jc w:val="center"/>
                    <w:rPr>
                      <w:rFonts w:ascii="Times New Roman" w:hAnsi="Times New Roman" w:eastAsia="宋体"/>
                      <w:bCs/>
                      <w:szCs w:val="21"/>
                      <w:highlight w:val="none"/>
                    </w:rPr>
                  </w:pPr>
                  <w:r>
                    <w:rPr>
                      <w:rFonts w:hint="eastAsia" w:ascii="Times New Roman" w:hAnsi="Times New Roman" w:eastAsia="宋体"/>
                      <w:szCs w:val="21"/>
                    </w:rPr>
                    <w:t>原料库面积3600m</w:t>
                  </w:r>
                  <w:r>
                    <w:rPr>
                      <w:rFonts w:hint="eastAsia" w:ascii="Times New Roman" w:hAnsi="Times New Roman" w:eastAsia="宋体"/>
                      <w:szCs w:val="21"/>
                      <w:vertAlign w:val="superscript"/>
                    </w:rPr>
                    <w:t>2</w:t>
                  </w:r>
                </w:p>
              </w:tc>
              <w:tc>
                <w:tcPr>
                  <w:tcW w:w="2883" w:type="dxa"/>
                  <w:noWrap w:val="0"/>
                  <w:vAlign w:val="center"/>
                </w:tcPr>
                <w:p>
                  <w:pPr>
                    <w:jc w:val="center"/>
                    <w:rPr>
                      <w:rFonts w:ascii="Times New Roman" w:hAnsi="Times New Roman" w:eastAsia="宋体"/>
                      <w:bCs/>
                      <w:szCs w:val="21"/>
                      <w:highlight w:val="none"/>
                    </w:rPr>
                  </w:pPr>
                  <w:r>
                    <w:rPr>
                      <w:rFonts w:ascii="Times New Roman" w:hAnsi="Times New Roman" w:eastAsia="宋体"/>
                      <w:bCs/>
                      <w:szCs w:val="21"/>
                      <w:highlight w:val="none"/>
                    </w:rPr>
                    <w:t>/</w:t>
                  </w:r>
                </w:p>
              </w:tc>
              <w:tc>
                <w:tcPr>
                  <w:tcW w:w="1132" w:type="dxa"/>
                  <w:noWrap w:val="0"/>
                  <w:vAlign w:val="center"/>
                </w:tcPr>
                <w:p>
                  <w:pPr>
                    <w:jc w:val="center"/>
                    <w:rPr>
                      <w:rFonts w:hint="eastAsia" w:ascii="Times New Roman" w:hAnsi="Times New Roman" w:eastAsia="宋体"/>
                      <w:lang w:eastAsia="zh-CN"/>
                    </w:rPr>
                  </w:pPr>
                  <w:r>
                    <w:rPr>
                      <w:rFonts w:hint="eastAsia" w:ascii="Times New Roman" w:hAnsi="Times New Roman" w:eastAsia="宋体"/>
                      <w:lang w:val="en-US" w:eastAsia="zh-CN"/>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noWrap w:val="0"/>
                  <w:vAlign w:val="center"/>
                </w:tcPr>
                <w:p>
                  <w:pPr>
                    <w:spacing w:line="240" w:lineRule="atLeast"/>
                    <w:jc w:val="center"/>
                    <w:rPr>
                      <w:rFonts w:ascii="Times New Roman" w:hAnsi="Times New Roman" w:eastAsia="宋体"/>
                      <w:color w:val="000000"/>
                      <w:szCs w:val="21"/>
                      <w:highlight w:val="none"/>
                    </w:rPr>
                  </w:pPr>
                  <w:r>
                    <w:rPr>
                      <w:rFonts w:hint="eastAsia" w:ascii="Times New Roman" w:hAnsi="Times New Roman" w:eastAsia="宋体"/>
                      <w:szCs w:val="21"/>
                    </w:rPr>
                    <w:t>高铝砖生产线</w:t>
                  </w:r>
                </w:p>
              </w:tc>
              <w:tc>
                <w:tcPr>
                  <w:tcW w:w="2761" w:type="dxa"/>
                  <w:noWrap w:val="0"/>
                  <w:vAlign w:val="center"/>
                </w:tcPr>
                <w:p>
                  <w:pPr>
                    <w:spacing w:line="240" w:lineRule="atLeast"/>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val="en-US" w:eastAsia="zh-CN"/>
                    </w:rPr>
                    <w:t>/</w:t>
                  </w:r>
                </w:p>
              </w:tc>
              <w:tc>
                <w:tcPr>
                  <w:tcW w:w="2883" w:type="dxa"/>
                  <w:noWrap w:val="0"/>
                  <w:vAlign w:val="center"/>
                </w:tcPr>
                <w:p>
                  <w:pPr>
                    <w:jc w:val="center"/>
                    <w:rPr>
                      <w:rFonts w:ascii="Times New Roman" w:hAnsi="Times New Roman" w:eastAsia="宋体"/>
                      <w:bCs/>
                      <w:color w:val="000000"/>
                      <w:szCs w:val="21"/>
                      <w:highlight w:val="none"/>
                    </w:rPr>
                  </w:pPr>
                  <w:r>
                    <w:rPr>
                      <w:rFonts w:hint="eastAsia" w:ascii="Times New Roman" w:hAnsi="Times New Roman" w:eastAsia="宋体"/>
                      <w:szCs w:val="21"/>
                    </w:rPr>
                    <w:t>原料库面积3564m</w:t>
                  </w:r>
                  <w:r>
                    <w:rPr>
                      <w:rFonts w:hint="eastAsia" w:ascii="Times New Roman" w:hAnsi="Times New Roman" w:eastAsia="宋体"/>
                      <w:szCs w:val="21"/>
                      <w:vertAlign w:val="superscript"/>
                    </w:rPr>
                    <w:t>2</w:t>
                  </w:r>
                </w:p>
              </w:tc>
              <w:tc>
                <w:tcPr>
                  <w:tcW w:w="1132" w:type="dxa"/>
                  <w:noWrap w:val="0"/>
                  <w:vAlign w:val="center"/>
                </w:tcPr>
                <w:p>
                  <w:pPr>
                    <w:jc w:val="center"/>
                    <w:rPr>
                      <w:rFonts w:hint="eastAsia" w:ascii="Times New Roman" w:hAnsi="Times New Roman" w:eastAsia="宋体"/>
                      <w:bCs/>
                      <w:color w:val="000000"/>
                      <w:szCs w:val="21"/>
                      <w:highlight w:val="none"/>
                      <w:lang w:eastAsia="zh-CN"/>
                    </w:rPr>
                  </w:pPr>
                  <w:r>
                    <w:rPr>
                      <w:rFonts w:hint="eastAsia" w:ascii="Times New Roman" w:hAnsi="Times New Roman" w:eastAsia="宋体"/>
                      <w:bCs/>
                      <w:color w:val="000000"/>
                      <w:szCs w:val="21"/>
                      <w:highlight w:val="no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公用工程</w:t>
                  </w:r>
                </w:p>
              </w:tc>
              <w:tc>
                <w:tcPr>
                  <w:tcW w:w="8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供水</w:t>
                  </w:r>
                </w:p>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工程</w:t>
                  </w:r>
                </w:p>
              </w:tc>
              <w:tc>
                <w:tcPr>
                  <w:tcW w:w="2761"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Cs/>
                      <w:szCs w:val="21"/>
                      <w:highlight w:val="none"/>
                    </w:rPr>
                  </w:pPr>
                  <w:r>
                    <w:rPr>
                      <w:rFonts w:hint="eastAsia" w:ascii="Times New Roman" w:hAnsi="Times New Roman" w:eastAsia="宋体" w:cs="Times New Roman"/>
                      <w:color w:val="auto"/>
                      <w:kern w:val="0"/>
                      <w:sz w:val="21"/>
                      <w:szCs w:val="21"/>
                    </w:rPr>
                    <w:t>园区供水管网</w:t>
                  </w:r>
                </w:p>
              </w:tc>
              <w:tc>
                <w:tcPr>
                  <w:tcW w:w="2883"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Times New Roman" w:hAnsi="Times New Roman" w:eastAsia="宋体"/>
                      <w:bCs/>
                      <w:szCs w:val="21"/>
                      <w:highlight w:val="none"/>
                    </w:rPr>
                  </w:pPr>
                  <w:r>
                    <w:rPr>
                      <w:rFonts w:hint="eastAsia" w:ascii="Times New Roman" w:hAnsi="Times New Roman" w:eastAsia="宋体" w:cs="Times New Roman"/>
                      <w:color w:val="auto"/>
                      <w:kern w:val="0"/>
                      <w:sz w:val="21"/>
                      <w:szCs w:val="21"/>
                    </w:rPr>
                    <w:t>园区供水管网</w:t>
                  </w:r>
                </w:p>
              </w:tc>
              <w:tc>
                <w:tcPr>
                  <w:tcW w:w="1132" w:type="dxa"/>
                  <w:noWrap w:val="0"/>
                  <w:vAlign w:val="center"/>
                </w:tcPr>
                <w:p>
                  <w:pPr>
                    <w:jc w:val="center"/>
                    <w:rPr>
                      <w:rFonts w:ascii="Times New Roman" w:hAnsi="Times New Roman" w:eastAsia="宋体"/>
                      <w:bCs/>
                      <w:color w:val="000000"/>
                      <w:szCs w:val="21"/>
                      <w:highlight w:val="none"/>
                    </w:rPr>
                  </w:pPr>
                  <w:r>
                    <w:rPr>
                      <w:rFonts w:hint="eastAsia" w:ascii="Times New Roman" w:hAnsi="Times New Roman" w:eastAsia="宋体"/>
                      <w:color w:val="00000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排水</w:t>
                  </w:r>
                </w:p>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工程</w:t>
                  </w:r>
                </w:p>
              </w:tc>
              <w:tc>
                <w:tcPr>
                  <w:tcW w:w="2761"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Cs/>
                      <w:szCs w:val="21"/>
                      <w:highlight w:val="none"/>
                    </w:rPr>
                  </w:pPr>
                  <w:r>
                    <w:rPr>
                      <w:rFonts w:hint="default" w:ascii="Times New Roman" w:hAnsi="Times New Roman" w:eastAsia="宋体" w:cs="Times New Roman"/>
                      <w:color w:val="auto"/>
                      <w:kern w:val="0"/>
                      <w:szCs w:val="21"/>
                      <w:highlight w:val="none"/>
                      <w:lang w:val="en-US" w:eastAsia="zh-CN"/>
                    </w:rPr>
                    <w:t>化粪池、雨污管网</w:t>
                  </w:r>
                </w:p>
              </w:tc>
              <w:tc>
                <w:tcPr>
                  <w:tcW w:w="2883"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Cs/>
                      <w:szCs w:val="21"/>
                      <w:highlight w:val="none"/>
                    </w:rPr>
                  </w:pPr>
                  <w:r>
                    <w:rPr>
                      <w:rFonts w:hint="default" w:ascii="Times New Roman" w:hAnsi="Times New Roman" w:eastAsia="宋体" w:cs="Times New Roman"/>
                      <w:color w:val="auto"/>
                      <w:kern w:val="0"/>
                      <w:szCs w:val="21"/>
                      <w:highlight w:val="none"/>
                      <w:lang w:val="en-US" w:eastAsia="zh-CN"/>
                    </w:rPr>
                    <w:t>化粪池、雨污管网</w:t>
                  </w:r>
                </w:p>
              </w:tc>
              <w:tc>
                <w:tcPr>
                  <w:tcW w:w="1132" w:type="dxa"/>
                  <w:noWrap w:val="0"/>
                  <w:vAlign w:val="center"/>
                </w:tcPr>
                <w:p>
                  <w:pPr>
                    <w:jc w:val="center"/>
                    <w:rPr>
                      <w:rFonts w:ascii="Times New Roman" w:hAnsi="Times New Roman" w:eastAsia="宋体"/>
                      <w:bCs/>
                      <w:color w:val="000000"/>
                      <w:szCs w:val="21"/>
                      <w:highlight w:val="none"/>
                    </w:rPr>
                  </w:pPr>
                  <w:r>
                    <w:rPr>
                      <w:rFonts w:hint="eastAsia" w:ascii="Times New Roman" w:hAnsi="Times New Roman" w:eastAsia="宋体"/>
                      <w:color w:val="00000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供电</w:t>
                  </w:r>
                </w:p>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工程</w:t>
                  </w:r>
                </w:p>
              </w:tc>
              <w:tc>
                <w:tcPr>
                  <w:tcW w:w="2761"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Cs/>
                      <w:color w:val="000000"/>
                      <w:szCs w:val="21"/>
                      <w:highlight w:val="none"/>
                    </w:rPr>
                  </w:pPr>
                  <w:r>
                    <w:rPr>
                      <w:rFonts w:hint="default" w:ascii="Times New Roman" w:hAnsi="Times New Roman" w:eastAsia="宋体" w:cs="Times New Roman"/>
                      <w:color w:val="auto"/>
                      <w:kern w:val="0"/>
                      <w:sz w:val="21"/>
                      <w:szCs w:val="21"/>
                    </w:rPr>
                    <w:t>园区电网供电</w:t>
                  </w:r>
                </w:p>
              </w:tc>
              <w:tc>
                <w:tcPr>
                  <w:tcW w:w="2883"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ascii="Times New Roman" w:hAnsi="Times New Roman" w:eastAsia="宋体"/>
                      <w:bCs/>
                      <w:color w:val="000000"/>
                      <w:szCs w:val="21"/>
                      <w:highlight w:val="none"/>
                    </w:rPr>
                  </w:pPr>
                  <w:r>
                    <w:rPr>
                      <w:rFonts w:hint="default" w:ascii="Times New Roman" w:hAnsi="Times New Roman" w:eastAsia="宋体" w:cs="Times New Roman"/>
                      <w:color w:val="auto"/>
                      <w:kern w:val="0"/>
                      <w:sz w:val="21"/>
                      <w:szCs w:val="21"/>
                    </w:rPr>
                    <w:t>园区电网供电</w:t>
                  </w:r>
                </w:p>
              </w:tc>
              <w:tc>
                <w:tcPr>
                  <w:tcW w:w="1132" w:type="dxa"/>
                  <w:noWrap w:val="0"/>
                  <w:vAlign w:val="center"/>
                </w:tcPr>
                <w:p>
                  <w:pPr>
                    <w:jc w:val="center"/>
                    <w:rPr>
                      <w:rFonts w:ascii="Times New Roman" w:hAnsi="Times New Roman" w:eastAsia="宋体"/>
                      <w:bCs/>
                      <w:color w:val="000000"/>
                      <w:szCs w:val="21"/>
                      <w:highlight w:val="none"/>
                    </w:rPr>
                  </w:pPr>
                  <w:r>
                    <w:rPr>
                      <w:rFonts w:hint="eastAsia" w:ascii="Times New Roman" w:hAnsi="Times New Roman" w:eastAsia="宋体"/>
                      <w:color w:val="00000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noWrap w:val="0"/>
                  <w:vAlign w:val="center"/>
                </w:tcPr>
                <w:p>
                  <w:pPr>
                    <w:jc w:val="center"/>
                    <w:rPr>
                      <w:rFonts w:hint="eastAsia"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供气工程</w:t>
                  </w:r>
                </w:p>
              </w:tc>
              <w:tc>
                <w:tcPr>
                  <w:tcW w:w="2761"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Times New Roman" w:hAnsi="Times New Roman" w:eastAsia="宋体"/>
                      <w:bCs/>
                      <w:color w:val="000000"/>
                      <w:szCs w:val="21"/>
                      <w:highlight w:val="none"/>
                      <w:lang w:val="en-US" w:eastAsia="zh-CN"/>
                    </w:rPr>
                  </w:pPr>
                  <w:r>
                    <w:rPr>
                      <w:rFonts w:hint="eastAsia" w:ascii="Times New Roman" w:hAnsi="Times New Roman" w:eastAsia="宋体" w:cs="Times New Roman"/>
                      <w:color w:val="auto"/>
                      <w:kern w:val="0"/>
                      <w:sz w:val="21"/>
                      <w:szCs w:val="21"/>
                      <w:lang w:eastAsia="zh-CN"/>
                    </w:rPr>
                    <w:t>园区天然气管网供应</w:t>
                  </w:r>
                </w:p>
              </w:tc>
              <w:tc>
                <w:tcPr>
                  <w:tcW w:w="2883"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Times New Roman" w:hAnsi="Times New Roman" w:eastAsia="宋体"/>
                      <w:bCs/>
                      <w:color w:val="000000"/>
                      <w:szCs w:val="21"/>
                      <w:highlight w:val="none"/>
                      <w:lang w:val="en-US" w:eastAsia="zh-CN"/>
                    </w:rPr>
                  </w:pPr>
                  <w:r>
                    <w:rPr>
                      <w:rFonts w:hint="eastAsia" w:ascii="Times New Roman" w:hAnsi="Times New Roman" w:eastAsia="宋体" w:cs="Times New Roman"/>
                      <w:color w:val="auto"/>
                      <w:kern w:val="0"/>
                      <w:sz w:val="21"/>
                      <w:szCs w:val="21"/>
                      <w:lang w:eastAsia="zh-CN"/>
                    </w:rPr>
                    <w:t>园区天然气管网供应</w:t>
                  </w:r>
                </w:p>
              </w:tc>
              <w:tc>
                <w:tcPr>
                  <w:tcW w:w="1132" w:type="dxa"/>
                  <w:noWrap w:val="0"/>
                  <w:vAlign w:val="center"/>
                </w:tcPr>
                <w:p>
                  <w:pPr>
                    <w:jc w:val="center"/>
                    <w:rPr>
                      <w:rFonts w:hint="eastAsia" w:ascii="Times New Roman" w:hAnsi="Times New Roman" w:eastAsia="宋体"/>
                      <w:bCs/>
                      <w:color w:val="000000"/>
                      <w:szCs w:val="21"/>
                      <w:highlight w:val="none"/>
                      <w:lang w:val="en-US" w:eastAsia="zh-CN"/>
                    </w:rPr>
                  </w:pPr>
                  <w:r>
                    <w:rPr>
                      <w:rFonts w:hint="eastAsia" w:ascii="Times New Roman" w:hAnsi="Times New Roman" w:eastAsia="宋体"/>
                      <w:color w:val="00000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环保工程</w:t>
                  </w:r>
                </w:p>
              </w:tc>
              <w:tc>
                <w:tcPr>
                  <w:tcW w:w="8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废水</w:t>
                  </w:r>
                </w:p>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治理</w:t>
                  </w:r>
                </w:p>
              </w:tc>
              <w:tc>
                <w:tcPr>
                  <w:tcW w:w="2761" w:type="dxa"/>
                  <w:noWrap w:val="0"/>
                  <w:vAlign w:val="center"/>
                </w:tcPr>
                <w:p>
                  <w:pPr>
                    <w:jc w:val="center"/>
                    <w:rPr>
                      <w:rFonts w:ascii="Times New Roman" w:hAnsi="Times New Roman" w:eastAsia="宋体"/>
                      <w:bCs/>
                      <w:color w:val="000000"/>
                      <w:szCs w:val="21"/>
                      <w:highlight w:val="none"/>
                    </w:rPr>
                  </w:pPr>
                  <w:r>
                    <w:rPr>
                      <w:rFonts w:hint="eastAsia" w:ascii="Times New Roman" w:hAnsi="Times New Roman" w:eastAsia="宋体"/>
                      <w:szCs w:val="21"/>
                    </w:rPr>
                    <w:t>生活污水经隔油池、化粪池预处理后排入</w:t>
                  </w:r>
                  <w:r>
                    <w:rPr>
                      <w:rFonts w:hint="eastAsia" w:ascii="Times New Roman" w:hAnsi="Times New Roman" w:eastAsia="宋体"/>
                      <w:bCs/>
                      <w:szCs w:val="21"/>
                    </w:rPr>
                    <w:t>白马山水泥厂原有排污沟渠</w:t>
                  </w:r>
                  <w:r>
                    <w:rPr>
                      <w:rFonts w:hint="eastAsia" w:ascii="Times New Roman" w:hAnsi="Times New Roman" w:eastAsia="宋体"/>
                      <w:szCs w:val="21"/>
                    </w:rPr>
                    <w:t>（依托原有白马水泥厂原有污水处理设施）；生产用水为循环用水，无排放</w:t>
                  </w:r>
                </w:p>
              </w:tc>
              <w:tc>
                <w:tcPr>
                  <w:tcW w:w="2883"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szCs w:val="21"/>
                      <w:highlight w:val="none"/>
                    </w:rPr>
                    <w:t>/</w:t>
                  </w:r>
                </w:p>
              </w:tc>
              <w:tc>
                <w:tcPr>
                  <w:tcW w:w="1132"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restart"/>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废气</w:t>
                  </w:r>
                </w:p>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治理</w:t>
                  </w:r>
                </w:p>
              </w:tc>
              <w:tc>
                <w:tcPr>
                  <w:tcW w:w="2761" w:type="dxa"/>
                  <w:noWrap w:val="0"/>
                  <w:vAlign w:val="center"/>
                </w:tcPr>
                <w:p>
                  <w:pPr>
                    <w:jc w:val="center"/>
                    <w:rPr>
                      <w:rFonts w:ascii="Times New Roman" w:hAnsi="Times New Roman" w:eastAsia="宋体"/>
                      <w:bCs/>
                      <w:color w:val="000000"/>
                      <w:szCs w:val="21"/>
                      <w:highlight w:val="none"/>
                    </w:rPr>
                  </w:pPr>
                  <w:r>
                    <w:rPr>
                      <w:rFonts w:hint="eastAsia" w:ascii="Times New Roman" w:hAnsi="Times New Roman" w:eastAsia="宋体"/>
                      <w:szCs w:val="21"/>
                      <w:lang w:val="en-US" w:eastAsia="zh-CN"/>
                    </w:rPr>
                    <w:t>碱性砖</w:t>
                  </w:r>
                  <w:r>
                    <w:rPr>
                      <w:rFonts w:hint="eastAsia" w:ascii="Times New Roman" w:hAnsi="Times New Roman" w:eastAsia="宋体"/>
                      <w:szCs w:val="21"/>
                    </w:rPr>
                    <w:t>生产线除尘系统</w:t>
                  </w:r>
                </w:p>
              </w:tc>
              <w:tc>
                <w:tcPr>
                  <w:tcW w:w="2883" w:type="dxa"/>
                  <w:noWrap w:val="0"/>
                  <w:vAlign w:val="center"/>
                </w:tcPr>
                <w:p>
                  <w:pPr>
                    <w:pStyle w:val="74"/>
                    <w:rPr>
                      <w:rFonts w:hint="eastAsia" w:ascii="Times New Roman" w:hAnsi="Times New Roman" w:eastAsia="宋体" w:cs="Times New Roman"/>
                      <w:bCs/>
                      <w:color w:val="FF0000"/>
                      <w:szCs w:val="21"/>
                      <w:highlight w:val="none"/>
                      <w:lang w:eastAsia="zh-CN"/>
                    </w:rPr>
                  </w:pPr>
                  <w:r>
                    <w:rPr>
                      <w:rFonts w:hint="eastAsia" w:ascii="Times New Roman" w:hAnsi="Times New Roman" w:eastAsia="宋体" w:cs="Times New Roman"/>
                      <w:color w:val="000000"/>
                      <w:szCs w:val="21"/>
                      <w:highlight w:val="none"/>
                      <w:lang w:val="en-US" w:eastAsia="zh-CN"/>
                    </w:rPr>
                    <w:t>/</w:t>
                  </w:r>
                </w:p>
              </w:tc>
              <w:tc>
                <w:tcPr>
                  <w:tcW w:w="1132" w:type="dxa"/>
                  <w:vMerge w:val="restart"/>
                  <w:noWrap w:val="0"/>
                  <w:vAlign w:val="center"/>
                </w:tcPr>
                <w:p>
                  <w:pPr>
                    <w:jc w:val="center"/>
                    <w:rPr>
                      <w:rFonts w:hint="default"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保持不变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continue"/>
                  <w:noWrap w:val="0"/>
                  <w:vAlign w:val="center"/>
                </w:tcPr>
                <w:p>
                  <w:pPr>
                    <w:jc w:val="center"/>
                    <w:rPr>
                      <w:rFonts w:ascii="Times New Roman" w:hAnsi="Times New Roman" w:eastAsia="宋体"/>
                      <w:bCs/>
                      <w:color w:val="000000"/>
                      <w:szCs w:val="21"/>
                      <w:highlight w:val="none"/>
                    </w:rPr>
                  </w:pPr>
                </w:p>
              </w:tc>
              <w:tc>
                <w:tcPr>
                  <w:tcW w:w="2761" w:type="dxa"/>
                  <w:noWrap w:val="0"/>
                  <w:vAlign w:val="center"/>
                </w:tcPr>
                <w:p>
                  <w:pPr>
                    <w:jc w:val="center"/>
                    <w:rPr>
                      <w:rFonts w:hint="default" w:ascii="Times New Roman" w:hAnsi="Times New Roman" w:eastAsia="宋体"/>
                      <w:szCs w:val="21"/>
                      <w:lang w:val="en-US" w:eastAsia="zh-CN"/>
                    </w:rPr>
                  </w:pPr>
                  <w:r>
                    <w:rPr>
                      <w:rFonts w:hint="eastAsia"/>
                      <w:szCs w:val="21"/>
                      <w:lang w:val="en-US" w:eastAsia="zh-CN"/>
                    </w:rPr>
                    <w:t>碱性砖隧道窑脱硫脱硝除尘系统</w:t>
                  </w:r>
                </w:p>
              </w:tc>
              <w:tc>
                <w:tcPr>
                  <w:tcW w:w="2883" w:type="dxa"/>
                  <w:noWrap w:val="0"/>
                  <w:vAlign w:val="center"/>
                </w:tcPr>
                <w:p>
                  <w:pPr>
                    <w:pStyle w:val="74"/>
                    <w:rPr>
                      <w:rFonts w:hint="eastAsia" w:ascii="Times New Roman" w:hAnsi="Times New Roman" w:eastAsia="宋体" w:cs="Times New Roman"/>
                      <w:color w:val="000000"/>
                      <w:szCs w:val="21"/>
                      <w:highlight w:val="none"/>
                      <w:lang w:val="en-US" w:eastAsia="zh-CN"/>
                    </w:rPr>
                  </w:pPr>
                  <w:r>
                    <w:rPr>
                      <w:rFonts w:hint="eastAsia" w:ascii="Times New Roman" w:hAnsi="Times New Roman" w:eastAsia="宋体" w:cs="Times New Roman"/>
                      <w:color w:val="000000"/>
                      <w:szCs w:val="21"/>
                      <w:highlight w:val="none"/>
                      <w:lang w:val="en-US" w:eastAsia="zh-CN"/>
                    </w:rPr>
                    <w:t>/</w:t>
                  </w:r>
                </w:p>
              </w:tc>
              <w:tc>
                <w:tcPr>
                  <w:tcW w:w="1132" w:type="dxa"/>
                  <w:vMerge w:val="continue"/>
                  <w:noWrap w:val="0"/>
                  <w:vAlign w:val="center"/>
                </w:tcPr>
                <w:p>
                  <w:pPr>
                    <w:jc w:val="center"/>
                    <w:rPr>
                      <w:rFonts w:hint="eastAsia" w:ascii="Times New Roman" w:hAnsi="Times New Roman" w:eastAsia="宋体"/>
                      <w:bCs/>
                      <w:color w:val="00000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continue"/>
                  <w:noWrap w:val="0"/>
                  <w:vAlign w:val="center"/>
                </w:tcPr>
                <w:p>
                  <w:pPr>
                    <w:jc w:val="center"/>
                    <w:rPr>
                      <w:rFonts w:ascii="Times New Roman" w:hAnsi="Times New Roman" w:eastAsia="宋体"/>
                      <w:bCs/>
                      <w:color w:val="000000"/>
                      <w:szCs w:val="21"/>
                      <w:highlight w:val="none"/>
                    </w:rPr>
                  </w:pPr>
                </w:p>
              </w:tc>
              <w:tc>
                <w:tcPr>
                  <w:tcW w:w="2761" w:type="dxa"/>
                  <w:noWrap w:val="0"/>
                  <w:vAlign w:val="center"/>
                </w:tcPr>
                <w:p>
                  <w:pPr>
                    <w:jc w:val="center"/>
                    <w:rPr>
                      <w:rFonts w:hint="eastAsia"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w:t>
                  </w:r>
                </w:p>
              </w:tc>
              <w:tc>
                <w:tcPr>
                  <w:tcW w:w="2883" w:type="dxa"/>
                  <w:noWrap w:val="0"/>
                  <w:vAlign w:val="center"/>
                </w:tcPr>
                <w:p>
                  <w:pPr>
                    <w:pStyle w:val="74"/>
                    <w:rPr>
                      <w:rFonts w:ascii="Times New Roman" w:hAnsi="Times New Roman" w:eastAsia="宋体" w:cs="Times New Roman"/>
                      <w:color w:val="000000"/>
                      <w:szCs w:val="21"/>
                      <w:highlight w:val="none"/>
                    </w:rPr>
                  </w:pPr>
                  <w:r>
                    <w:rPr>
                      <w:rFonts w:hint="eastAsia" w:ascii="Times New Roman" w:hAnsi="Times New Roman" w:eastAsia="宋体"/>
                      <w:szCs w:val="21"/>
                      <w:highlight w:val="none"/>
                      <w:lang w:val="en-US" w:eastAsia="zh-CN"/>
                    </w:rPr>
                    <w:t>上料配料及缓冲仓</w:t>
                  </w:r>
                  <w:r>
                    <w:rPr>
                      <w:rFonts w:hint="eastAsia"/>
                      <w:szCs w:val="21"/>
                      <w:highlight w:val="none"/>
                      <w:lang w:val="en-US" w:eastAsia="zh-CN"/>
                    </w:rPr>
                    <w:t>经布袋除尘系统处理后通过15m</w:t>
                  </w:r>
                  <w:r>
                    <w:rPr>
                      <w:rFonts w:hint="eastAsia" w:ascii="Times New Roman" w:hAnsi="Times New Roman" w:eastAsia="宋体"/>
                      <w:szCs w:val="21"/>
                      <w:highlight w:val="none"/>
                      <w:lang w:val="en-US" w:eastAsia="zh-CN"/>
                    </w:rPr>
                    <w:t>排气筒</w:t>
                  </w:r>
                  <w:r>
                    <w:rPr>
                      <w:rFonts w:hint="eastAsia"/>
                      <w:szCs w:val="21"/>
                      <w:highlight w:val="none"/>
                      <w:lang w:val="en-US" w:eastAsia="zh-CN"/>
                    </w:rPr>
                    <w:t>外排（1#）</w:t>
                  </w:r>
                  <w:r>
                    <w:rPr>
                      <w:rFonts w:hint="eastAsia" w:ascii="Times New Roman" w:hAnsi="Times New Roman" w:eastAsia="宋体"/>
                      <w:szCs w:val="21"/>
                      <w:highlight w:val="none"/>
                      <w:lang w:val="en-US" w:eastAsia="zh-CN"/>
                    </w:rPr>
                    <w:t>，废砖破碎</w:t>
                  </w:r>
                  <w:r>
                    <w:rPr>
                      <w:rFonts w:hint="eastAsia"/>
                      <w:szCs w:val="21"/>
                      <w:highlight w:val="none"/>
                      <w:lang w:val="en-US" w:eastAsia="zh-CN"/>
                    </w:rPr>
                    <w:t>经布袋除尘系统 处理后通过15m</w:t>
                  </w:r>
                  <w:r>
                    <w:rPr>
                      <w:rFonts w:hint="eastAsia" w:ascii="Times New Roman" w:hAnsi="Times New Roman" w:eastAsia="宋体"/>
                      <w:szCs w:val="21"/>
                      <w:highlight w:val="none"/>
                      <w:lang w:val="en-US" w:eastAsia="zh-CN"/>
                    </w:rPr>
                    <w:t>排气筒</w:t>
                  </w:r>
                  <w:r>
                    <w:rPr>
                      <w:rFonts w:hint="eastAsia"/>
                      <w:szCs w:val="21"/>
                      <w:highlight w:val="none"/>
                      <w:lang w:val="en-US" w:eastAsia="zh-CN"/>
                    </w:rPr>
                    <w:t>外排（2#）</w:t>
                  </w:r>
                  <w:r>
                    <w:rPr>
                      <w:rFonts w:hint="eastAsia" w:ascii="Times New Roman" w:hAnsi="Times New Roman" w:eastAsia="宋体"/>
                      <w:szCs w:val="21"/>
                      <w:highlight w:val="none"/>
                      <w:lang w:val="en-US" w:eastAsia="zh-CN"/>
                    </w:rPr>
                    <w:t>，压砖机</w:t>
                  </w:r>
                  <w:r>
                    <w:rPr>
                      <w:rFonts w:hint="eastAsia"/>
                      <w:szCs w:val="21"/>
                      <w:highlight w:val="none"/>
                      <w:lang w:val="en-US" w:eastAsia="zh-CN"/>
                    </w:rPr>
                    <w:t>经布袋除尘系统处理后通过15m</w:t>
                  </w:r>
                  <w:r>
                    <w:rPr>
                      <w:rFonts w:hint="eastAsia" w:ascii="Times New Roman" w:hAnsi="Times New Roman" w:eastAsia="宋体"/>
                      <w:szCs w:val="21"/>
                      <w:highlight w:val="none"/>
                      <w:lang w:val="en-US" w:eastAsia="zh-CN"/>
                    </w:rPr>
                    <w:t>排气筒</w:t>
                  </w:r>
                  <w:r>
                    <w:rPr>
                      <w:rFonts w:hint="eastAsia"/>
                      <w:szCs w:val="21"/>
                      <w:highlight w:val="none"/>
                      <w:lang w:val="en-US" w:eastAsia="zh-CN"/>
                    </w:rPr>
                    <w:t>外排（3#）</w:t>
                  </w:r>
                </w:p>
              </w:tc>
              <w:tc>
                <w:tcPr>
                  <w:tcW w:w="1132" w:type="dxa"/>
                  <w:noWrap w:val="0"/>
                  <w:vAlign w:val="center"/>
                </w:tcPr>
                <w:p>
                  <w:pPr>
                    <w:jc w:val="center"/>
                    <w:rPr>
                      <w:rFonts w:hint="eastAsia"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continue"/>
                  <w:noWrap w:val="0"/>
                  <w:vAlign w:val="center"/>
                </w:tcPr>
                <w:p>
                  <w:pPr>
                    <w:jc w:val="center"/>
                    <w:rPr>
                      <w:rFonts w:ascii="Times New Roman" w:hAnsi="Times New Roman" w:eastAsia="宋体"/>
                      <w:bCs/>
                      <w:color w:val="000000"/>
                      <w:szCs w:val="21"/>
                      <w:highlight w:val="none"/>
                    </w:rPr>
                  </w:pPr>
                </w:p>
              </w:tc>
              <w:tc>
                <w:tcPr>
                  <w:tcW w:w="2761" w:type="dxa"/>
                  <w:noWrap w:val="0"/>
                  <w:vAlign w:val="center"/>
                </w:tcPr>
                <w:p>
                  <w:pPr>
                    <w:jc w:val="center"/>
                    <w:rPr>
                      <w:rFonts w:hint="eastAsia"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w:t>
                  </w:r>
                </w:p>
              </w:tc>
              <w:tc>
                <w:tcPr>
                  <w:tcW w:w="2883" w:type="dxa"/>
                  <w:noWrap w:val="0"/>
                  <w:vAlign w:val="center"/>
                </w:tcPr>
                <w:p>
                  <w:pPr>
                    <w:pStyle w:val="74"/>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隧道窑设置一套除尘系统</w:t>
                  </w:r>
                  <w:r>
                    <w:rPr>
                      <w:rFonts w:hint="eastAsia"/>
                      <w:szCs w:val="21"/>
                      <w:highlight w:val="none"/>
                      <w:lang w:val="en-US" w:eastAsia="zh-CN"/>
                    </w:rPr>
                    <w:t>处理后通过15m</w:t>
                  </w:r>
                  <w:r>
                    <w:rPr>
                      <w:rFonts w:hint="eastAsia" w:ascii="Times New Roman" w:hAnsi="Times New Roman" w:eastAsia="宋体"/>
                      <w:szCs w:val="21"/>
                      <w:highlight w:val="none"/>
                      <w:lang w:val="en-US" w:eastAsia="zh-CN"/>
                    </w:rPr>
                    <w:t>排</w:t>
                  </w:r>
                  <w:bookmarkStart w:id="19" w:name="_GoBack"/>
                  <w:bookmarkEnd w:id="19"/>
                  <w:r>
                    <w:rPr>
                      <w:rFonts w:hint="eastAsia" w:ascii="Times New Roman" w:hAnsi="Times New Roman" w:eastAsia="宋体"/>
                      <w:szCs w:val="21"/>
                      <w:highlight w:val="none"/>
                      <w:lang w:val="en-US" w:eastAsia="zh-CN"/>
                    </w:rPr>
                    <w:t>气筒</w:t>
                  </w:r>
                  <w:r>
                    <w:rPr>
                      <w:rFonts w:hint="eastAsia"/>
                      <w:szCs w:val="21"/>
                      <w:highlight w:val="none"/>
                      <w:lang w:val="en-US" w:eastAsia="zh-CN"/>
                    </w:rPr>
                    <w:t>外排（5#、6#），干燥窑设置一套除尘系统处理后通过15m</w:t>
                  </w:r>
                  <w:r>
                    <w:rPr>
                      <w:rFonts w:hint="eastAsia" w:ascii="Times New Roman" w:hAnsi="Times New Roman" w:eastAsia="宋体"/>
                      <w:szCs w:val="21"/>
                      <w:highlight w:val="none"/>
                      <w:lang w:val="en-US" w:eastAsia="zh-CN"/>
                    </w:rPr>
                    <w:t>排气筒</w:t>
                  </w:r>
                  <w:r>
                    <w:rPr>
                      <w:rFonts w:hint="eastAsia"/>
                      <w:szCs w:val="21"/>
                      <w:highlight w:val="none"/>
                      <w:lang w:val="en-US" w:eastAsia="zh-CN"/>
                    </w:rPr>
                    <w:t>外排（4#）</w:t>
                  </w:r>
                </w:p>
              </w:tc>
              <w:tc>
                <w:tcPr>
                  <w:tcW w:w="1132" w:type="dxa"/>
                  <w:noWrap w:val="0"/>
                  <w:vAlign w:val="center"/>
                </w:tcPr>
                <w:p>
                  <w:pPr>
                    <w:jc w:val="center"/>
                    <w:rPr>
                      <w:rFonts w:hint="default"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噪声</w:t>
                  </w:r>
                </w:p>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治理</w:t>
                  </w:r>
                </w:p>
              </w:tc>
              <w:tc>
                <w:tcPr>
                  <w:tcW w:w="2761"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建筑隔声、距离衰减等</w:t>
                  </w:r>
                </w:p>
              </w:tc>
              <w:tc>
                <w:tcPr>
                  <w:tcW w:w="2883"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建筑隔声、距离衰减等</w:t>
                  </w:r>
                </w:p>
              </w:tc>
              <w:tc>
                <w:tcPr>
                  <w:tcW w:w="1132" w:type="dxa"/>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restart"/>
                  <w:noWrap w:val="0"/>
                  <w:vAlign w:val="center"/>
                </w:tcPr>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固废</w:t>
                  </w:r>
                </w:p>
                <w:p>
                  <w:pPr>
                    <w:jc w:val="center"/>
                    <w:rPr>
                      <w:rFonts w:ascii="Times New Roman" w:hAnsi="Times New Roman" w:eastAsia="宋体"/>
                      <w:bCs/>
                      <w:color w:val="000000"/>
                      <w:szCs w:val="21"/>
                      <w:highlight w:val="none"/>
                    </w:rPr>
                  </w:pPr>
                  <w:r>
                    <w:rPr>
                      <w:rFonts w:ascii="Times New Roman" w:hAnsi="Times New Roman" w:eastAsia="宋体"/>
                      <w:bCs/>
                      <w:color w:val="000000"/>
                      <w:szCs w:val="21"/>
                      <w:highlight w:val="none"/>
                    </w:rPr>
                    <w:t>处置</w:t>
                  </w:r>
                </w:p>
              </w:tc>
              <w:tc>
                <w:tcPr>
                  <w:tcW w:w="2761" w:type="dxa"/>
                  <w:noWrap w:val="0"/>
                  <w:vAlign w:val="center"/>
                </w:tcPr>
                <w:p>
                  <w:pPr>
                    <w:pStyle w:val="91"/>
                    <w:spacing w:line="240" w:lineRule="atLeast"/>
                    <w:ind w:firstLine="0" w:firstLineChars="0"/>
                    <w:jc w:val="center"/>
                    <w:rPr>
                      <w:rFonts w:hint="eastAsia" w:ascii="Times New Roman" w:hAnsi="Times New Roman" w:eastAsia="宋体"/>
                      <w:bCs/>
                      <w:color w:val="000000"/>
                      <w:szCs w:val="21"/>
                      <w:highlight w:val="none"/>
                      <w:lang w:eastAsia="zh-CN"/>
                    </w:rPr>
                  </w:pPr>
                  <w:r>
                    <w:rPr>
                      <w:rFonts w:hint="eastAsia" w:ascii="Times New Roman" w:hAnsi="Times New Roman" w:eastAsia="宋体"/>
                      <w:szCs w:val="21"/>
                      <w:highlight w:val="none"/>
                      <w:lang w:eastAsia="zh-CN"/>
                    </w:rPr>
                    <w:t>除尘灰</w:t>
                  </w:r>
                </w:p>
              </w:tc>
              <w:tc>
                <w:tcPr>
                  <w:tcW w:w="2883" w:type="dxa"/>
                  <w:vMerge w:val="restart"/>
                  <w:noWrap w:val="0"/>
                  <w:vAlign w:val="center"/>
                </w:tcPr>
                <w:p>
                  <w:pPr>
                    <w:pStyle w:val="91"/>
                    <w:spacing w:line="240" w:lineRule="atLeast"/>
                    <w:ind w:firstLine="0" w:firstLineChars="0"/>
                    <w:jc w:val="center"/>
                    <w:rPr>
                      <w:rFonts w:hint="eastAsia" w:ascii="Times New Roman" w:hAnsi="Times New Roman" w:eastAsia="宋体"/>
                      <w:bCs/>
                      <w:color w:val="000000"/>
                      <w:szCs w:val="21"/>
                      <w:highlight w:val="none"/>
                      <w:lang w:eastAsia="zh-CN"/>
                    </w:rPr>
                  </w:pPr>
                  <w:r>
                    <w:rPr>
                      <w:rFonts w:hint="eastAsia" w:ascii="Times New Roman" w:hAnsi="Times New Roman" w:eastAsia="宋体"/>
                      <w:bCs/>
                      <w:color w:val="000000"/>
                      <w:szCs w:val="21"/>
                      <w:highlight w:val="none"/>
                      <w:lang w:eastAsia="zh-CN"/>
                    </w:rPr>
                    <w:t>回收利用</w:t>
                  </w:r>
                </w:p>
              </w:tc>
              <w:tc>
                <w:tcPr>
                  <w:tcW w:w="1132" w:type="dxa"/>
                  <w:vMerge w:val="restart"/>
                  <w:noWrap w:val="0"/>
                  <w:vAlign w:val="center"/>
                </w:tcPr>
                <w:p>
                  <w:pPr>
                    <w:jc w:val="center"/>
                    <w:rPr>
                      <w:rFonts w:hint="eastAsia" w:ascii="Times New Roman" w:hAnsi="Times New Roman" w:eastAsia="宋体"/>
                      <w:bCs/>
                      <w:color w:val="000000"/>
                      <w:szCs w:val="21"/>
                      <w:highlight w:val="yellow"/>
                      <w:lang w:eastAsia="zh-CN"/>
                    </w:rPr>
                  </w:pPr>
                  <w:r>
                    <w:rPr>
                      <w:rFonts w:hint="eastAsia" w:ascii="Times New Roman" w:hAnsi="Times New Roman" w:eastAsia="宋体"/>
                      <w:color w:val="000000"/>
                      <w:kern w:val="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continue"/>
                  <w:noWrap w:val="0"/>
                  <w:vAlign w:val="center"/>
                </w:tcPr>
                <w:p>
                  <w:pPr>
                    <w:jc w:val="center"/>
                    <w:rPr>
                      <w:rFonts w:ascii="Times New Roman" w:hAnsi="Times New Roman" w:eastAsia="宋体"/>
                      <w:bCs/>
                      <w:color w:val="000000"/>
                      <w:szCs w:val="21"/>
                      <w:highlight w:val="none"/>
                    </w:rPr>
                  </w:pPr>
                </w:p>
              </w:tc>
              <w:tc>
                <w:tcPr>
                  <w:tcW w:w="2761" w:type="dxa"/>
                  <w:noWrap w:val="0"/>
                  <w:vAlign w:val="center"/>
                </w:tcPr>
                <w:p>
                  <w:pPr>
                    <w:pStyle w:val="91"/>
                    <w:spacing w:line="240" w:lineRule="atLeast"/>
                    <w:ind w:firstLine="0" w:firstLineChars="0"/>
                    <w:jc w:val="center"/>
                    <w:rPr>
                      <w:rFonts w:hint="eastAsia" w:ascii="Times New Roman" w:hAnsi="Times New Roman" w:eastAsia="宋体"/>
                      <w:szCs w:val="21"/>
                      <w:highlight w:val="none"/>
                      <w:lang w:eastAsia="zh-CN"/>
                    </w:rPr>
                  </w:pPr>
                  <w:r>
                    <w:rPr>
                      <w:rFonts w:hint="eastAsia" w:ascii="Times New Roman" w:hAnsi="Times New Roman" w:eastAsia="宋体"/>
                      <w:szCs w:val="24"/>
                      <w:highlight w:val="none"/>
                    </w:rPr>
                    <w:t>振动筛废渣</w:t>
                  </w:r>
                </w:p>
              </w:tc>
              <w:tc>
                <w:tcPr>
                  <w:tcW w:w="2883" w:type="dxa"/>
                  <w:vMerge w:val="continue"/>
                  <w:noWrap w:val="0"/>
                  <w:vAlign w:val="center"/>
                </w:tcPr>
                <w:p>
                  <w:pPr>
                    <w:pStyle w:val="91"/>
                    <w:spacing w:line="240" w:lineRule="atLeast"/>
                    <w:ind w:firstLine="0" w:firstLineChars="0"/>
                    <w:jc w:val="center"/>
                    <w:rPr>
                      <w:rFonts w:hint="eastAsia" w:ascii="Times New Roman" w:hAnsi="Times New Roman" w:eastAsia="宋体"/>
                      <w:bCs/>
                      <w:color w:val="000000"/>
                      <w:szCs w:val="21"/>
                      <w:highlight w:val="none"/>
                      <w:lang w:eastAsia="zh-CN"/>
                    </w:rPr>
                  </w:pPr>
                </w:p>
              </w:tc>
              <w:tc>
                <w:tcPr>
                  <w:tcW w:w="1132" w:type="dxa"/>
                  <w:vMerge w:val="continue"/>
                  <w:noWrap w:val="0"/>
                  <w:vAlign w:val="center"/>
                </w:tcPr>
                <w:p>
                  <w:pPr>
                    <w:jc w:val="center"/>
                    <w:rPr>
                      <w:rFonts w:ascii="Times New Roman" w:hAnsi="Times New Roman" w:eastAsia="宋体"/>
                      <w:color w:val="000000"/>
                      <w:kern w:val="0"/>
                      <w:szCs w:val="21"/>
                      <w:highlight w:val="yellow"/>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continue"/>
                  <w:noWrap w:val="0"/>
                  <w:vAlign w:val="center"/>
                </w:tcPr>
                <w:p>
                  <w:pPr>
                    <w:jc w:val="center"/>
                    <w:rPr>
                      <w:rFonts w:ascii="Times New Roman" w:hAnsi="Times New Roman" w:eastAsia="宋体"/>
                      <w:bCs/>
                      <w:color w:val="000000"/>
                      <w:szCs w:val="21"/>
                      <w:highlight w:val="none"/>
                    </w:rPr>
                  </w:pPr>
                </w:p>
              </w:tc>
              <w:tc>
                <w:tcPr>
                  <w:tcW w:w="2761" w:type="dxa"/>
                  <w:noWrap w:val="0"/>
                  <w:vAlign w:val="center"/>
                </w:tcPr>
                <w:p>
                  <w:pPr>
                    <w:pStyle w:val="91"/>
                    <w:spacing w:line="240" w:lineRule="atLeast"/>
                    <w:ind w:firstLine="0" w:firstLineChars="0"/>
                    <w:jc w:val="center"/>
                    <w:rPr>
                      <w:rFonts w:hint="eastAsia" w:ascii="Times New Roman" w:hAnsi="Times New Roman" w:eastAsia="宋体"/>
                      <w:szCs w:val="24"/>
                      <w:highlight w:val="none"/>
                    </w:rPr>
                  </w:pPr>
                  <w:r>
                    <w:rPr>
                      <w:rFonts w:hint="eastAsia" w:ascii="Times New Roman" w:hAnsi="Times New Roman" w:eastAsia="宋体"/>
                      <w:szCs w:val="24"/>
                      <w:highlight w:val="none"/>
                    </w:rPr>
                    <w:t>成型废品</w:t>
                  </w:r>
                </w:p>
              </w:tc>
              <w:tc>
                <w:tcPr>
                  <w:tcW w:w="2883" w:type="dxa"/>
                  <w:vMerge w:val="continue"/>
                  <w:noWrap w:val="0"/>
                  <w:vAlign w:val="center"/>
                </w:tcPr>
                <w:p>
                  <w:pPr>
                    <w:pStyle w:val="91"/>
                    <w:spacing w:line="240" w:lineRule="atLeast"/>
                    <w:ind w:firstLine="0" w:firstLineChars="0"/>
                    <w:jc w:val="center"/>
                    <w:rPr>
                      <w:rFonts w:hint="eastAsia" w:ascii="Times New Roman" w:hAnsi="Times New Roman" w:eastAsia="宋体"/>
                      <w:bCs/>
                      <w:color w:val="000000"/>
                      <w:szCs w:val="21"/>
                      <w:highlight w:val="none"/>
                      <w:lang w:eastAsia="zh-CN"/>
                    </w:rPr>
                  </w:pPr>
                </w:p>
              </w:tc>
              <w:tc>
                <w:tcPr>
                  <w:tcW w:w="1132" w:type="dxa"/>
                  <w:vMerge w:val="continue"/>
                  <w:noWrap w:val="0"/>
                  <w:vAlign w:val="center"/>
                </w:tcPr>
                <w:p>
                  <w:pPr>
                    <w:jc w:val="center"/>
                    <w:rPr>
                      <w:rFonts w:ascii="Times New Roman" w:hAnsi="Times New Roman" w:eastAsia="宋体"/>
                      <w:color w:val="000000"/>
                      <w:kern w:val="0"/>
                      <w:szCs w:val="21"/>
                      <w:highlight w:val="yellow"/>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continue"/>
                  <w:noWrap w:val="0"/>
                  <w:vAlign w:val="center"/>
                </w:tcPr>
                <w:p>
                  <w:pPr>
                    <w:jc w:val="center"/>
                    <w:rPr>
                      <w:rFonts w:ascii="Times New Roman" w:hAnsi="Times New Roman" w:eastAsia="宋体"/>
                      <w:bCs/>
                      <w:color w:val="000000"/>
                      <w:szCs w:val="21"/>
                      <w:highlight w:val="none"/>
                    </w:rPr>
                  </w:pPr>
                </w:p>
              </w:tc>
              <w:tc>
                <w:tcPr>
                  <w:tcW w:w="2761" w:type="dxa"/>
                  <w:noWrap w:val="0"/>
                  <w:vAlign w:val="center"/>
                </w:tcPr>
                <w:p>
                  <w:pPr>
                    <w:pStyle w:val="91"/>
                    <w:spacing w:line="240" w:lineRule="atLeast"/>
                    <w:ind w:firstLine="0" w:firstLineChars="0"/>
                    <w:jc w:val="center"/>
                    <w:rPr>
                      <w:rFonts w:hint="eastAsia" w:ascii="Times New Roman" w:hAnsi="Times New Roman" w:eastAsia="宋体"/>
                      <w:szCs w:val="24"/>
                      <w:highlight w:val="none"/>
                    </w:rPr>
                  </w:pPr>
                  <w:r>
                    <w:rPr>
                      <w:rFonts w:hint="eastAsia" w:ascii="Times New Roman" w:hAnsi="Times New Roman" w:eastAsia="宋体"/>
                      <w:szCs w:val="24"/>
                      <w:highlight w:val="none"/>
                    </w:rPr>
                    <w:t>烧成废品</w:t>
                  </w:r>
                </w:p>
              </w:tc>
              <w:tc>
                <w:tcPr>
                  <w:tcW w:w="2883" w:type="dxa"/>
                  <w:vMerge w:val="continue"/>
                  <w:noWrap w:val="0"/>
                  <w:vAlign w:val="center"/>
                </w:tcPr>
                <w:p>
                  <w:pPr>
                    <w:pStyle w:val="91"/>
                    <w:spacing w:line="240" w:lineRule="atLeast"/>
                    <w:ind w:firstLine="0" w:firstLineChars="0"/>
                    <w:jc w:val="center"/>
                    <w:rPr>
                      <w:rFonts w:hint="eastAsia" w:ascii="Times New Roman" w:hAnsi="Times New Roman" w:eastAsia="宋体"/>
                      <w:bCs/>
                      <w:color w:val="000000"/>
                      <w:szCs w:val="21"/>
                      <w:highlight w:val="none"/>
                      <w:lang w:eastAsia="zh-CN"/>
                    </w:rPr>
                  </w:pPr>
                </w:p>
              </w:tc>
              <w:tc>
                <w:tcPr>
                  <w:tcW w:w="1132" w:type="dxa"/>
                  <w:vMerge w:val="continue"/>
                  <w:noWrap w:val="0"/>
                  <w:vAlign w:val="center"/>
                </w:tcPr>
                <w:p>
                  <w:pPr>
                    <w:jc w:val="center"/>
                    <w:rPr>
                      <w:rFonts w:ascii="Times New Roman" w:hAnsi="Times New Roman" w:eastAsia="宋体"/>
                      <w:color w:val="000000"/>
                      <w:kern w:val="0"/>
                      <w:szCs w:val="21"/>
                      <w:highlight w:val="yellow"/>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continue"/>
                  <w:noWrap w:val="0"/>
                  <w:vAlign w:val="center"/>
                </w:tcPr>
                <w:p>
                  <w:pPr>
                    <w:jc w:val="center"/>
                    <w:rPr>
                      <w:rFonts w:ascii="Times New Roman" w:hAnsi="Times New Roman" w:eastAsia="宋体"/>
                      <w:bCs/>
                      <w:color w:val="000000"/>
                      <w:szCs w:val="21"/>
                      <w:highlight w:val="none"/>
                    </w:rPr>
                  </w:pPr>
                </w:p>
              </w:tc>
              <w:tc>
                <w:tcPr>
                  <w:tcW w:w="2761" w:type="dxa"/>
                  <w:noWrap w:val="0"/>
                  <w:vAlign w:val="center"/>
                </w:tcPr>
                <w:p>
                  <w:pPr>
                    <w:pStyle w:val="91"/>
                    <w:spacing w:line="240" w:lineRule="atLeast"/>
                    <w:ind w:firstLine="0" w:firstLineChars="0"/>
                    <w:jc w:val="center"/>
                    <w:rPr>
                      <w:rFonts w:ascii="Times New Roman" w:hAnsi="Times New Roman" w:eastAsia="宋体"/>
                      <w:snapToGrid w:val="0"/>
                      <w:szCs w:val="21"/>
                      <w:highlight w:val="none"/>
                    </w:rPr>
                  </w:pPr>
                  <w:r>
                    <w:rPr>
                      <w:rFonts w:ascii="Times New Roman" w:hAnsi="Times New Roman" w:eastAsia="宋体"/>
                      <w:szCs w:val="21"/>
                      <w:highlight w:val="none"/>
                      <w:lang w:eastAsia="en-US"/>
                    </w:rPr>
                    <w:t>生活垃圾</w:t>
                  </w:r>
                </w:p>
              </w:tc>
              <w:tc>
                <w:tcPr>
                  <w:tcW w:w="2883" w:type="dxa"/>
                  <w:noWrap w:val="0"/>
                  <w:vAlign w:val="center"/>
                </w:tcPr>
                <w:p>
                  <w:pPr>
                    <w:pStyle w:val="91"/>
                    <w:spacing w:line="240" w:lineRule="atLeast"/>
                    <w:ind w:firstLine="0" w:firstLineChars="0"/>
                    <w:jc w:val="center"/>
                    <w:rPr>
                      <w:rFonts w:ascii="Times New Roman" w:hAnsi="Times New Roman" w:eastAsia="宋体"/>
                      <w:snapToGrid w:val="0"/>
                      <w:szCs w:val="21"/>
                      <w:highlight w:val="none"/>
                    </w:rPr>
                  </w:pPr>
                  <w:r>
                    <w:rPr>
                      <w:rFonts w:hint="eastAsia" w:ascii="Times New Roman" w:hAnsi="Times New Roman" w:eastAsia="宋体"/>
                      <w:szCs w:val="21"/>
                      <w:highlight w:val="none"/>
                    </w:rPr>
                    <w:t>由</w:t>
                  </w:r>
                  <w:r>
                    <w:rPr>
                      <w:rFonts w:ascii="Times New Roman" w:hAnsi="Times New Roman" w:eastAsia="宋体"/>
                      <w:szCs w:val="21"/>
                      <w:highlight w:val="none"/>
                      <w:lang w:eastAsia="en-US"/>
                    </w:rPr>
                    <w:t>环卫部门处置</w:t>
                  </w:r>
                </w:p>
              </w:tc>
              <w:tc>
                <w:tcPr>
                  <w:tcW w:w="1132" w:type="dxa"/>
                  <w:vMerge w:val="continue"/>
                  <w:noWrap w:val="0"/>
                  <w:vAlign w:val="center"/>
                </w:tcPr>
                <w:p>
                  <w:pPr>
                    <w:jc w:val="center"/>
                    <w:rPr>
                      <w:rFonts w:ascii="Times New Roman" w:hAnsi="Times New Roman" w:eastAsia="宋体"/>
                      <w:color w:val="000000"/>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60" w:type="dxa"/>
                  <w:vMerge w:val="continue"/>
                  <w:noWrap w:val="0"/>
                  <w:vAlign w:val="center"/>
                </w:tcPr>
                <w:p>
                  <w:pPr>
                    <w:jc w:val="center"/>
                    <w:rPr>
                      <w:rFonts w:ascii="Times New Roman" w:hAnsi="Times New Roman" w:eastAsia="宋体"/>
                      <w:bCs/>
                      <w:color w:val="000000"/>
                      <w:szCs w:val="21"/>
                      <w:highlight w:val="none"/>
                    </w:rPr>
                  </w:pPr>
                </w:p>
              </w:tc>
              <w:tc>
                <w:tcPr>
                  <w:tcW w:w="860" w:type="dxa"/>
                  <w:vMerge w:val="continue"/>
                  <w:noWrap w:val="0"/>
                  <w:vAlign w:val="center"/>
                </w:tcPr>
                <w:p>
                  <w:pPr>
                    <w:jc w:val="center"/>
                    <w:rPr>
                      <w:rFonts w:ascii="Times New Roman" w:hAnsi="Times New Roman" w:eastAsia="宋体"/>
                      <w:bCs/>
                      <w:color w:val="000000"/>
                      <w:szCs w:val="21"/>
                      <w:highlight w:val="none"/>
                    </w:rPr>
                  </w:pPr>
                </w:p>
              </w:tc>
              <w:tc>
                <w:tcPr>
                  <w:tcW w:w="2761" w:type="dxa"/>
                  <w:noWrap w:val="0"/>
                  <w:vAlign w:val="center"/>
                </w:tcPr>
                <w:p>
                  <w:pPr>
                    <w:pStyle w:val="91"/>
                    <w:spacing w:line="240" w:lineRule="atLeast"/>
                    <w:ind w:firstLine="0" w:firstLineChars="0"/>
                    <w:jc w:val="center"/>
                    <w:rPr>
                      <w:rFonts w:ascii="Times New Roman" w:hAnsi="Times New Roman" w:eastAsia="宋体"/>
                      <w:snapToGrid w:val="0"/>
                      <w:szCs w:val="21"/>
                      <w:highlight w:val="none"/>
                    </w:rPr>
                  </w:pPr>
                  <w:r>
                    <w:rPr>
                      <w:rFonts w:hint="eastAsia" w:ascii="Times New Roman" w:hAnsi="Times New Roman" w:eastAsia="宋体"/>
                      <w:szCs w:val="24"/>
                      <w:highlight w:val="none"/>
                    </w:rPr>
                    <w:t>磁选机废渣</w:t>
                  </w:r>
                </w:p>
              </w:tc>
              <w:tc>
                <w:tcPr>
                  <w:tcW w:w="2883" w:type="dxa"/>
                  <w:noWrap w:val="0"/>
                  <w:vAlign w:val="center"/>
                </w:tcPr>
                <w:p>
                  <w:pPr>
                    <w:spacing w:line="240" w:lineRule="atLeast"/>
                    <w:jc w:val="center"/>
                    <w:rPr>
                      <w:rFonts w:hint="eastAsia" w:ascii="Times New Roman" w:hAnsi="Times New Roman" w:eastAsia="宋体"/>
                      <w:snapToGrid w:val="0"/>
                      <w:szCs w:val="21"/>
                      <w:highlight w:val="none"/>
                      <w:lang w:eastAsia="zh-CN"/>
                    </w:rPr>
                  </w:pPr>
                  <w:r>
                    <w:rPr>
                      <w:rFonts w:hint="eastAsia" w:ascii="Times New Roman" w:hAnsi="Times New Roman" w:eastAsia="宋体"/>
                      <w:szCs w:val="21"/>
                      <w:highlight w:val="none"/>
                      <w:lang w:eastAsia="zh-CN"/>
                    </w:rPr>
                    <w:t>外售</w:t>
                  </w:r>
                </w:p>
              </w:tc>
              <w:tc>
                <w:tcPr>
                  <w:tcW w:w="1132" w:type="dxa"/>
                  <w:vMerge w:val="continue"/>
                  <w:noWrap w:val="0"/>
                  <w:vAlign w:val="center"/>
                </w:tcPr>
                <w:p>
                  <w:pPr>
                    <w:jc w:val="center"/>
                    <w:rPr>
                      <w:rFonts w:ascii="Times New Roman" w:hAnsi="Times New Roman" w:eastAsia="宋体"/>
                      <w:color w:val="000000"/>
                      <w:kern w:val="0"/>
                      <w:szCs w:val="21"/>
                      <w:highlight w:val="yellow"/>
                    </w:rPr>
                  </w:pPr>
                </w:p>
              </w:tc>
            </w:tr>
          </w:tbl>
          <w:p>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（7）产品方案</w:t>
            </w:r>
          </w:p>
          <w:p>
            <w:pPr>
              <w:spacing w:line="360" w:lineRule="auto"/>
              <w:ind w:firstLine="480" w:firstLineChars="200"/>
              <w:rPr>
                <w:rFonts w:ascii="Times New Roman" w:hAnsi="Times New Roman" w:eastAsia="宋体"/>
                <w:b/>
                <w:color w:val="000000"/>
                <w:sz w:val="24"/>
                <w:szCs w:val="24"/>
                <w:highlight w:val="none"/>
              </w:rPr>
            </w:pPr>
            <w:r>
              <w:rPr>
                <w:rFonts w:hint="eastAsia" w:ascii="Times New Roman" w:hAnsi="Times New Roman" w:eastAsia="宋体"/>
                <w:color w:val="000000"/>
                <w:sz w:val="24"/>
                <w:szCs w:val="24"/>
                <w:highlight w:val="none"/>
                <w:lang w:val="en-US" w:eastAsia="zh-CN"/>
              </w:rPr>
              <w:t>新建一条高铝砖生产线</w:t>
            </w:r>
            <w:r>
              <w:rPr>
                <w:rFonts w:hint="eastAsia" w:ascii="Times New Roman" w:hAnsi="Times New Roman" w:eastAsia="宋体"/>
                <w:color w:val="000000"/>
                <w:sz w:val="24"/>
                <w:szCs w:val="24"/>
                <w:highlight w:val="none"/>
              </w:rPr>
              <w:t>，</w:t>
            </w:r>
            <w:r>
              <w:rPr>
                <w:rFonts w:ascii="Times New Roman" w:hAnsi="Times New Roman" w:eastAsia="宋体"/>
                <w:color w:val="000000"/>
                <w:sz w:val="24"/>
                <w:szCs w:val="24"/>
                <w:highlight w:val="none"/>
              </w:rPr>
              <w:t>项目扩建前后的产品规模见下表：</w:t>
            </w:r>
          </w:p>
          <w:p>
            <w:pPr>
              <w:spacing w:line="360" w:lineRule="auto"/>
              <w:jc w:val="center"/>
              <w:rPr>
                <w:rFonts w:ascii="Times New Roman" w:hAnsi="Times New Roman" w:eastAsia="宋体"/>
                <w:b/>
                <w:color w:val="000000"/>
                <w:sz w:val="24"/>
                <w:szCs w:val="24"/>
                <w:highlight w:val="none"/>
              </w:rPr>
            </w:pPr>
            <w:r>
              <w:rPr>
                <w:rFonts w:ascii="Times New Roman" w:hAnsi="Times New Roman" w:eastAsia="宋体"/>
                <w:b/>
                <w:color w:val="000000"/>
                <w:sz w:val="24"/>
                <w:szCs w:val="24"/>
                <w:highlight w:val="none"/>
              </w:rPr>
              <w:t>表1-2  扩建前后产品方案一览表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2646"/>
              <w:gridCol w:w="1640"/>
              <w:gridCol w:w="1682"/>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noWrap w:val="0"/>
                  <w:vAlign w:val="center"/>
                </w:tcPr>
                <w:p>
                  <w:pPr>
                    <w:spacing w:line="240" w:lineRule="atLeast"/>
                    <w:jc w:val="center"/>
                    <w:rPr>
                      <w:rFonts w:ascii="Times New Roman" w:hAnsi="Times New Roman" w:eastAsia="宋体"/>
                      <w:szCs w:val="21"/>
                      <w:highlight w:val="none"/>
                    </w:rPr>
                  </w:pPr>
                  <w:r>
                    <w:rPr>
                      <w:rFonts w:ascii="Times New Roman" w:hAnsi="Times New Roman" w:eastAsia="宋体"/>
                      <w:szCs w:val="21"/>
                      <w:highlight w:val="none"/>
                    </w:rPr>
                    <w:t>序号</w:t>
                  </w:r>
                </w:p>
              </w:tc>
              <w:tc>
                <w:tcPr>
                  <w:tcW w:w="2894" w:type="dxa"/>
                  <w:noWrap w:val="0"/>
                  <w:vAlign w:val="center"/>
                </w:tcPr>
                <w:p>
                  <w:pPr>
                    <w:spacing w:line="240" w:lineRule="atLeast"/>
                    <w:jc w:val="center"/>
                    <w:rPr>
                      <w:rFonts w:ascii="Times New Roman" w:hAnsi="Times New Roman" w:eastAsia="宋体"/>
                      <w:szCs w:val="21"/>
                      <w:highlight w:val="none"/>
                    </w:rPr>
                  </w:pPr>
                  <w:r>
                    <w:rPr>
                      <w:rFonts w:ascii="Times New Roman" w:hAnsi="Times New Roman" w:eastAsia="宋体"/>
                      <w:szCs w:val="21"/>
                      <w:highlight w:val="none"/>
                    </w:rPr>
                    <w:t>名称</w:t>
                  </w:r>
                </w:p>
              </w:tc>
              <w:tc>
                <w:tcPr>
                  <w:tcW w:w="1729" w:type="dxa"/>
                  <w:noWrap w:val="0"/>
                  <w:vAlign w:val="center"/>
                </w:tcPr>
                <w:p>
                  <w:pPr>
                    <w:spacing w:line="240" w:lineRule="atLeast"/>
                    <w:jc w:val="center"/>
                    <w:rPr>
                      <w:rFonts w:ascii="Times New Roman" w:hAnsi="Times New Roman" w:eastAsia="宋体"/>
                      <w:szCs w:val="21"/>
                      <w:highlight w:val="none"/>
                    </w:rPr>
                  </w:pPr>
                  <w:r>
                    <w:rPr>
                      <w:rFonts w:ascii="Times New Roman" w:hAnsi="Times New Roman" w:eastAsia="宋体"/>
                      <w:szCs w:val="21"/>
                      <w:highlight w:val="none"/>
                    </w:rPr>
                    <w:t>扩建前（</w:t>
                  </w:r>
                  <w:r>
                    <w:rPr>
                      <w:rFonts w:hint="eastAsia" w:ascii="Times New Roman" w:hAnsi="Times New Roman" w:eastAsia="宋体"/>
                      <w:szCs w:val="21"/>
                      <w:highlight w:val="none"/>
                      <w:lang w:val="en-US" w:eastAsia="zh-CN"/>
                    </w:rPr>
                    <w:t>t</w:t>
                  </w:r>
                  <w:r>
                    <w:rPr>
                      <w:rFonts w:ascii="Times New Roman" w:hAnsi="Times New Roman" w:eastAsia="宋体"/>
                      <w:szCs w:val="21"/>
                      <w:highlight w:val="none"/>
                    </w:rPr>
                    <w:t>/a）</w:t>
                  </w:r>
                </w:p>
              </w:tc>
              <w:tc>
                <w:tcPr>
                  <w:tcW w:w="1775" w:type="dxa"/>
                  <w:noWrap w:val="0"/>
                  <w:vAlign w:val="center"/>
                </w:tcPr>
                <w:p>
                  <w:pPr>
                    <w:spacing w:line="240" w:lineRule="atLeast"/>
                    <w:jc w:val="center"/>
                    <w:rPr>
                      <w:rFonts w:ascii="Times New Roman" w:hAnsi="Times New Roman" w:eastAsia="宋体"/>
                      <w:szCs w:val="21"/>
                      <w:highlight w:val="none"/>
                    </w:rPr>
                  </w:pPr>
                  <w:r>
                    <w:rPr>
                      <w:rFonts w:ascii="Times New Roman" w:hAnsi="Times New Roman" w:eastAsia="宋体"/>
                      <w:szCs w:val="21"/>
                      <w:highlight w:val="none"/>
                    </w:rPr>
                    <w:t>新增（</w:t>
                  </w:r>
                  <w:r>
                    <w:rPr>
                      <w:rFonts w:hint="eastAsia" w:ascii="Times New Roman" w:hAnsi="Times New Roman" w:eastAsia="宋体"/>
                      <w:szCs w:val="21"/>
                      <w:highlight w:val="none"/>
                      <w:lang w:val="en-US" w:eastAsia="zh-CN"/>
                    </w:rPr>
                    <w:t>t</w:t>
                  </w:r>
                  <w:r>
                    <w:rPr>
                      <w:rFonts w:ascii="Times New Roman" w:hAnsi="Times New Roman" w:eastAsia="宋体"/>
                      <w:szCs w:val="21"/>
                      <w:highlight w:val="none"/>
                    </w:rPr>
                    <w:t>/a）</w:t>
                  </w:r>
                </w:p>
              </w:tc>
              <w:tc>
                <w:tcPr>
                  <w:tcW w:w="1697" w:type="dxa"/>
                  <w:noWrap w:val="0"/>
                  <w:vAlign w:val="center"/>
                </w:tcPr>
                <w:p>
                  <w:pPr>
                    <w:spacing w:line="240" w:lineRule="atLeast"/>
                    <w:jc w:val="center"/>
                    <w:rPr>
                      <w:rFonts w:ascii="Times New Roman" w:hAnsi="Times New Roman" w:eastAsia="宋体"/>
                      <w:szCs w:val="21"/>
                      <w:highlight w:val="none"/>
                    </w:rPr>
                  </w:pPr>
                  <w:r>
                    <w:rPr>
                      <w:rFonts w:ascii="Times New Roman" w:hAnsi="Times New Roman" w:eastAsia="宋体"/>
                      <w:szCs w:val="21"/>
                      <w:highlight w:val="none"/>
                    </w:rPr>
                    <w:t>扩建后（</w:t>
                  </w:r>
                  <w:r>
                    <w:rPr>
                      <w:rFonts w:hint="eastAsia" w:ascii="Times New Roman" w:hAnsi="Times New Roman" w:eastAsia="宋体"/>
                      <w:szCs w:val="21"/>
                      <w:highlight w:val="none"/>
                      <w:lang w:val="en-US" w:eastAsia="zh-CN"/>
                    </w:rPr>
                    <w:t>t</w:t>
                  </w:r>
                  <w:r>
                    <w:rPr>
                      <w:rFonts w:ascii="Times New Roman" w:hAnsi="Times New Roman" w:eastAsia="宋体"/>
                      <w:szCs w:val="21"/>
                      <w:highlight w:val="none"/>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49" w:type="dxa"/>
                  <w:noWrap w:val="0"/>
                  <w:vAlign w:val="center"/>
                </w:tcPr>
                <w:p>
                  <w:pPr>
                    <w:spacing w:line="240" w:lineRule="atLeast"/>
                    <w:jc w:val="center"/>
                    <w:rPr>
                      <w:rFonts w:ascii="Times New Roman" w:hAnsi="Times New Roman" w:eastAsia="宋体"/>
                      <w:szCs w:val="21"/>
                      <w:highlight w:val="none"/>
                    </w:rPr>
                  </w:pPr>
                  <w:r>
                    <w:rPr>
                      <w:rFonts w:ascii="Times New Roman" w:hAnsi="Times New Roman" w:eastAsia="宋体"/>
                      <w:szCs w:val="21"/>
                      <w:highlight w:val="none"/>
                    </w:rPr>
                    <w:t>1</w:t>
                  </w:r>
                </w:p>
              </w:tc>
              <w:tc>
                <w:tcPr>
                  <w:tcW w:w="2894" w:type="dxa"/>
                  <w:noWrap w:val="0"/>
                  <w:vAlign w:val="center"/>
                </w:tcPr>
                <w:p>
                  <w:pPr>
                    <w:widowControl/>
                    <w:jc w:val="center"/>
                    <w:rPr>
                      <w:rFonts w:hint="eastAsia" w:ascii="Times New Roman" w:hAnsi="Times New Roman" w:eastAsia="宋体"/>
                      <w:color w:val="000000"/>
                      <w:kern w:val="0"/>
                      <w:szCs w:val="21"/>
                      <w:highlight w:val="none"/>
                      <w:lang w:eastAsia="zh-CN"/>
                    </w:rPr>
                  </w:pPr>
                  <w:r>
                    <w:rPr>
                      <w:rFonts w:hint="eastAsia" w:ascii="Times New Roman" w:hAnsi="Times New Roman" w:eastAsia="宋体"/>
                      <w:color w:val="000000"/>
                      <w:kern w:val="0"/>
                      <w:szCs w:val="21"/>
                      <w:highlight w:val="none"/>
                    </w:rPr>
                    <w:t>碱性</w:t>
                  </w:r>
                  <w:r>
                    <w:rPr>
                      <w:rFonts w:hint="eastAsia" w:ascii="Times New Roman" w:hAnsi="Times New Roman" w:eastAsia="宋体"/>
                      <w:color w:val="000000"/>
                      <w:kern w:val="0"/>
                      <w:szCs w:val="21"/>
                      <w:highlight w:val="none"/>
                      <w:lang w:val="en-US" w:eastAsia="zh-CN"/>
                    </w:rPr>
                    <w:t>砖</w:t>
                  </w:r>
                </w:p>
              </w:tc>
              <w:tc>
                <w:tcPr>
                  <w:tcW w:w="1729"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eastAsia="宋体"/>
                      <w:color w:val="000000"/>
                      <w:kern w:val="0"/>
                      <w:szCs w:val="21"/>
                      <w:highlight w:val="none"/>
                      <w:lang w:val="en-US" w:eastAsia="zh-CN"/>
                    </w:rPr>
                    <w:t>50000</w:t>
                  </w:r>
                </w:p>
              </w:tc>
              <w:tc>
                <w:tcPr>
                  <w:tcW w:w="1775" w:type="dxa"/>
                  <w:noWrap w:val="0"/>
                  <w:vAlign w:val="center"/>
                </w:tcPr>
                <w:p>
                  <w:pPr>
                    <w:widowControl/>
                    <w:jc w:val="center"/>
                    <w:rPr>
                      <w:rFonts w:ascii="Times New Roman" w:hAnsi="Times New Roman" w:eastAsia="宋体"/>
                      <w:color w:val="000000"/>
                      <w:kern w:val="0"/>
                      <w:szCs w:val="21"/>
                      <w:highlight w:val="none"/>
                    </w:rPr>
                  </w:pPr>
                  <w:r>
                    <w:rPr>
                      <w:rFonts w:ascii="Times New Roman" w:hAnsi="Times New Roman" w:eastAsia="宋体"/>
                      <w:color w:val="000000"/>
                      <w:kern w:val="0"/>
                      <w:szCs w:val="21"/>
                      <w:highlight w:val="none"/>
                    </w:rPr>
                    <w:t>0</w:t>
                  </w:r>
                </w:p>
              </w:tc>
              <w:tc>
                <w:tcPr>
                  <w:tcW w:w="1697" w:type="dxa"/>
                  <w:noWrap w:val="0"/>
                  <w:vAlign w:val="center"/>
                </w:tcPr>
                <w:p>
                  <w:pPr>
                    <w:widowControl/>
                    <w:jc w:val="center"/>
                    <w:rPr>
                      <w:rFonts w:ascii="Times New Roman" w:hAnsi="Times New Roman" w:eastAsia="宋体"/>
                      <w:color w:val="000000"/>
                      <w:kern w:val="0"/>
                      <w:szCs w:val="21"/>
                      <w:highlight w:val="none"/>
                    </w:rPr>
                  </w:pPr>
                  <w:r>
                    <w:rPr>
                      <w:rFonts w:hint="eastAsia" w:ascii="Times New Roman" w:hAnsi="Times New Roman" w:eastAsia="宋体"/>
                      <w:color w:val="000000"/>
                      <w:kern w:val="0"/>
                      <w:szCs w:val="21"/>
                      <w:highlight w:val="no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49" w:type="dxa"/>
                  <w:noWrap w:val="0"/>
                  <w:vAlign w:val="center"/>
                </w:tcPr>
                <w:p>
                  <w:pPr>
                    <w:spacing w:line="240" w:lineRule="atLeast"/>
                    <w:jc w:val="center"/>
                    <w:rPr>
                      <w:rFonts w:hint="eastAsia"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2</w:t>
                  </w:r>
                </w:p>
              </w:tc>
              <w:tc>
                <w:tcPr>
                  <w:tcW w:w="2894" w:type="dxa"/>
                  <w:noWrap w:val="0"/>
                  <w:vAlign w:val="center"/>
                </w:tcPr>
                <w:p>
                  <w:pPr>
                    <w:widowControl/>
                    <w:jc w:val="center"/>
                    <w:rPr>
                      <w:rFonts w:hint="eastAsia" w:ascii="Times New Roman" w:hAnsi="Times New Roman" w:eastAsia="宋体"/>
                      <w:color w:val="000000"/>
                      <w:kern w:val="0"/>
                      <w:szCs w:val="21"/>
                      <w:highlight w:val="none"/>
                      <w:lang w:val="en-US" w:eastAsia="zh-CN"/>
                    </w:rPr>
                  </w:pPr>
                  <w:r>
                    <w:rPr>
                      <w:rFonts w:hint="eastAsia" w:ascii="Times New Roman" w:hAnsi="Times New Roman" w:eastAsia="宋体"/>
                      <w:color w:val="000000"/>
                      <w:kern w:val="0"/>
                      <w:szCs w:val="21"/>
                      <w:highlight w:val="none"/>
                      <w:lang w:val="en-US" w:eastAsia="zh-CN"/>
                    </w:rPr>
                    <w:t>高铝砖</w:t>
                  </w:r>
                </w:p>
              </w:tc>
              <w:tc>
                <w:tcPr>
                  <w:tcW w:w="1729"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eastAsia="宋体"/>
                      <w:color w:val="000000"/>
                      <w:kern w:val="0"/>
                      <w:szCs w:val="21"/>
                      <w:highlight w:val="none"/>
                      <w:lang w:val="en-US" w:eastAsia="zh-CN"/>
                    </w:rPr>
                    <w:t>/</w:t>
                  </w:r>
                </w:p>
              </w:tc>
              <w:tc>
                <w:tcPr>
                  <w:tcW w:w="1775" w:type="dxa"/>
                  <w:noWrap w:val="0"/>
                  <w:vAlign w:val="center"/>
                </w:tcPr>
                <w:p>
                  <w:pPr>
                    <w:widowControl/>
                    <w:jc w:val="center"/>
                    <w:rPr>
                      <w:rFonts w:ascii="Times New Roman" w:hAnsi="Times New Roman" w:eastAsia="宋体"/>
                      <w:color w:val="000000"/>
                      <w:kern w:val="0"/>
                      <w:szCs w:val="21"/>
                      <w:highlight w:val="none"/>
                    </w:rPr>
                  </w:pPr>
                  <w:r>
                    <w:rPr>
                      <w:rFonts w:hint="eastAsia" w:ascii="Times New Roman" w:hAnsi="Times New Roman" w:eastAsia="宋体"/>
                      <w:color w:val="000000"/>
                      <w:kern w:val="0"/>
                      <w:szCs w:val="21"/>
                      <w:highlight w:val="none"/>
                      <w:lang w:val="en-US" w:eastAsia="zh-CN"/>
                    </w:rPr>
                    <w:t>50000</w:t>
                  </w:r>
                </w:p>
              </w:tc>
              <w:tc>
                <w:tcPr>
                  <w:tcW w:w="1697" w:type="dxa"/>
                  <w:noWrap w:val="0"/>
                  <w:vAlign w:val="center"/>
                </w:tcPr>
                <w:p>
                  <w:pPr>
                    <w:widowControl/>
                    <w:jc w:val="center"/>
                    <w:rPr>
                      <w:rFonts w:ascii="Times New Roman" w:hAnsi="Times New Roman" w:eastAsia="宋体"/>
                      <w:color w:val="000000"/>
                      <w:kern w:val="0"/>
                      <w:szCs w:val="21"/>
                      <w:highlight w:val="none"/>
                    </w:rPr>
                  </w:pPr>
                  <w:r>
                    <w:rPr>
                      <w:rFonts w:hint="eastAsia" w:ascii="Times New Roman" w:hAnsi="Times New Roman" w:eastAsia="宋体"/>
                      <w:color w:val="000000"/>
                      <w:kern w:val="0"/>
                      <w:szCs w:val="21"/>
                      <w:highlight w:val="no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49"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合计</w:t>
                  </w:r>
                </w:p>
              </w:tc>
              <w:tc>
                <w:tcPr>
                  <w:tcW w:w="2894" w:type="dxa"/>
                  <w:noWrap w:val="0"/>
                  <w:vAlign w:val="center"/>
                </w:tcPr>
                <w:p>
                  <w:pPr>
                    <w:widowControl/>
                    <w:jc w:val="center"/>
                    <w:rPr>
                      <w:rFonts w:hint="eastAsia" w:ascii="Times New Roman" w:hAnsi="Times New Roman" w:eastAsia="宋体"/>
                      <w:color w:val="000000"/>
                      <w:kern w:val="0"/>
                      <w:szCs w:val="21"/>
                      <w:highlight w:val="none"/>
                      <w:lang w:val="en-US" w:eastAsia="zh-CN"/>
                    </w:rPr>
                  </w:pPr>
                </w:p>
              </w:tc>
              <w:tc>
                <w:tcPr>
                  <w:tcW w:w="1729" w:type="dxa"/>
                  <w:noWrap w:val="0"/>
                  <w:vAlign w:val="center"/>
                </w:tcPr>
                <w:p>
                  <w:pPr>
                    <w:widowControl/>
                    <w:jc w:val="center"/>
                    <w:rPr>
                      <w:rFonts w:hint="eastAsia" w:ascii="Times New Roman" w:hAnsi="Times New Roman" w:eastAsia="宋体"/>
                      <w:color w:val="000000"/>
                      <w:kern w:val="0"/>
                      <w:szCs w:val="21"/>
                      <w:highlight w:val="none"/>
                      <w:lang w:val="en-US" w:eastAsia="zh-CN"/>
                    </w:rPr>
                  </w:pPr>
                </w:p>
              </w:tc>
              <w:tc>
                <w:tcPr>
                  <w:tcW w:w="1775" w:type="dxa"/>
                  <w:noWrap w:val="0"/>
                  <w:vAlign w:val="center"/>
                </w:tcPr>
                <w:p>
                  <w:pPr>
                    <w:widowControl/>
                    <w:jc w:val="center"/>
                    <w:rPr>
                      <w:rFonts w:hint="eastAsia" w:ascii="Times New Roman" w:hAnsi="Times New Roman" w:eastAsia="宋体"/>
                      <w:color w:val="000000"/>
                      <w:kern w:val="0"/>
                      <w:szCs w:val="21"/>
                      <w:highlight w:val="none"/>
                      <w:lang w:val="en-US" w:eastAsia="zh-CN"/>
                    </w:rPr>
                  </w:pPr>
                </w:p>
              </w:tc>
              <w:tc>
                <w:tcPr>
                  <w:tcW w:w="1697"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eastAsia="宋体"/>
                      <w:color w:val="000000"/>
                      <w:kern w:val="0"/>
                      <w:szCs w:val="21"/>
                      <w:highlight w:val="none"/>
                      <w:lang w:val="en-US" w:eastAsia="zh-CN"/>
                    </w:rPr>
                    <w:t>100000</w:t>
                  </w:r>
                </w:p>
              </w:tc>
            </w:tr>
          </w:tbl>
          <w:p>
            <w:pPr>
              <w:spacing w:line="360" w:lineRule="auto"/>
              <w:jc w:val="center"/>
              <w:rPr>
                <w:rFonts w:ascii="Times New Roman" w:hAnsi="Times New Roman" w:eastAsia="宋体"/>
                <w:b/>
                <w:color w:val="000000"/>
                <w:sz w:val="24"/>
                <w:szCs w:val="24"/>
                <w:highlight w:val="none"/>
              </w:rPr>
            </w:pPr>
            <w:r>
              <w:rPr>
                <w:rFonts w:ascii="Times New Roman" w:hAnsi="Times New Roman" w:eastAsia="宋体"/>
                <w:b/>
                <w:color w:val="000000"/>
                <w:sz w:val="24"/>
                <w:szCs w:val="24"/>
                <w:highlight w:val="none"/>
              </w:rPr>
              <w:t>表1-</w:t>
            </w:r>
            <w:r>
              <w:rPr>
                <w:rFonts w:hint="eastAsia"/>
                <w:b/>
                <w:color w:val="000000"/>
                <w:sz w:val="24"/>
                <w:szCs w:val="24"/>
                <w:highlight w:val="none"/>
                <w:lang w:val="en-US" w:eastAsia="zh-CN"/>
              </w:rPr>
              <w:t>3</w:t>
            </w:r>
            <w:r>
              <w:rPr>
                <w:rFonts w:ascii="Times New Roman" w:hAnsi="Times New Roman" w:eastAsia="宋体"/>
                <w:b/>
                <w:color w:val="000000"/>
                <w:sz w:val="24"/>
                <w:szCs w:val="24"/>
                <w:highlight w:val="none"/>
              </w:rPr>
              <w:t xml:space="preserve">  </w:t>
            </w:r>
            <w:r>
              <w:rPr>
                <w:rFonts w:hint="eastAsia" w:ascii="Times New Roman" w:hAnsi="Times New Roman" w:eastAsia="宋体"/>
                <w:b/>
                <w:color w:val="000000"/>
                <w:sz w:val="24"/>
                <w:szCs w:val="24"/>
                <w:highlight w:val="none"/>
              </w:rPr>
              <w:t>成品砖控制尺寸(mm)</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1547"/>
              <w:gridCol w:w="1547"/>
              <w:gridCol w:w="1518"/>
              <w:gridCol w:w="1519"/>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b/>
                      <w:sz w:val="24"/>
                      <w:szCs w:val="24"/>
                      <w:highlight w:val="none"/>
                      <w:lang w:eastAsia="zh-CN"/>
                    </w:rPr>
                    <w:t>砖型</w:t>
                  </w:r>
                </w:p>
              </w:tc>
              <w:tc>
                <w:tcPr>
                  <w:tcW w:w="1547"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L</w:t>
                  </w:r>
                </w:p>
              </w:tc>
              <w:tc>
                <w:tcPr>
                  <w:tcW w:w="1547"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H</w:t>
                  </w:r>
                </w:p>
              </w:tc>
              <w:tc>
                <w:tcPr>
                  <w:tcW w:w="151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a</w:t>
                  </w:r>
                </w:p>
              </w:tc>
              <w:tc>
                <w:tcPr>
                  <w:tcW w:w="1519"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w:t>
                  </w:r>
                </w:p>
              </w:tc>
              <w:tc>
                <w:tcPr>
                  <w:tcW w:w="1107"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平整度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B320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198.0～202.0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75.5～77.5</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65.5～67.5</w:t>
                  </w:r>
                </w:p>
              </w:tc>
              <w:tc>
                <w:tcPr>
                  <w:tcW w:w="110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B620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198.0～202.0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73.0～75.0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68.0～70.0</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BP20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198.0～202.0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63.0～65.0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58.0～60.0</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BP+20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198.0～202.0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82.0～84.0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75.2～77.2</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B322</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218.0～222.0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75.5～77.5</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65.5～67.5</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B622</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218.0～222.0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73.0～75.0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68.0～70.0</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BP22</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218.0～222.0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63.0～65.0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58.0～60.0</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BP+22</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218.0～222.0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82.0～84.0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74.5～76.5</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B425</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248.0～252.0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75.5～77.5</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65.5～67.5</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B825</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248.0～252.0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w:t>
                  </w:r>
                  <w:r>
                    <w:rPr>
                      <w:rFonts w:hint="eastAsia" w:ascii="仿宋_GB2312" w:hAnsi="MS Gothic" w:eastAsia="仿宋_GB2312" w:cs="MS Gothic"/>
                      <w:sz w:val="24"/>
                      <w:szCs w:val="24"/>
                      <w:lang w:val="en-US" w:eastAsia="zh-CN"/>
                    </w:rPr>
                    <w:t>2</w:t>
                  </w:r>
                  <w:r>
                    <w:rPr>
                      <w:rFonts w:hint="eastAsia" w:ascii="仿宋_GB2312" w:hAnsi="MS Gothic" w:eastAsia="仿宋_GB2312" w:cs="MS Gothic"/>
                      <w:sz w:val="24"/>
                      <w:szCs w:val="24"/>
                      <w:lang w:eastAsia="zh-CN"/>
                    </w:rPr>
                    <w:t>.0～7</w:t>
                  </w:r>
                  <w:r>
                    <w:rPr>
                      <w:rFonts w:hint="eastAsia" w:ascii="仿宋_GB2312" w:hAnsi="MS Gothic" w:eastAsia="仿宋_GB2312" w:cs="MS Gothic"/>
                      <w:sz w:val="24"/>
                      <w:szCs w:val="24"/>
                      <w:lang w:val="en-US" w:eastAsia="zh-CN"/>
                    </w:rPr>
                    <w:t>4</w:t>
                  </w:r>
                  <w:r>
                    <w:rPr>
                      <w:rFonts w:hint="eastAsia" w:ascii="仿宋_GB2312" w:hAnsi="MS Gothic" w:eastAsia="仿宋_GB2312" w:cs="MS Gothic"/>
                      <w:sz w:val="24"/>
                      <w:szCs w:val="24"/>
                      <w:lang w:eastAsia="zh-CN"/>
                    </w:rPr>
                    <w:t>.0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w:t>
                  </w:r>
                  <w:r>
                    <w:rPr>
                      <w:rFonts w:hint="eastAsia" w:ascii="仿宋_GB2312" w:hAnsi="MS Gothic" w:eastAsia="仿宋_GB2312" w:cs="MS Gothic"/>
                      <w:sz w:val="24"/>
                      <w:szCs w:val="24"/>
                      <w:lang w:val="en-US" w:eastAsia="zh-CN"/>
                    </w:rPr>
                    <w:t>7</w:t>
                  </w:r>
                  <w:r>
                    <w:rPr>
                      <w:rFonts w:hint="eastAsia" w:ascii="仿宋_GB2312" w:hAnsi="MS Gothic" w:eastAsia="仿宋_GB2312" w:cs="MS Gothic"/>
                      <w:sz w:val="24"/>
                      <w:szCs w:val="24"/>
                      <w:lang w:eastAsia="zh-CN"/>
                    </w:rPr>
                    <w:t>.</w:t>
                  </w:r>
                  <w:r>
                    <w:rPr>
                      <w:rFonts w:hint="eastAsia" w:ascii="仿宋_GB2312" w:hAnsi="MS Gothic" w:eastAsia="仿宋_GB2312" w:cs="MS Gothic"/>
                      <w:sz w:val="24"/>
                      <w:szCs w:val="24"/>
                      <w:lang w:val="en-US" w:eastAsia="zh-CN"/>
                    </w:rPr>
                    <w:t>5</w:t>
                  </w:r>
                  <w:r>
                    <w:rPr>
                      <w:rFonts w:hint="eastAsia" w:ascii="仿宋_GB2312" w:hAnsi="MS Gothic" w:eastAsia="仿宋_GB2312" w:cs="MS Gothic"/>
                      <w:sz w:val="24"/>
                      <w:szCs w:val="24"/>
                      <w:lang w:eastAsia="zh-CN"/>
                    </w:rPr>
                    <w:t>～</w:t>
                  </w:r>
                  <w:r>
                    <w:rPr>
                      <w:rFonts w:hint="eastAsia" w:ascii="仿宋_GB2312" w:hAnsi="MS Gothic" w:eastAsia="仿宋_GB2312" w:cs="MS Gothic"/>
                      <w:sz w:val="24"/>
                      <w:szCs w:val="24"/>
                      <w:lang w:val="en-US" w:eastAsia="zh-CN"/>
                    </w:rPr>
                    <w:t>69</w:t>
                  </w:r>
                  <w:r>
                    <w:rPr>
                      <w:rFonts w:hint="eastAsia" w:ascii="仿宋_GB2312" w:hAnsi="MS Gothic" w:eastAsia="仿宋_GB2312" w:cs="MS Gothic"/>
                      <w:sz w:val="24"/>
                      <w:szCs w:val="24"/>
                      <w:lang w:eastAsia="zh-CN"/>
                    </w:rPr>
                    <w:t>.</w:t>
                  </w:r>
                  <w:r>
                    <w:rPr>
                      <w:rFonts w:hint="eastAsia" w:ascii="仿宋_GB2312" w:hAnsi="MS Gothic" w:eastAsia="仿宋_GB2312" w:cs="MS Gothic"/>
                      <w:sz w:val="24"/>
                      <w:szCs w:val="24"/>
                      <w:lang w:val="en-US" w:eastAsia="zh-CN"/>
                    </w:rPr>
                    <w:t>5</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BP25</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248.0～252.0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63.0～65.0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58.0～60.0</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spacing w:line="320" w:lineRule="exact"/>
                    <w:jc w:val="center"/>
                    <w:rPr>
                      <w:rFonts w:hint="eastAsia" w:ascii="仿宋_GB2312" w:hAnsi="MS Gothic" w:eastAsia="仿宋_GB2312" w:cs="MS Gothic"/>
                      <w:b/>
                      <w:sz w:val="24"/>
                      <w:szCs w:val="24"/>
                      <w:lang w:eastAsia="zh-CN"/>
                    </w:rPr>
                  </w:pPr>
                  <w:r>
                    <w:rPr>
                      <w:rFonts w:hint="eastAsia" w:ascii="仿宋_GB2312" w:hAnsi="MS Gothic" w:eastAsia="仿宋_GB2312" w:cs="MS Gothic"/>
                      <w:b/>
                      <w:sz w:val="24"/>
                      <w:szCs w:val="24"/>
                      <w:lang w:eastAsia="zh-CN"/>
                    </w:rPr>
                    <w:t>BP+25</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197.0～199.0</w:t>
                  </w:r>
                </w:p>
              </w:tc>
              <w:tc>
                <w:tcPr>
                  <w:tcW w:w="1547"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248.0～252.0</w:t>
                  </w:r>
                </w:p>
              </w:tc>
              <w:tc>
                <w:tcPr>
                  <w:tcW w:w="1518"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82.0～84.0</w:t>
                  </w:r>
                </w:p>
              </w:tc>
              <w:tc>
                <w:tcPr>
                  <w:tcW w:w="1519" w:type="dxa"/>
                  <w:noWrap w:val="0"/>
                  <w:vAlign w:val="center"/>
                </w:tcPr>
                <w:p>
                  <w:pPr>
                    <w:spacing w:line="320" w:lineRule="exact"/>
                    <w:jc w:val="center"/>
                    <w:rPr>
                      <w:rFonts w:hint="eastAsia" w:ascii="仿宋_GB2312" w:hAnsi="MS Gothic" w:eastAsia="仿宋_GB2312" w:cs="MS Gothic"/>
                      <w:sz w:val="24"/>
                      <w:szCs w:val="24"/>
                      <w:lang w:eastAsia="zh-CN"/>
                    </w:rPr>
                  </w:pPr>
                  <w:r>
                    <w:rPr>
                      <w:rFonts w:hint="eastAsia" w:ascii="仿宋_GB2312" w:hAnsi="MS Gothic" w:eastAsia="仿宋_GB2312" w:cs="MS Gothic"/>
                      <w:sz w:val="24"/>
                      <w:szCs w:val="24"/>
                      <w:lang w:eastAsia="zh-CN"/>
                    </w:rPr>
                    <w:t>73.5～75.5</w:t>
                  </w:r>
                </w:p>
              </w:tc>
              <w:tc>
                <w:tcPr>
                  <w:tcW w:w="1107" w:type="dxa"/>
                  <w:noWrap w:val="0"/>
                  <w:vAlign w:val="top"/>
                </w:tcPr>
                <w:p>
                  <w:pPr>
                    <w:jc w:val="center"/>
                  </w:pPr>
                  <w:r>
                    <w:rPr>
                      <w:rFonts w:hint="eastAsia" w:ascii="仿宋_GB2312" w:hAnsi="MS Gothic" w:eastAsia="仿宋_GB2312" w:cs="MS Gothic"/>
                      <w:sz w:val="24"/>
                      <w:szCs w:val="24"/>
                      <w:lang w:eastAsia="zh-CN"/>
                    </w:rPr>
                    <w:t>≤0.</w:t>
                  </w:r>
                  <w:r>
                    <w:rPr>
                      <w:rFonts w:hint="eastAsia" w:ascii="仿宋_GB2312" w:hAnsi="MS Gothic" w:eastAsia="仿宋_GB2312" w:cs="MS Gothic"/>
                      <w:sz w:val="24"/>
                      <w:szCs w:val="24"/>
                      <w:lang w:val="en-US" w:eastAsia="zh-CN"/>
                    </w:rPr>
                    <w:t>4</w:t>
                  </w:r>
                </w:p>
              </w:tc>
            </w:tr>
          </w:tbl>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（8）生产设备</w:t>
            </w:r>
          </w:p>
          <w:p>
            <w:pPr>
              <w:spacing w:line="360" w:lineRule="auto"/>
              <w:ind w:firstLine="480" w:firstLineChars="200"/>
              <w:rPr>
                <w:rFonts w:ascii="Times New Roman" w:hAnsi="Times New Roman" w:eastAsia="宋体"/>
                <w:b/>
                <w:highlight w:val="none"/>
              </w:rPr>
            </w:pPr>
            <w:r>
              <w:rPr>
                <w:rFonts w:hint="eastAsia"/>
                <w:bCs/>
                <w:sz w:val="24"/>
                <w:highlight w:val="none"/>
                <w:lang w:val="en-US" w:eastAsia="zh-CN"/>
              </w:rPr>
              <w:t>本项目所有设备均通过采购获得，</w:t>
            </w:r>
            <w:r>
              <w:rPr>
                <w:rFonts w:ascii="Times New Roman" w:hAnsi="Times New Roman" w:eastAsia="宋体"/>
                <w:bCs/>
                <w:sz w:val="24"/>
                <w:highlight w:val="none"/>
              </w:rPr>
              <w:t>扩建后主要生产设备见表：</w:t>
            </w:r>
          </w:p>
          <w:p>
            <w:pPr>
              <w:spacing w:line="360" w:lineRule="auto"/>
              <w:ind w:firstLine="482" w:firstLineChars="200"/>
              <w:jc w:val="center"/>
              <w:rPr>
                <w:rFonts w:ascii="Times New Roman" w:hAnsi="Times New Roman" w:eastAsia="宋体"/>
                <w:b/>
                <w:color w:val="000000"/>
                <w:highlight w:val="none"/>
              </w:rPr>
            </w:pPr>
            <w:r>
              <w:rPr>
                <w:rFonts w:ascii="Times New Roman" w:hAnsi="Times New Roman" w:eastAsia="宋体"/>
                <w:b/>
                <w:color w:val="000000"/>
                <w:sz w:val="24"/>
                <w:highlight w:val="none"/>
              </w:rPr>
              <w:t>表1-</w:t>
            </w:r>
            <w:r>
              <w:rPr>
                <w:rFonts w:hint="eastAsia"/>
                <w:b/>
                <w:color w:val="000000"/>
                <w:sz w:val="24"/>
                <w:highlight w:val="none"/>
                <w:lang w:val="en-US" w:eastAsia="zh-CN"/>
              </w:rPr>
              <w:t>4</w:t>
            </w:r>
            <w:r>
              <w:rPr>
                <w:rFonts w:ascii="Times New Roman" w:hAnsi="Times New Roman" w:eastAsia="宋体"/>
                <w:b/>
                <w:color w:val="000000"/>
                <w:sz w:val="24"/>
                <w:highlight w:val="none"/>
              </w:rPr>
              <w:t xml:space="preserve">  扩建后主要生产设备一览表</w:t>
            </w:r>
          </w:p>
          <w:tbl>
            <w:tblPr>
              <w:tblStyle w:val="2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735"/>
              <w:gridCol w:w="3857"/>
              <w:gridCol w:w="1950"/>
              <w:gridCol w:w="1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eastAsia" w:ascii="Times New Roman" w:hAnsi="Times New Roman" w:eastAsia="宋体" w:cs="宋体"/>
                      <w:i w:val="0"/>
                      <w:color w:val="auto"/>
                      <w:kern w:val="0"/>
                      <w:sz w:val="21"/>
                      <w:szCs w:val="21"/>
                      <w:u w:val="none"/>
                      <w:lang w:val="en-US" w:eastAsia="zh-CN" w:bidi="ar"/>
                    </w:rPr>
                    <w:t>序号</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eastAsia" w:ascii="Times New Roman" w:hAnsi="Times New Roman" w:eastAsia="宋体" w:cs="宋体"/>
                      <w:i w:val="0"/>
                      <w:color w:val="auto"/>
                      <w:kern w:val="0"/>
                      <w:sz w:val="21"/>
                      <w:szCs w:val="21"/>
                      <w:u w:val="none"/>
                      <w:lang w:val="en-US" w:eastAsia="zh-CN" w:bidi="ar"/>
                    </w:rPr>
                    <w:t>设备名称</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eastAsia" w:ascii="Times New Roman" w:hAnsi="Times New Roman" w:eastAsia="宋体" w:cs="宋体"/>
                      <w:i w:val="0"/>
                      <w:color w:val="auto"/>
                      <w:kern w:val="0"/>
                      <w:sz w:val="21"/>
                      <w:szCs w:val="21"/>
                      <w:u w:val="none"/>
                      <w:lang w:val="en-US" w:eastAsia="zh-CN" w:bidi="ar"/>
                    </w:rPr>
                    <w:t>单位</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eastAsia="zh-CN"/>
                    </w:rPr>
                  </w:pPr>
                  <w:r>
                    <w:rPr>
                      <w:rFonts w:hint="eastAsia" w:ascii="Times New Roman" w:hAnsi="Times New Roman" w:eastAsia="宋体" w:cs="宋体"/>
                      <w:i w:val="0"/>
                      <w:color w:val="auto"/>
                      <w:sz w:val="21"/>
                      <w:szCs w:val="21"/>
                      <w:u w:val="none"/>
                      <w:lang w:val="en-US" w:eastAsia="zh-CN"/>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eastAsia" w:ascii="Times New Roman" w:hAnsi="Times New Roman" w:eastAsia="宋体" w:cs="宋体"/>
                      <w:i w:val="0"/>
                      <w:color w:val="auto"/>
                      <w:kern w:val="0"/>
                      <w:sz w:val="21"/>
                      <w:szCs w:val="21"/>
                      <w:u w:val="none"/>
                      <w:lang w:val="en-US" w:eastAsia="zh-CN" w:bidi="ar"/>
                    </w:rPr>
                    <w:t>一</w:t>
                  </w:r>
                </w:p>
              </w:tc>
              <w:tc>
                <w:tcPr>
                  <w:tcW w:w="4556" w:type="pct"/>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宋体"/>
                      <w:i w:val="0"/>
                      <w:color w:val="auto"/>
                      <w:sz w:val="21"/>
                      <w:szCs w:val="21"/>
                      <w:u w:val="none"/>
                      <w:lang w:val="en-US" w:eastAsia="zh-CN"/>
                    </w:rPr>
                  </w:pPr>
                  <w:r>
                    <w:rPr>
                      <w:rFonts w:hint="eastAsia" w:ascii="Times New Roman" w:hAnsi="Times New Roman" w:eastAsia="宋体" w:cs="宋体"/>
                      <w:i w:val="0"/>
                      <w:color w:val="auto"/>
                      <w:kern w:val="0"/>
                      <w:sz w:val="21"/>
                      <w:szCs w:val="21"/>
                      <w:u w:val="none"/>
                      <w:lang w:val="en-US" w:eastAsia="zh-CN" w:bidi="ar"/>
                    </w:rPr>
                    <w:t>原料</w:t>
                  </w:r>
                  <w:r>
                    <w:rPr>
                      <w:rFonts w:hint="eastAsia" w:cs="宋体"/>
                      <w:i w:val="0"/>
                      <w:color w:val="auto"/>
                      <w:kern w:val="0"/>
                      <w:sz w:val="21"/>
                      <w:szCs w:val="21"/>
                      <w:u w:val="none"/>
                      <w:lang w:val="en-US" w:eastAsia="zh-CN" w:bidi="ar"/>
                    </w:rPr>
                    <w:t>工序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01.01</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eastAsia="zh-CN"/>
                    </w:rPr>
                  </w:pPr>
                  <w:r>
                    <w:rPr>
                      <w:rStyle w:val="121"/>
                      <w:rFonts w:ascii="Times New Roman" w:hAnsi="Times New Roman" w:eastAsia="宋体"/>
                      <w:color w:val="auto"/>
                      <w:sz w:val="21"/>
                      <w:szCs w:val="21"/>
                      <w:vertAlign w:val="baseline"/>
                      <w:lang w:val="en-US" w:eastAsia="zh-CN" w:bidi="ar"/>
                    </w:rPr>
                    <w:t>CPD30</w:t>
                  </w:r>
                  <w:r>
                    <w:rPr>
                      <w:rFonts w:hint="eastAsia" w:ascii="Times New Roman" w:hAnsi="Times New Roman" w:eastAsia="宋体" w:cs="宋体"/>
                      <w:i w:val="0"/>
                      <w:color w:val="auto"/>
                      <w:kern w:val="0"/>
                      <w:sz w:val="21"/>
                      <w:szCs w:val="21"/>
                      <w:u w:val="none"/>
                      <w:lang w:val="en-US" w:eastAsia="zh-CN" w:bidi="ar"/>
                    </w:rPr>
                    <w:t>电动叉车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01.02</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eastAsia="zh-CN"/>
                    </w:rPr>
                  </w:pPr>
                  <w:r>
                    <w:rPr>
                      <w:rFonts w:hint="eastAsia" w:ascii="Times New Roman" w:hAnsi="Times New Roman" w:eastAsia="宋体" w:cs="宋体"/>
                      <w:i w:val="0"/>
                      <w:color w:val="auto"/>
                      <w:kern w:val="0"/>
                      <w:sz w:val="21"/>
                      <w:szCs w:val="21"/>
                      <w:u w:val="none"/>
                      <w:lang w:val="en-US" w:eastAsia="zh-CN" w:bidi="ar"/>
                    </w:rPr>
                    <w:t>自动化原料立库</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eastAsia="zh-CN"/>
                    </w:rPr>
                  </w:pPr>
                  <w:r>
                    <w:rPr>
                      <w:rFonts w:hint="eastAsia" w:ascii="Times New Roman" w:hAnsi="Times New Roman" w:eastAsia="宋体" w:cs="宋体"/>
                      <w:i w:val="0"/>
                      <w:color w:val="auto"/>
                      <w:kern w:val="0"/>
                      <w:sz w:val="21"/>
                      <w:szCs w:val="21"/>
                      <w:u w:val="none"/>
                      <w:lang w:val="en-US" w:eastAsia="zh-CN" w:bidi="ar"/>
                    </w:rPr>
                    <w:t>座</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01.03</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DN400</w:t>
                  </w:r>
                  <w:r>
                    <w:rPr>
                      <w:rFonts w:hint="eastAsia" w:ascii="Times New Roman" w:hAnsi="Times New Roman" w:eastAsia="宋体" w:cs="宋体"/>
                      <w:i w:val="0"/>
                      <w:color w:val="auto"/>
                      <w:kern w:val="0"/>
                      <w:sz w:val="21"/>
                      <w:szCs w:val="21"/>
                      <w:u w:val="none"/>
                      <w:lang w:val="en-US" w:eastAsia="zh-CN" w:bidi="ar"/>
                    </w:rPr>
                    <w:t>手动单向螺旋插板阀</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01.04</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rPr>
                  </w:pPr>
                  <w:r>
                    <w:rPr>
                      <w:rFonts w:hint="default" w:ascii="Times New Roman" w:hAnsi="Times New Roman" w:eastAsia="宋体" w:cs="Times New Roman"/>
                      <w:i w:val="0"/>
                      <w:color w:val="auto"/>
                      <w:kern w:val="0"/>
                      <w:sz w:val="21"/>
                      <w:szCs w:val="21"/>
                      <w:u w:val="none"/>
                      <w:lang w:val="en-US" w:eastAsia="zh-CN" w:bidi="ar"/>
                    </w:rPr>
                    <w:t>GZ4F</w:t>
                  </w:r>
                  <w:r>
                    <w:rPr>
                      <w:rFonts w:hint="eastAsia" w:ascii="Times New Roman" w:hAnsi="Times New Roman" w:eastAsia="宋体" w:cs="宋体"/>
                      <w:i w:val="0"/>
                      <w:color w:val="auto"/>
                      <w:kern w:val="0"/>
                      <w:sz w:val="21"/>
                      <w:szCs w:val="21"/>
                      <w:u w:val="none"/>
                      <w:lang w:val="en-US" w:eastAsia="zh-CN" w:bidi="ar"/>
                    </w:rPr>
                    <w:t>电磁振动给料机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01.05</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rPr>
                  </w:pPr>
                  <w:r>
                    <w:rPr>
                      <w:rFonts w:hint="default" w:ascii="Times New Roman" w:hAnsi="Times New Roman" w:eastAsia="宋体" w:cs="Times New Roman"/>
                      <w:i w:val="0"/>
                      <w:color w:val="auto"/>
                      <w:kern w:val="0"/>
                      <w:sz w:val="21"/>
                      <w:szCs w:val="21"/>
                      <w:u w:val="none"/>
                      <w:lang w:val="en-US" w:eastAsia="zh-CN" w:bidi="ar"/>
                    </w:rPr>
                    <w:t>PEX250×750</w:t>
                  </w:r>
                  <w:r>
                    <w:rPr>
                      <w:rFonts w:hint="eastAsia" w:ascii="Times New Roman" w:hAnsi="Times New Roman" w:eastAsia="宋体" w:cs="宋体"/>
                      <w:i w:val="0"/>
                      <w:color w:val="auto"/>
                      <w:kern w:val="0"/>
                      <w:sz w:val="21"/>
                      <w:szCs w:val="21"/>
                      <w:u w:val="none"/>
                      <w:lang w:val="en-US" w:eastAsia="zh-CN" w:bidi="ar"/>
                    </w:rPr>
                    <w:t>细碎型颚式破碎机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01.06</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sz w:val="21"/>
                      <w:szCs w:val="21"/>
                      <w:u w:val="none"/>
                      <w:lang w:val="en-US"/>
                    </w:rPr>
                  </w:pPr>
                  <w:r>
                    <w:rPr>
                      <w:rFonts w:hint="default" w:ascii="Times New Roman" w:hAnsi="Times New Roman" w:eastAsia="宋体" w:cs="Times New Roman"/>
                      <w:i w:val="0"/>
                      <w:color w:val="auto"/>
                      <w:kern w:val="0"/>
                      <w:sz w:val="21"/>
                      <w:szCs w:val="21"/>
                      <w:u w:val="none"/>
                      <w:lang w:val="en-US" w:eastAsia="zh-CN" w:bidi="ar"/>
                    </w:rPr>
                    <w:t>TD160</w:t>
                  </w:r>
                  <w:r>
                    <w:rPr>
                      <w:rFonts w:hint="eastAsia" w:ascii="Times New Roman" w:hAnsi="Times New Roman" w:eastAsia="宋体" w:cs="宋体"/>
                      <w:i w:val="0"/>
                      <w:color w:val="auto"/>
                      <w:kern w:val="0"/>
                      <w:sz w:val="21"/>
                      <w:szCs w:val="21"/>
                      <w:u w:val="none"/>
                      <w:lang w:val="en-US" w:eastAsia="zh-CN" w:bidi="ar"/>
                    </w:rPr>
                    <w:t>型斗式提升机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01.07</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ILT-C-O</w:t>
                  </w:r>
                  <w:r>
                    <w:rPr>
                      <w:rFonts w:hint="eastAsia" w:ascii="Times New Roman" w:hAnsi="Times New Roman" w:eastAsia="宋体" w:cs="宋体"/>
                      <w:i w:val="0"/>
                      <w:color w:val="auto"/>
                      <w:kern w:val="0"/>
                      <w:sz w:val="21"/>
                      <w:szCs w:val="21"/>
                      <w:u w:val="none"/>
                      <w:lang w:val="en-US" w:eastAsia="zh-CN" w:bidi="ar"/>
                    </w:rPr>
                    <w:t>型料位指示器</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个</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01.08</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DN300</w:t>
                  </w:r>
                  <w:r>
                    <w:rPr>
                      <w:rFonts w:hint="eastAsia" w:ascii="Times New Roman" w:hAnsi="Times New Roman" w:eastAsia="宋体" w:cs="宋体"/>
                      <w:i w:val="0"/>
                      <w:color w:val="auto"/>
                      <w:kern w:val="0"/>
                      <w:sz w:val="21"/>
                      <w:szCs w:val="21"/>
                      <w:u w:val="none"/>
                      <w:lang w:val="en-US" w:eastAsia="zh-CN" w:bidi="ar"/>
                    </w:rPr>
                    <w:t>手动单向螺旋插板阀</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01.09</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GZ3F</w:t>
                  </w:r>
                  <w:r>
                    <w:rPr>
                      <w:rFonts w:hint="eastAsia" w:ascii="Times New Roman" w:hAnsi="Times New Roman" w:eastAsia="宋体" w:cs="宋体"/>
                      <w:i w:val="0"/>
                      <w:color w:val="auto"/>
                      <w:kern w:val="0"/>
                      <w:sz w:val="21"/>
                      <w:szCs w:val="21"/>
                      <w:u w:val="none"/>
                      <w:lang w:val="en-US" w:eastAsia="zh-CN" w:bidi="ar"/>
                    </w:rPr>
                    <w:t>电磁振动给料机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01.10</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PL550</w:t>
                  </w:r>
                  <w:r>
                    <w:rPr>
                      <w:rFonts w:hint="eastAsia" w:ascii="Times New Roman" w:hAnsi="Times New Roman" w:eastAsia="宋体" w:cs="宋体"/>
                      <w:i w:val="0"/>
                      <w:color w:val="auto"/>
                      <w:kern w:val="0"/>
                      <w:sz w:val="21"/>
                      <w:szCs w:val="21"/>
                      <w:u w:val="none"/>
                      <w:lang w:val="en-US" w:eastAsia="zh-CN" w:bidi="ar"/>
                    </w:rPr>
                    <w:t>立式冲击破碎机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01.11</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TD160</w:t>
                  </w:r>
                  <w:r>
                    <w:rPr>
                      <w:rFonts w:hint="eastAsia" w:ascii="Times New Roman" w:hAnsi="Times New Roman" w:eastAsia="宋体" w:cs="宋体"/>
                      <w:i w:val="0"/>
                      <w:color w:val="auto"/>
                      <w:kern w:val="0"/>
                      <w:sz w:val="21"/>
                      <w:szCs w:val="21"/>
                      <w:u w:val="none"/>
                      <w:lang w:val="en-US" w:eastAsia="zh-CN" w:bidi="ar"/>
                    </w:rPr>
                    <w:t>型斗式提升机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01.12</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DZSF1224</w:t>
                  </w:r>
                  <w:r>
                    <w:rPr>
                      <w:rFonts w:hint="eastAsia" w:ascii="Times New Roman" w:hAnsi="Times New Roman" w:eastAsia="宋体" w:cs="宋体"/>
                      <w:i w:val="0"/>
                      <w:color w:val="auto"/>
                      <w:kern w:val="0"/>
                      <w:sz w:val="21"/>
                      <w:szCs w:val="21"/>
                      <w:u w:val="none"/>
                      <w:lang w:val="en-US" w:eastAsia="zh-CN" w:bidi="ar"/>
                    </w:rPr>
                    <w:t>型单层直线振动筛</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01.13</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管道永磁除铁器</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01.14</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DN250</w:t>
                  </w:r>
                  <w:r>
                    <w:rPr>
                      <w:rFonts w:hint="eastAsia" w:ascii="Times New Roman" w:hAnsi="Times New Roman" w:eastAsia="宋体" w:cs="宋体"/>
                      <w:i w:val="0"/>
                      <w:color w:val="auto"/>
                      <w:kern w:val="0"/>
                      <w:sz w:val="21"/>
                      <w:szCs w:val="21"/>
                      <w:u w:val="none"/>
                      <w:lang w:val="en-US" w:eastAsia="zh-CN" w:bidi="ar"/>
                    </w:rPr>
                    <w:t>气动闸阀</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01.15</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CD2-9D</w:t>
                  </w:r>
                  <w:r>
                    <w:rPr>
                      <w:rFonts w:hint="eastAsia" w:ascii="Times New Roman" w:hAnsi="Times New Roman" w:eastAsia="宋体" w:cs="宋体"/>
                      <w:i w:val="0"/>
                      <w:color w:val="auto"/>
                      <w:kern w:val="0"/>
                      <w:sz w:val="21"/>
                      <w:szCs w:val="21"/>
                      <w:u w:val="none"/>
                      <w:lang w:val="en-US" w:eastAsia="zh-CN" w:bidi="ar"/>
                    </w:rPr>
                    <w:t>电动葫芦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01.16</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CD2-6D</w:t>
                  </w:r>
                  <w:r>
                    <w:rPr>
                      <w:rFonts w:hint="eastAsia" w:ascii="Times New Roman" w:hAnsi="Times New Roman" w:eastAsia="宋体" w:cs="宋体"/>
                      <w:i w:val="0"/>
                      <w:color w:val="auto"/>
                      <w:kern w:val="0"/>
                      <w:sz w:val="21"/>
                      <w:szCs w:val="21"/>
                      <w:u w:val="none"/>
                      <w:lang w:val="en-US" w:eastAsia="zh-CN" w:bidi="ar"/>
                    </w:rPr>
                    <w:t>电动葫芦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01.17</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CPD30</w:t>
                  </w:r>
                  <w:r>
                    <w:rPr>
                      <w:rFonts w:hint="eastAsia" w:ascii="Times New Roman" w:hAnsi="Times New Roman" w:eastAsia="宋体" w:cs="宋体"/>
                      <w:i w:val="0"/>
                      <w:color w:val="auto"/>
                      <w:kern w:val="0"/>
                      <w:sz w:val="21"/>
                      <w:szCs w:val="21"/>
                      <w:u w:val="none"/>
                      <w:lang w:val="en-US" w:eastAsia="zh-CN" w:bidi="ar"/>
                    </w:rPr>
                    <w:t>电动叉车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01.18</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BD-1000</w:t>
                  </w:r>
                  <w:r>
                    <w:rPr>
                      <w:rFonts w:hint="eastAsia" w:ascii="Times New Roman" w:hAnsi="Times New Roman" w:eastAsia="宋体" w:cs="宋体"/>
                      <w:i w:val="0"/>
                      <w:color w:val="auto"/>
                      <w:kern w:val="0"/>
                      <w:sz w:val="21"/>
                      <w:szCs w:val="21"/>
                      <w:u w:val="none"/>
                      <w:lang w:val="en-US" w:eastAsia="zh-CN" w:bidi="ar"/>
                    </w:rPr>
                    <w:t>型吨袋自动包装机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01.19</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出料电动平板车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01.20</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LDA3t</w:t>
                  </w:r>
                  <w:r>
                    <w:rPr>
                      <w:rFonts w:hint="eastAsia" w:ascii="Times New Roman" w:hAnsi="Times New Roman" w:eastAsia="宋体" w:cs="宋体"/>
                      <w:i w:val="0"/>
                      <w:color w:val="auto"/>
                      <w:kern w:val="0"/>
                      <w:sz w:val="21"/>
                      <w:szCs w:val="21"/>
                      <w:u w:val="none"/>
                      <w:lang w:val="en-US" w:eastAsia="zh-CN" w:bidi="ar"/>
                    </w:rPr>
                    <w:t>电动单梁起重机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二</w:t>
                  </w:r>
                </w:p>
              </w:tc>
              <w:tc>
                <w:tcPr>
                  <w:tcW w:w="4556" w:type="pct"/>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配料混合</w:t>
                  </w:r>
                  <w:r>
                    <w:rPr>
                      <w:rFonts w:hint="eastAsia" w:cs="宋体"/>
                      <w:i w:val="0"/>
                      <w:color w:val="auto"/>
                      <w:kern w:val="0"/>
                      <w:sz w:val="21"/>
                      <w:szCs w:val="21"/>
                      <w:u w:val="none"/>
                      <w:lang w:val="en-US" w:eastAsia="zh-CN" w:bidi="ar"/>
                    </w:rPr>
                    <w:t>工序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02.01</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CD3-30D</w:t>
                  </w:r>
                  <w:r>
                    <w:rPr>
                      <w:rFonts w:hint="eastAsia" w:ascii="Times New Roman" w:hAnsi="Times New Roman" w:eastAsia="宋体" w:cs="宋体"/>
                      <w:i w:val="0"/>
                      <w:color w:val="auto"/>
                      <w:kern w:val="0"/>
                      <w:sz w:val="21"/>
                      <w:szCs w:val="21"/>
                      <w:u w:val="none"/>
                      <w:lang w:val="en-US" w:eastAsia="zh-CN" w:bidi="ar"/>
                    </w:rPr>
                    <w:t>电动葫芦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02.02</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布料小车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02.03</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ZFB-6电动振动器</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02.04</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BM25-145(97)</w:t>
                  </w:r>
                  <w:r>
                    <w:rPr>
                      <w:rFonts w:hint="eastAsia" w:ascii="Times New Roman" w:hAnsi="Times New Roman" w:eastAsia="宋体" w:cs="宋体"/>
                      <w:i w:val="0"/>
                      <w:color w:val="auto"/>
                      <w:kern w:val="0"/>
                      <w:sz w:val="21"/>
                      <w:szCs w:val="21"/>
                      <w:u w:val="none"/>
                      <w:lang w:val="en-US" w:eastAsia="zh-CN" w:bidi="ar"/>
                    </w:rPr>
                    <w:t>型螺旋给料机组</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套</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6"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02.05</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Y4640-145(97)</w:t>
                  </w:r>
                  <w:r>
                    <w:rPr>
                      <w:rFonts w:hint="eastAsia" w:ascii="Times New Roman" w:hAnsi="Times New Roman" w:eastAsia="宋体" w:cs="宋体"/>
                      <w:i w:val="0"/>
                      <w:color w:val="auto"/>
                      <w:kern w:val="0"/>
                      <w:sz w:val="21"/>
                      <w:szCs w:val="21"/>
                      <w:u w:val="none"/>
                      <w:lang w:val="en-US" w:eastAsia="zh-CN" w:bidi="ar"/>
                    </w:rPr>
                    <w:t>型调速式振动给料机组</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套</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02.06</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DN300</w:t>
                  </w:r>
                  <w:r>
                    <w:rPr>
                      <w:rFonts w:hint="eastAsia" w:ascii="Times New Roman" w:hAnsi="Times New Roman" w:eastAsia="宋体" w:cs="宋体"/>
                      <w:i w:val="0"/>
                      <w:color w:val="auto"/>
                      <w:kern w:val="0"/>
                      <w:sz w:val="21"/>
                      <w:szCs w:val="21"/>
                      <w:u w:val="none"/>
                      <w:lang w:val="en-US" w:eastAsia="zh-CN" w:bidi="ar"/>
                    </w:rPr>
                    <w:t>气动软密封蝶阀</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02.07</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DDWK-1000</w:t>
                  </w:r>
                  <w:r>
                    <w:rPr>
                      <w:rFonts w:hint="eastAsia" w:ascii="Times New Roman" w:hAnsi="Times New Roman" w:eastAsia="宋体" w:cs="宋体"/>
                      <w:i w:val="0"/>
                      <w:color w:val="auto"/>
                      <w:kern w:val="0"/>
                      <w:sz w:val="21"/>
                      <w:szCs w:val="21"/>
                      <w:u w:val="none"/>
                      <w:lang w:val="en-US" w:eastAsia="zh-CN" w:bidi="ar"/>
                    </w:rPr>
                    <w:t>型双斗自动配料车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套</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02.08</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ZFB-4电动振动器</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02.09</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Style w:val="116"/>
                      <w:rFonts w:ascii="Times New Roman" w:hAnsi="Times New Roman" w:eastAsia="宋体"/>
                      <w:color w:val="auto"/>
                      <w:sz w:val="21"/>
                      <w:szCs w:val="21"/>
                      <w:lang w:val="en-US" w:eastAsia="zh-CN" w:bidi="ar"/>
                    </w:rPr>
                    <w:t>DN250</w:t>
                  </w:r>
                  <w:r>
                    <w:rPr>
                      <w:rFonts w:hint="eastAsia" w:ascii="Times New Roman" w:hAnsi="Times New Roman" w:eastAsia="宋体" w:cs="宋体"/>
                      <w:i w:val="0"/>
                      <w:color w:val="auto"/>
                      <w:kern w:val="0"/>
                      <w:sz w:val="21"/>
                      <w:szCs w:val="21"/>
                      <w:u w:val="none"/>
                      <w:lang w:val="en-US" w:eastAsia="zh-CN" w:bidi="ar"/>
                    </w:rPr>
                    <w:t>气动插板阀</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02.10</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RV19</w:t>
                  </w:r>
                  <w:r>
                    <w:rPr>
                      <w:rFonts w:hint="eastAsia" w:ascii="Times New Roman" w:hAnsi="Times New Roman" w:eastAsia="宋体" w:cs="宋体"/>
                      <w:i w:val="0"/>
                      <w:color w:val="auto"/>
                      <w:kern w:val="0"/>
                      <w:sz w:val="21"/>
                      <w:szCs w:val="21"/>
                      <w:u w:val="none"/>
                      <w:lang w:val="en-US" w:eastAsia="zh-CN" w:bidi="ar"/>
                    </w:rPr>
                    <w:t>倾斜式混合机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02.11</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CD3-6D</w:t>
                  </w:r>
                  <w:r>
                    <w:rPr>
                      <w:rFonts w:hint="eastAsia" w:ascii="Times New Roman" w:hAnsi="Times New Roman" w:eastAsia="宋体" w:cs="宋体"/>
                      <w:i w:val="0"/>
                      <w:color w:val="auto"/>
                      <w:kern w:val="0"/>
                      <w:sz w:val="21"/>
                      <w:szCs w:val="21"/>
                      <w:u w:val="none"/>
                      <w:lang w:val="en-US" w:eastAsia="zh-CN" w:bidi="ar"/>
                    </w:rPr>
                    <w:t>电动葫芦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02.12</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混合机出料电动平板车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02.13</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NYP52A/0.4高粘度齿轮泵</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02.14</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φ1500×2500结合剂搅拌桶</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个</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02.15</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φ1500×2200结合剂搅拌桶</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个</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02.16</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电子定量液体秤</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个</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02.17</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WW4000型电容式物位计</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个</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02.18</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CD2-9D电动葫芦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02.19</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智能双轨悬挂自行输送机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套</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02.20</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1吨泥料罐</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02.21</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SJY0.5-6型剪叉式作业平台</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三</w:t>
                  </w:r>
                </w:p>
              </w:tc>
              <w:tc>
                <w:tcPr>
                  <w:tcW w:w="4556" w:type="pct"/>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成型</w:t>
                  </w:r>
                  <w:r>
                    <w:rPr>
                      <w:rFonts w:hint="eastAsia" w:cs="宋体"/>
                      <w:i w:val="0"/>
                      <w:color w:val="auto"/>
                      <w:kern w:val="0"/>
                      <w:sz w:val="21"/>
                      <w:szCs w:val="21"/>
                      <w:u w:val="none"/>
                      <w:lang w:val="en-US" w:eastAsia="zh-CN" w:bidi="ar"/>
                    </w:rPr>
                    <w:t>工序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03.01</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QD16t/3.2t</w:t>
                  </w:r>
                  <w:r>
                    <w:rPr>
                      <w:rFonts w:hint="eastAsia" w:ascii="Times New Roman" w:hAnsi="Times New Roman" w:eastAsia="宋体" w:cs="宋体"/>
                      <w:i w:val="0"/>
                      <w:color w:val="auto"/>
                      <w:kern w:val="0"/>
                      <w:sz w:val="21"/>
                      <w:szCs w:val="21"/>
                      <w:u w:val="none"/>
                      <w:lang w:val="en-US" w:eastAsia="zh-CN" w:bidi="ar"/>
                    </w:rPr>
                    <w:t>电动双梁桥式起重机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03.02</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LDA10t电动单梁起重机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03.03</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HPFⅣ2000双向加压全自动压机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03.04</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HC2100</w:t>
                  </w:r>
                  <w:r>
                    <w:rPr>
                      <w:rFonts w:hint="eastAsia" w:ascii="Times New Roman" w:hAnsi="Times New Roman" w:eastAsia="宋体" w:cs="宋体"/>
                      <w:i w:val="0"/>
                      <w:color w:val="auto"/>
                      <w:kern w:val="0"/>
                      <w:sz w:val="21"/>
                      <w:szCs w:val="21"/>
                      <w:u w:val="none"/>
                      <w:lang w:val="en-US" w:eastAsia="zh-CN" w:bidi="ar"/>
                    </w:rPr>
                    <w:t>双向加压全自动压机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03.05</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自动压机卸砖机械手</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03.06</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多功能电拖车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辆</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四</w:t>
                  </w:r>
                </w:p>
              </w:tc>
              <w:tc>
                <w:tcPr>
                  <w:tcW w:w="4556" w:type="pct"/>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干燥烧成</w:t>
                  </w:r>
                  <w:r>
                    <w:rPr>
                      <w:rFonts w:hint="eastAsia" w:cs="宋体"/>
                      <w:i w:val="0"/>
                      <w:color w:val="auto"/>
                      <w:kern w:val="0"/>
                      <w:sz w:val="21"/>
                      <w:szCs w:val="21"/>
                      <w:u w:val="none"/>
                      <w:lang w:val="en-US" w:eastAsia="zh-CN" w:bidi="ar"/>
                    </w:rPr>
                    <w:t>工序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04.01</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72.6m</w:t>
                  </w:r>
                  <w:r>
                    <w:rPr>
                      <w:rFonts w:hint="eastAsia" w:ascii="Times New Roman" w:hAnsi="Times New Roman" w:eastAsia="宋体" w:cs="宋体"/>
                      <w:i w:val="0"/>
                      <w:color w:val="auto"/>
                      <w:kern w:val="0"/>
                      <w:sz w:val="21"/>
                      <w:szCs w:val="21"/>
                      <w:u w:val="none"/>
                      <w:lang w:val="en-US" w:eastAsia="zh-CN" w:bidi="ar"/>
                    </w:rPr>
                    <w:t>余热隧道干燥窑</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座</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04.02</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20t</w:t>
                  </w:r>
                  <w:r>
                    <w:rPr>
                      <w:rFonts w:hint="eastAsia" w:ascii="Times New Roman" w:hAnsi="Times New Roman" w:eastAsia="宋体" w:cs="宋体"/>
                      <w:i w:val="0"/>
                      <w:color w:val="auto"/>
                      <w:kern w:val="0"/>
                      <w:sz w:val="21"/>
                      <w:szCs w:val="21"/>
                      <w:u w:val="none"/>
                      <w:lang w:val="en-US" w:eastAsia="zh-CN" w:bidi="ar"/>
                    </w:rPr>
                    <w:t>全自动带推杆电拖车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辆</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04.02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04.03</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干燥窑钢丝绳返车机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04.04</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128m</w:t>
                  </w:r>
                  <w:r>
                    <w:rPr>
                      <w:rFonts w:hint="eastAsia" w:ascii="Times New Roman" w:hAnsi="Times New Roman" w:eastAsia="宋体" w:cs="宋体"/>
                      <w:i w:val="0"/>
                      <w:color w:val="auto"/>
                      <w:kern w:val="0"/>
                      <w:sz w:val="21"/>
                      <w:szCs w:val="21"/>
                      <w:u w:val="none"/>
                      <w:lang w:val="en-US" w:eastAsia="zh-CN" w:bidi="ar"/>
                    </w:rPr>
                    <w:t>隧道窑</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座</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04.05</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干燥窑钢丝绳返车机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04.06</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隧道窑钢丝绳返车机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04.07</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液压步进返车机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04.08</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液压步进返车机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04.09</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耐火砖自动拣选流水线</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套</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04.10</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耐火砖托盘热收缩包装机</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04.11</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CPD30</w:t>
                  </w:r>
                  <w:r>
                    <w:rPr>
                      <w:rFonts w:hint="eastAsia" w:ascii="Times New Roman" w:hAnsi="Times New Roman" w:eastAsia="宋体" w:cs="宋体"/>
                      <w:i w:val="0"/>
                      <w:color w:val="auto"/>
                      <w:kern w:val="0"/>
                      <w:sz w:val="21"/>
                      <w:szCs w:val="21"/>
                      <w:u w:val="none"/>
                      <w:lang w:val="en-US" w:eastAsia="zh-CN" w:bidi="ar"/>
                    </w:rPr>
                    <w:t>电动叉车</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台</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04.12</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成品砖自动化立库</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auto"/>
                      <w:kern w:val="0"/>
                      <w:sz w:val="21"/>
                      <w:szCs w:val="21"/>
                      <w:u w:val="none"/>
                      <w:lang w:val="en-US" w:eastAsia="zh-CN" w:bidi="ar"/>
                    </w:rPr>
                    <w:t>座</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五</w:t>
                  </w:r>
                </w:p>
              </w:tc>
              <w:tc>
                <w:tcPr>
                  <w:tcW w:w="2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工艺溜管溜槽</w:t>
                  </w:r>
                </w:p>
              </w:tc>
              <w:tc>
                <w:tcPr>
                  <w:tcW w:w="11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宋体"/>
                      <w:i w:val="0"/>
                      <w:color w:val="auto"/>
                      <w:kern w:val="0"/>
                      <w:sz w:val="21"/>
                      <w:szCs w:val="21"/>
                      <w:u w:val="none"/>
                      <w:lang w:val="en-US" w:eastAsia="zh-CN" w:bidi="ar"/>
                    </w:rPr>
                  </w:pPr>
                  <w:r>
                    <w:rPr>
                      <w:rFonts w:hint="eastAsia" w:ascii="Times New Roman" w:hAnsi="Times New Roman" w:eastAsia="宋体" w:cs="宋体"/>
                      <w:i w:val="0"/>
                      <w:color w:val="auto"/>
                      <w:kern w:val="0"/>
                      <w:sz w:val="21"/>
                      <w:szCs w:val="21"/>
                      <w:u w:val="none"/>
                      <w:lang w:val="en-US" w:eastAsia="zh-CN" w:bidi="ar"/>
                    </w:rPr>
                    <w:t>吨</w:t>
                  </w:r>
                </w:p>
              </w:tc>
              <w:tc>
                <w:tcPr>
                  <w:tcW w:w="10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100</w:t>
                  </w:r>
                </w:p>
              </w:tc>
            </w:tr>
          </w:tbl>
          <w:p>
            <w:pPr>
              <w:spacing w:line="360" w:lineRule="auto"/>
              <w:ind w:firstLine="480" w:firstLineChars="200"/>
              <w:rPr>
                <w:rFonts w:ascii="Times New Roman" w:hAnsi="Times New Roman" w:eastAsia="宋体"/>
                <w:sz w:val="24"/>
                <w:szCs w:val="24"/>
                <w:highlight w:val="none"/>
              </w:rPr>
            </w:pPr>
            <w:r>
              <w:rPr>
                <w:rFonts w:ascii="Times New Roman" w:hAnsi="Times New Roman" w:eastAsia="宋体"/>
                <w:sz w:val="24"/>
                <w:szCs w:val="24"/>
                <w:highlight w:val="none"/>
              </w:rPr>
              <w:t>（9）主要原辅材料及能源消耗</w:t>
            </w:r>
          </w:p>
          <w:p>
            <w:pPr>
              <w:spacing w:line="360" w:lineRule="auto"/>
              <w:ind w:firstLine="480" w:firstLineChars="200"/>
              <w:rPr>
                <w:rFonts w:ascii="Times New Roman" w:hAnsi="Times New Roman" w:eastAsia="宋体"/>
                <w:sz w:val="24"/>
                <w:szCs w:val="24"/>
                <w:highlight w:val="none"/>
              </w:rPr>
            </w:pPr>
            <w:r>
              <w:rPr>
                <w:rFonts w:ascii="Times New Roman" w:hAnsi="Times New Roman" w:eastAsia="宋体"/>
                <w:sz w:val="24"/>
                <w:szCs w:val="24"/>
                <w:highlight w:val="none"/>
              </w:rPr>
              <w:t>本项目扩建所用原辅材料及能源消耗见下表：</w:t>
            </w:r>
          </w:p>
          <w:p>
            <w:pPr>
              <w:widowControl/>
              <w:spacing w:line="360" w:lineRule="auto"/>
              <w:jc w:val="center"/>
              <w:rPr>
                <w:rFonts w:ascii="Times New Roman" w:hAnsi="Times New Roman" w:eastAsia="宋体"/>
                <w:b/>
                <w:sz w:val="24"/>
                <w:szCs w:val="24"/>
                <w:highlight w:val="none"/>
              </w:rPr>
            </w:pPr>
            <w:r>
              <w:rPr>
                <w:rFonts w:ascii="Times New Roman" w:hAnsi="Times New Roman" w:eastAsia="宋体"/>
                <w:b/>
                <w:sz w:val="24"/>
                <w:szCs w:val="24"/>
                <w:highlight w:val="none"/>
              </w:rPr>
              <w:t>表1-</w:t>
            </w:r>
            <w:r>
              <w:rPr>
                <w:rFonts w:hint="eastAsia"/>
                <w:b/>
                <w:sz w:val="24"/>
                <w:szCs w:val="24"/>
                <w:highlight w:val="none"/>
                <w:lang w:val="en-US" w:eastAsia="zh-CN"/>
              </w:rPr>
              <w:t>5</w:t>
            </w:r>
            <w:r>
              <w:rPr>
                <w:rFonts w:ascii="Times New Roman" w:hAnsi="Times New Roman" w:eastAsia="宋体"/>
                <w:b/>
                <w:sz w:val="24"/>
                <w:szCs w:val="24"/>
                <w:highlight w:val="none"/>
              </w:rPr>
              <w:t xml:space="preserve">  主要原辅材料消耗一览表</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3708"/>
              <w:gridCol w:w="2024"/>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序号</w:t>
                  </w:r>
                </w:p>
              </w:tc>
              <w:tc>
                <w:tcPr>
                  <w:tcW w:w="2235"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名称</w:t>
                  </w:r>
                </w:p>
              </w:tc>
              <w:tc>
                <w:tcPr>
                  <w:tcW w:w="1220"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单位</w:t>
                  </w:r>
                </w:p>
              </w:tc>
              <w:tc>
                <w:tcPr>
                  <w:tcW w:w="980"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1</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矾土1</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1</w:t>
                  </w:r>
                  <w:r>
                    <w:rPr>
                      <w:rFonts w:ascii="Times New Roman" w:hAnsi="Times New Roman" w:eastAsia="宋体"/>
                      <w:color w:val="auto"/>
                      <w:szCs w:val="21"/>
                    </w:rPr>
                    <w:t>4734.43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矾土2</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7</w:t>
                  </w:r>
                  <w:r>
                    <w:rPr>
                      <w:rFonts w:ascii="Times New Roman" w:hAnsi="Times New Roman" w:eastAsia="宋体"/>
                      <w:color w:val="auto"/>
                      <w:szCs w:val="21"/>
                    </w:rPr>
                    <w:t>621.26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高岭土</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1</w:t>
                  </w:r>
                  <w:r>
                    <w:rPr>
                      <w:rFonts w:ascii="Times New Roman" w:hAnsi="Times New Roman" w:eastAsia="宋体"/>
                      <w:color w:val="auto"/>
                      <w:szCs w:val="21"/>
                    </w:rPr>
                    <w:t>5242.51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碳化硅</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7</w:t>
                  </w:r>
                  <w:r>
                    <w:rPr>
                      <w:rFonts w:ascii="Times New Roman" w:hAnsi="Times New Roman" w:eastAsia="宋体"/>
                      <w:color w:val="auto"/>
                      <w:szCs w:val="21"/>
                    </w:rPr>
                    <w:t>367.21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硅灰</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2</w:t>
                  </w:r>
                  <w:r>
                    <w:rPr>
                      <w:rFonts w:ascii="Times New Roman" w:hAnsi="Times New Roman" w:eastAsia="宋体"/>
                      <w:color w:val="auto"/>
                      <w:szCs w:val="21"/>
                    </w:rPr>
                    <w:t>794.46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蓝晶石</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1</w:t>
                  </w:r>
                  <w:r>
                    <w:rPr>
                      <w:rFonts w:ascii="Times New Roman" w:hAnsi="Times New Roman" w:eastAsia="宋体"/>
                      <w:color w:val="auto"/>
                      <w:szCs w:val="21"/>
                    </w:rPr>
                    <w:t>524.25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片石英</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5</w:t>
                  </w:r>
                  <w:r>
                    <w:rPr>
                      <w:rFonts w:ascii="Times New Roman" w:hAnsi="Times New Roman" w:eastAsia="宋体"/>
                      <w:color w:val="auto"/>
                      <w:szCs w:val="21"/>
                    </w:rPr>
                    <w:t>08.08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膨润土</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5</w:t>
                  </w:r>
                  <w:r>
                    <w:rPr>
                      <w:rFonts w:ascii="Times New Roman" w:hAnsi="Times New Roman" w:eastAsia="宋体"/>
                      <w:color w:val="auto"/>
                      <w:szCs w:val="21"/>
                    </w:rPr>
                    <w:t>08.08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noWrap w:val="0"/>
                  <w:vAlign w:val="center"/>
                </w:tcPr>
                <w:p>
                  <w:pPr>
                    <w:pStyle w:val="46"/>
                    <w:keepNext w:val="0"/>
                    <w:keepLines w:val="0"/>
                    <w:suppressLineNumbers w:val="0"/>
                    <w:spacing w:before="0" w:beforeAutospacing="0" w:after="0" w:afterAutospacing="0" w:line="4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2235" w:type="pct"/>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粘土（白泥）</w:t>
                  </w:r>
                </w:p>
              </w:tc>
              <w:tc>
                <w:tcPr>
                  <w:tcW w:w="1220" w:type="pct"/>
                  <w:noWrap w:val="0"/>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t/a</w:t>
                  </w:r>
                </w:p>
              </w:tc>
              <w:tc>
                <w:tcPr>
                  <w:tcW w:w="1627" w:type="dxa"/>
                  <w:noWrap w:val="0"/>
                  <w:vAlign w:val="center"/>
                </w:tcPr>
                <w:p>
                  <w:pPr>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olor w:val="auto"/>
                      <w:szCs w:val="21"/>
                    </w:rPr>
                    <w:t>5</w:t>
                  </w:r>
                  <w:r>
                    <w:rPr>
                      <w:rFonts w:ascii="Times New Roman" w:hAnsi="Times New Roman" w:eastAsia="宋体"/>
                      <w:color w:val="auto"/>
                      <w:szCs w:val="21"/>
                    </w:rPr>
                    <w:t>08.08</w:t>
                  </w:r>
                </w:p>
              </w:tc>
            </w:tr>
          </w:tbl>
          <w:p>
            <w:pPr>
              <w:widowControl/>
              <w:spacing w:line="360" w:lineRule="auto"/>
              <w:jc w:val="center"/>
              <w:rPr>
                <w:rFonts w:ascii="Times New Roman" w:hAnsi="Times New Roman" w:eastAsia="宋体"/>
                <w:b/>
                <w:color w:val="000000"/>
                <w:sz w:val="24"/>
                <w:szCs w:val="24"/>
                <w:highlight w:val="none"/>
              </w:rPr>
            </w:pPr>
            <w:r>
              <w:rPr>
                <w:rFonts w:ascii="Times New Roman" w:hAnsi="Times New Roman" w:eastAsia="宋体"/>
                <w:b/>
                <w:color w:val="000000"/>
                <w:sz w:val="24"/>
                <w:szCs w:val="24"/>
                <w:highlight w:val="none"/>
              </w:rPr>
              <w:t>表1-</w:t>
            </w:r>
            <w:r>
              <w:rPr>
                <w:rFonts w:hint="eastAsia"/>
                <w:b/>
                <w:color w:val="000000"/>
                <w:sz w:val="24"/>
                <w:szCs w:val="24"/>
                <w:highlight w:val="none"/>
                <w:lang w:val="en-US" w:eastAsia="zh-CN"/>
              </w:rPr>
              <w:t>6</w:t>
            </w:r>
            <w:r>
              <w:rPr>
                <w:rFonts w:ascii="Times New Roman" w:hAnsi="Times New Roman" w:eastAsia="宋体"/>
                <w:b/>
                <w:color w:val="000000"/>
                <w:sz w:val="24"/>
                <w:szCs w:val="24"/>
                <w:highlight w:val="none"/>
              </w:rPr>
              <w:t xml:space="preserve">  主要能源消耗一览表</w:t>
            </w:r>
          </w:p>
          <w:tbl>
            <w:tblPr>
              <w:tblStyle w:val="28"/>
              <w:tblW w:w="4998" w:type="pct"/>
              <w:jc w:val="center"/>
              <w:tblLayout w:type="autofit"/>
              <w:tblCellMar>
                <w:top w:w="0" w:type="dxa"/>
                <w:left w:w="0" w:type="dxa"/>
                <w:bottom w:w="0" w:type="dxa"/>
                <w:right w:w="0" w:type="dxa"/>
              </w:tblCellMar>
            </w:tblPr>
            <w:tblGrid>
              <w:gridCol w:w="899"/>
              <w:gridCol w:w="2848"/>
              <w:gridCol w:w="2358"/>
              <w:gridCol w:w="2198"/>
            </w:tblGrid>
            <w:tr>
              <w:tblPrEx>
                <w:tblCellMar>
                  <w:top w:w="0" w:type="dxa"/>
                  <w:left w:w="0" w:type="dxa"/>
                  <w:bottom w:w="0" w:type="dxa"/>
                  <w:right w:w="0" w:type="dxa"/>
                </w:tblCellMar>
              </w:tblPrEx>
              <w:trPr>
                <w:trHeight w:val="23" w:hRule="atLeast"/>
                <w:jc w:val="center"/>
              </w:trPr>
              <w:tc>
                <w:tcPr>
                  <w:tcW w:w="541" w:type="pct"/>
                  <w:tcBorders>
                    <w:top w:val="single" w:color="auto" w:sz="4" w:space="0"/>
                    <w:left w:val="single" w:color="auto" w:sz="12" w:space="0"/>
                    <w:bottom w:val="single" w:color="auto"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序号</w:t>
                  </w:r>
                </w:p>
              </w:tc>
              <w:tc>
                <w:tcPr>
                  <w:tcW w:w="1714"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val="en-US" w:eastAsia="zh-CN"/>
                    </w:rPr>
                    <w:t>名称</w:t>
                  </w:r>
                </w:p>
              </w:tc>
              <w:tc>
                <w:tcPr>
                  <w:tcW w:w="1419"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单位</w:t>
                  </w:r>
                </w:p>
              </w:tc>
              <w:tc>
                <w:tcPr>
                  <w:tcW w:w="1323"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数量</w:t>
                  </w:r>
                </w:p>
              </w:tc>
            </w:tr>
            <w:tr>
              <w:tblPrEx>
                <w:tblCellMar>
                  <w:top w:w="0" w:type="dxa"/>
                  <w:left w:w="0" w:type="dxa"/>
                  <w:bottom w:w="0" w:type="dxa"/>
                  <w:right w:w="0" w:type="dxa"/>
                </w:tblCellMar>
              </w:tblPrEx>
              <w:trPr>
                <w:trHeight w:val="23" w:hRule="atLeast"/>
                <w:jc w:val="center"/>
              </w:trPr>
              <w:tc>
                <w:tcPr>
                  <w:tcW w:w="541" w:type="pct"/>
                  <w:tcBorders>
                    <w:top w:val="single" w:color="auto"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1</w:t>
                  </w:r>
                </w:p>
              </w:tc>
              <w:tc>
                <w:tcPr>
                  <w:tcW w:w="1714" w:type="pct"/>
                  <w:tcBorders>
                    <w:top w:val="single" w:color="auto"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水</w:t>
                  </w:r>
                </w:p>
              </w:tc>
              <w:tc>
                <w:tcPr>
                  <w:tcW w:w="1419" w:type="pct"/>
                  <w:tcBorders>
                    <w:top w:val="single" w:color="auto"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t/a</w:t>
                  </w:r>
                </w:p>
              </w:tc>
              <w:tc>
                <w:tcPr>
                  <w:tcW w:w="1323" w:type="pct"/>
                  <w:tcBorders>
                    <w:top w:val="single" w:color="auto"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eastAsia="宋体"/>
                      <w:color w:val="000000"/>
                      <w:szCs w:val="21"/>
                      <w:highlight w:val="none"/>
                      <w:shd w:val="clear" w:color="000000" w:fill="FFFFFF"/>
                    </w:rPr>
                  </w:pPr>
                  <w:r>
                    <w:rPr>
                      <w:rFonts w:hint="eastAsia" w:ascii="Times New Roman" w:hAnsi="Times New Roman" w:eastAsia="宋体" w:cs="Times New Roman"/>
                      <w:color w:val="auto"/>
                      <w:kern w:val="0"/>
                      <w:sz w:val="21"/>
                      <w:szCs w:val="21"/>
                      <w:highlight w:val="none"/>
                      <w:lang w:val="en-US" w:eastAsia="zh-CN"/>
                    </w:rPr>
                    <w:t>10426.721</w:t>
                  </w:r>
                </w:p>
              </w:tc>
            </w:tr>
            <w:tr>
              <w:tblPrEx>
                <w:tblCellMar>
                  <w:top w:w="0" w:type="dxa"/>
                  <w:left w:w="0" w:type="dxa"/>
                  <w:bottom w:w="0" w:type="dxa"/>
                  <w:right w:w="0" w:type="dxa"/>
                </w:tblCellMar>
              </w:tblPrEx>
              <w:trPr>
                <w:trHeight w:val="23" w:hRule="atLeast"/>
                <w:jc w:val="center"/>
              </w:trPr>
              <w:tc>
                <w:tcPr>
                  <w:tcW w:w="541" w:type="pct"/>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2</w:t>
                  </w:r>
                </w:p>
              </w:tc>
              <w:tc>
                <w:tcPr>
                  <w:tcW w:w="1714" w:type="pct"/>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电</w:t>
                  </w:r>
                </w:p>
              </w:tc>
              <w:tc>
                <w:tcPr>
                  <w:tcW w:w="1419" w:type="pct"/>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kw·h/a</w:t>
                  </w:r>
                </w:p>
              </w:tc>
              <w:tc>
                <w:tcPr>
                  <w:tcW w:w="1323" w:type="pct"/>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eastAsia="宋体"/>
                      <w:color w:val="000000"/>
                      <w:szCs w:val="21"/>
                      <w:highlight w:val="none"/>
                      <w:shd w:val="clear" w:color="000000" w:fill="FFFFFF"/>
                    </w:rPr>
                  </w:pPr>
                  <w:r>
                    <w:rPr>
                      <w:rFonts w:hint="eastAsia" w:ascii="Times New Roman" w:hAnsi="Times New Roman" w:eastAsia="宋体" w:cs="Times New Roman"/>
                      <w:color w:val="auto"/>
                      <w:sz w:val="21"/>
                      <w:szCs w:val="21"/>
                      <w:highlight w:val="none"/>
                      <w:lang w:val="en-US" w:eastAsia="zh-CN"/>
                    </w:rPr>
                    <w:t>10527.11×10</w:t>
                  </w:r>
                  <w:r>
                    <w:rPr>
                      <w:rFonts w:hint="eastAsia" w:ascii="Times New Roman" w:hAnsi="Times New Roman" w:eastAsia="宋体" w:cs="Times New Roman"/>
                      <w:color w:val="auto"/>
                      <w:sz w:val="21"/>
                      <w:szCs w:val="21"/>
                      <w:highlight w:val="none"/>
                      <w:vertAlign w:val="superscript"/>
                      <w:lang w:val="en-US" w:eastAsia="zh-CN"/>
                    </w:rPr>
                    <w:t>3</w:t>
                  </w:r>
                </w:p>
              </w:tc>
            </w:tr>
            <w:tr>
              <w:tblPrEx>
                <w:tblCellMar>
                  <w:top w:w="0" w:type="dxa"/>
                  <w:left w:w="0" w:type="dxa"/>
                  <w:bottom w:w="0" w:type="dxa"/>
                  <w:right w:w="0" w:type="dxa"/>
                </w:tblCellMar>
              </w:tblPrEx>
              <w:trPr>
                <w:trHeight w:val="23" w:hRule="atLeast"/>
                <w:jc w:val="center"/>
              </w:trPr>
              <w:tc>
                <w:tcPr>
                  <w:tcW w:w="541" w:type="pct"/>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3</w:t>
                  </w:r>
                </w:p>
              </w:tc>
              <w:tc>
                <w:tcPr>
                  <w:tcW w:w="1714" w:type="pct"/>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天然气</w:t>
                  </w:r>
                </w:p>
              </w:tc>
              <w:tc>
                <w:tcPr>
                  <w:tcW w:w="1419" w:type="pct"/>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eastAsia="宋体"/>
                      <w:color w:val="000000"/>
                      <w:szCs w:val="21"/>
                      <w:highlight w:val="none"/>
                    </w:rPr>
                  </w:pPr>
                  <w:r>
                    <w:rPr>
                      <w:rFonts w:hint="eastAsia" w:ascii="Times New Roman" w:hAnsi="Times New Roman" w:eastAsia="宋体"/>
                      <w:color w:val="auto"/>
                      <w:sz w:val="24"/>
                      <w:szCs w:val="24"/>
                    </w:rPr>
                    <w:t>m</w:t>
                  </w:r>
                  <w:r>
                    <w:rPr>
                      <w:rFonts w:hint="eastAsia" w:ascii="Times New Roman" w:hAnsi="Times New Roman" w:eastAsia="宋体"/>
                      <w:color w:val="auto"/>
                      <w:sz w:val="24"/>
                      <w:szCs w:val="24"/>
                      <w:vertAlign w:val="superscript"/>
                    </w:rPr>
                    <w:t>3</w:t>
                  </w:r>
                </w:p>
              </w:tc>
              <w:tc>
                <w:tcPr>
                  <w:tcW w:w="1323" w:type="pct"/>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eastAsia="宋体"/>
                      <w:color w:val="000000"/>
                      <w:szCs w:val="21"/>
                      <w:highlight w:val="none"/>
                    </w:rPr>
                  </w:pPr>
                  <w:r>
                    <w:rPr>
                      <w:rFonts w:hint="eastAsia" w:ascii="Times New Roman" w:hAnsi="Times New Roman" w:eastAsia="宋体" w:cs="Times New Roman"/>
                      <w:color w:val="auto"/>
                      <w:sz w:val="21"/>
                      <w:szCs w:val="21"/>
                      <w:highlight w:val="none"/>
                      <w:lang w:val="en-US" w:eastAsia="zh-CN"/>
                    </w:rPr>
                    <w:t>3000×10</w:t>
                  </w:r>
                  <w:r>
                    <w:rPr>
                      <w:rFonts w:hint="eastAsia" w:ascii="Times New Roman" w:hAnsi="Times New Roman" w:eastAsia="宋体" w:cs="Times New Roman"/>
                      <w:color w:val="auto"/>
                      <w:sz w:val="21"/>
                      <w:szCs w:val="21"/>
                      <w:highlight w:val="none"/>
                      <w:vertAlign w:val="superscript"/>
                      <w:lang w:val="en-US" w:eastAsia="zh-CN"/>
                    </w:rPr>
                    <w:t>3</w:t>
                  </w:r>
                </w:p>
              </w:tc>
            </w:tr>
          </w:tbl>
          <w:p>
            <w:pPr>
              <w:spacing w:line="360" w:lineRule="auto"/>
              <w:ind w:firstLine="482" w:firstLineChars="200"/>
              <w:rPr>
                <w:rFonts w:ascii="Times New Roman" w:hAnsi="Times New Roman" w:eastAsia="宋体"/>
                <w:b/>
                <w:color w:val="000000"/>
                <w:sz w:val="24"/>
                <w:szCs w:val="24"/>
                <w:highlight w:val="none"/>
              </w:rPr>
            </w:pPr>
            <w:r>
              <w:rPr>
                <w:rFonts w:ascii="Times New Roman" w:hAnsi="Times New Roman" w:eastAsia="宋体"/>
                <w:b/>
                <w:color w:val="000000"/>
                <w:sz w:val="24"/>
                <w:szCs w:val="24"/>
                <w:highlight w:val="none"/>
              </w:rPr>
              <w:t>3、职工人数和工作制度</w:t>
            </w:r>
          </w:p>
          <w:p>
            <w:pPr>
              <w:keepNext w:val="0"/>
              <w:keepLines w:val="0"/>
              <w:suppressLineNumbers w:val="0"/>
              <w:tabs>
                <w:tab w:val="left" w:pos="3060"/>
              </w:tabs>
              <w:spacing w:before="0" w:beforeAutospacing="0" w:after="0" w:afterAutospacing="0" w:line="440" w:lineRule="exact"/>
              <w:ind w:left="0" w:right="0" w:firstLine="480" w:firstLineChars="200"/>
              <w:rPr>
                <w:rFonts w:ascii="Times New Roman" w:hAnsi="Times New Roman" w:eastAsia="宋体"/>
                <w:color w:val="000000"/>
                <w:sz w:val="24"/>
                <w:szCs w:val="24"/>
                <w:highlight w:val="none"/>
              </w:rPr>
            </w:pPr>
            <w:r>
              <w:rPr>
                <w:rFonts w:hint="eastAsia" w:ascii="Times New Roman" w:hAnsi="Times New Roman" w:eastAsia="宋体" w:cs="Times New Roman"/>
                <w:color w:val="auto"/>
                <w:sz w:val="24"/>
                <w:lang w:val="en-US" w:eastAsia="zh-CN"/>
              </w:rPr>
              <w:t>本项目</w:t>
            </w:r>
            <w:r>
              <w:rPr>
                <w:rFonts w:hint="eastAsia" w:cs="Times New Roman"/>
                <w:color w:val="auto"/>
                <w:sz w:val="24"/>
                <w:lang w:val="en-US" w:eastAsia="zh-CN"/>
              </w:rPr>
              <w:t>新增</w:t>
            </w:r>
            <w:r>
              <w:rPr>
                <w:rFonts w:hint="eastAsia" w:ascii="Times New Roman" w:hAnsi="Times New Roman" w:eastAsia="宋体" w:cs="Times New Roman"/>
                <w:color w:val="auto"/>
                <w:sz w:val="24"/>
                <w:lang w:val="en-US" w:eastAsia="zh-CN"/>
              </w:rPr>
              <w:t>劳动定员142人，其中工人133人，营销人员2人，管理及服务人员5人，技术人员2人。本项目根据生产线各</w:t>
            </w:r>
            <w:r>
              <w:rPr>
                <w:rFonts w:hint="eastAsia" w:cs="Times New Roman"/>
                <w:color w:val="auto"/>
                <w:sz w:val="24"/>
                <w:lang w:val="en-US" w:eastAsia="zh-CN"/>
              </w:rPr>
              <w:t>工序</w:t>
            </w:r>
            <w:r>
              <w:rPr>
                <w:rFonts w:hint="eastAsia" w:ascii="Times New Roman" w:hAnsi="Times New Roman" w:eastAsia="宋体" w:cs="Times New Roman"/>
                <w:color w:val="auto"/>
                <w:sz w:val="24"/>
                <w:lang w:val="en-US" w:eastAsia="zh-CN"/>
              </w:rPr>
              <w:t>生产情况采用330天/1班制和330天/3班制生产，根据岗位需要安排定员</w:t>
            </w:r>
            <w:r>
              <w:rPr>
                <w:rFonts w:ascii="Times New Roman" w:hAnsi="Times New Roman" w:eastAsia="宋体"/>
                <w:sz w:val="24"/>
                <w:highlight w:val="none"/>
              </w:rPr>
              <w:t>。</w:t>
            </w:r>
          </w:p>
          <w:p>
            <w:pPr>
              <w:spacing w:line="360" w:lineRule="auto"/>
              <w:ind w:firstLine="482" w:firstLineChars="200"/>
              <w:rPr>
                <w:rFonts w:ascii="Times New Roman" w:hAnsi="Times New Roman" w:eastAsia="宋体"/>
                <w:b/>
                <w:color w:val="000000"/>
                <w:sz w:val="24"/>
                <w:szCs w:val="24"/>
                <w:highlight w:val="none"/>
              </w:rPr>
            </w:pPr>
            <w:r>
              <w:rPr>
                <w:rFonts w:ascii="Times New Roman" w:hAnsi="Times New Roman" w:eastAsia="宋体"/>
                <w:b/>
                <w:color w:val="000000"/>
                <w:sz w:val="24"/>
                <w:szCs w:val="24"/>
                <w:highlight w:val="none"/>
              </w:rPr>
              <w:t>4、公用工程</w:t>
            </w:r>
          </w:p>
          <w:p>
            <w:pPr>
              <w:keepNext w:val="0"/>
              <w:keepLines w:val="0"/>
              <w:pageBreakBefore w:val="0"/>
              <w:widowControl w:val="0"/>
              <w:suppressLineNumbers w:val="0"/>
              <w:kinsoku/>
              <w:wordWrap/>
              <w:overflowPunct/>
              <w:topLinePunct w:val="0"/>
              <w:autoSpaceDE/>
              <w:autoSpaceDN/>
              <w:bidi w:val="0"/>
              <w:snapToGrid/>
              <w:spacing w:before="0" w:beforeAutospacing="0" w:afterAutospacing="0" w:line="360" w:lineRule="auto"/>
              <w:ind w:left="0" w:leftChars="0" w:right="0" w:rightChars="0" w:firstLine="480" w:firstLineChars="200"/>
              <w:textAlignment w:val="auto"/>
              <w:rPr>
                <w:rFonts w:hint="eastAsia" w:ascii="Times New Roman" w:hAnsi="Times New Roman" w:eastAsia="宋体" w:cs="Times New Roman"/>
                <w:color w:val="auto"/>
                <w:sz w:val="24"/>
                <w:highlight w:val="red"/>
              </w:rPr>
            </w:pPr>
            <w:r>
              <w:rPr>
                <w:rFonts w:hint="eastAsia" w:ascii="Times New Roman" w:hAnsi="Times New Roman" w:eastAsia="宋体" w:cs="宋体"/>
                <w:color w:val="auto"/>
                <w:sz w:val="24"/>
              </w:rPr>
              <w:t>①</w:t>
            </w:r>
            <w:r>
              <w:rPr>
                <w:rFonts w:hint="default" w:ascii="Times New Roman" w:hAnsi="Times New Roman" w:eastAsia="宋体" w:cs="Times New Roman"/>
                <w:color w:val="auto"/>
                <w:sz w:val="24"/>
              </w:rPr>
              <w:t>给水</w:t>
            </w:r>
          </w:p>
          <w:p>
            <w:pPr>
              <w:keepNext w:val="0"/>
              <w:keepLines w:val="0"/>
              <w:pageBreakBefore w:val="0"/>
              <w:widowControl w:val="0"/>
              <w:suppressLineNumbers w:val="0"/>
              <w:kinsoku/>
              <w:wordWrap/>
              <w:overflowPunct/>
              <w:topLinePunct w:val="0"/>
              <w:autoSpaceDE/>
              <w:autoSpaceDN/>
              <w:bidi w:val="0"/>
              <w:snapToGrid/>
              <w:spacing w:before="0" w:beforeAutospacing="0" w:afterAutospacing="0" w:line="360" w:lineRule="auto"/>
              <w:ind w:left="0" w:leftChars="0" w:right="0" w:rightChars="0" w:firstLine="480"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项目用水主要为生活用水</w:t>
            </w:r>
            <w:r>
              <w:rPr>
                <w:rFonts w:hint="eastAsia" w:ascii="Times New Roman" w:hAnsi="Times New Roman" w:eastAsia="宋体" w:cs="Times New Roman"/>
                <w:color w:val="auto"/>
                <w:sz w:val="24"/>
                <w:lang w:eastAsia="zh-CN"/>
              </w:rPr>
              <w:t>及生产用水</w:t>
            </w:r>
            <w:r>
              <w:rPr>
                <w:rFonts w:hint="eastAsia" w:ascii="Times New Roman" w:hAnsi="Times New Roman" w:eastAsia="宋体" w:cs="Times New Roman"/>
                <w:color w:val="auto"/>
                <w:sz w:val="24"/>
              </w:rPr>
              <w:t>，水源引自区内供水管网，能够满足厂区日常用水需求。</w:t>
            </w:r>
          </w:p>
          <w:p>
            <w:pPr>
              <w:keepNext w:val="0"/>
              <w:keepLines w:val="0"/>
              <w:pageBreakBefore w:val="0"/>
              <w:widowControl w:val="0"/>
              <w:suppressLineNumbers w:val="0"/>
              <w:tabs>
                <w:tab w:val="left" w:pos="3060"/>
              </w:tabs>
              <w:kinsoku/>
              <w:wordWrap/>
              <w:overflowPunct/>
              <w:topLinePunct w:val="0"/>
              <w:autoSpaceDE/>
              <w:autoSpaceDN/>
              <w:bidi w:val="0"/>
              <w:snapToGrid/>
              <w:spacing w:before="0" w:beforeAutospacing="0" w:afterAutospacing="0" w:line="360" w:lineRule="auto"/>
              <w:ind w:left="0" w:leftChars="0" w:right="0" w:rightChars="0" w:firstLine="480" w:firstLineChars="200"/>
              <w:textAlignment w:val="auto"/>
              <w:rPr>
                <w:rFonts w:hint="default" w:ascii="Times New Roman" w:hAnsi="Times New Roman" w:eastAsia="宋体" w:cs="Times New Roman"/>
                <w:color w:val="auto"/>
                <w:sz w:val="24"/>
                <w:highlight w:val="none"/>
              </w:rPr>
            </w:pPr>
            <w:r>
              <w:rPr>
                <w:rFonts w:hint="eastAsia" w:ascii="Times New Roman" w:hAnsi="Times New Roman" w:eastAsia="宋体" w:cs="宋体"/>
                <w:color w:val="auto"/>
                <w:sz w:val="24"/>
                <w:highlight w:val="none"/>
              </w:rPr>
              <w:t>②</w:t>
            </w:r>
            <w:r>
              <w:rPr>
                <w:rFonts w:hint="default" w:ascii="Times New Roman" w:hAnsi="Times New Roman" w:eastAsia="宋体" w:cs="Times New Roman"/>
                <w:color w:val="auto"/>
                <w:sz w:val="24"/>
                <w:highlight w:val="none"/>
              </w:rPr>
              <w:t>排水</w:t>
            </w:r>
          </w:p>
          <w:p>
            <w:pPr>
              <w:keepNext w:val="0"/>
              <w:keepLines w:val="0"/>
              <w:pageBreakBefore w:val="0"/>
              <w:widowControl w:val="0"/>
              <w:suppressLineNumbers w:val="0"/>
              <w:kinsoku/>
              <w:wordWrap/>
              <w:overflowPunct/>
              <w:topLinePunct w:val="0"/>
              <w:autoSpaceDE/>
              <w:autoSpaceDN/>
              <w:bidi w:val="0"/>
              <w:snapToGrid/>
              <w:spacing w:before="0" w:beforeAutospacing="0" w:afterAutospacing="0" w:line="360" w:lineRule="auto"/>
              <w:ind w:left="0" w:leftChars="0" w:right="0" w:rightChars="0" w:firstLine="480" w:firstLineChars="200"/>
              <w:textAlignment w:val="auto"/>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kern w:val="0"/>
                <w:sz w:val="24"/>
                <w:szCs w:val="24"/>
                <w:highlight w:val="none"/>
                <w:lang w:eastAsia="zh-CN"/>
              </w:rPr>
              <w:t>工厂排水采用雨污分流制排水系统，厂区雨水经雨水管网收集后排入厂区原有雨水管网；工艺设备冷却水</w:t>
            </w:r>
            <w:r>
              <w:rPr>
                <w:rFonts w:hint="eastAsia" w:cs="Times New Roman"/>
                <w:color w:val="auto"/>
                <w:kern w:val="0"/>
                <w:sz w:val="24"/>
                <w:szCs w:val="24"/>
                <w:highlight w:val="none"/>
                <w:lang w:val="en-US" w:eastAsia="zh-CN"/>
              </w:rPr>
              <w:t>利用</w:t>
            </w:r>
            <w:r>
              <w:rPr>
                <w:rFonts w:hint="default" w:ascii="Times New Roman" w:hAnsi="Times New Roman" w:eastAsia="宋体" w:cs="Times New Roman"/>
                <w:color w:val="auto"/>
                <w:kern w:val="0"/>
                <w:sz w:val="24"/>
                <w:szCs w:val="24"/>
                <w:highlight w:val="none"/>
                <w:lang w:eastAsia="zh-CN"/>
              </w:rPr>
              <w:t>循环冷却水池循环使用，不外排；</w:t>
            </w:r>
            <w:r>
              <w:rPr>
                <w:rFonts w:hint="eastAsia" w:ascii="Times New Roman" w:hAnsi="Times New Roman" w:eastAsia="宋体" w:cs="Times New Roman"/>
                <w:color w:val="auto"/>
                <w:kern w:val="0"/>
                <w:sz w:val="24"/>
                <w:szCs w:val="24"/>
                <w:highlight w:val="none"/>
                <w:lang w:val="en-US" w:eastAsia="zh-CN"/>
              </w:rPr>
              <w:t>近期</w:t>
            </w:r>
            <w:r>
              <w:rPr>
                <w:rFonts w:hint="default" w:ascii="Times New Roman" w:hAnsi="Times New Roman" w:eastAsia="宋体" w:cs="Times New Roman"/>
                <w:color w:val="auto"/>
                <w:kern w:val="0"/>
                <w:sz w:val="24"/>
                <w:szCs w:val="24"/>
                <w:highlight w:val="none"/>
                <w:lang w:eastAsia="zh-CN"/>
              </w:rPr>
              <w:t>生活污水经隔油池/化粪池处理后，经排水管道进入厂区原有污水处理装置，达一级排放标准后进行回用，少量污水达到《污水综合排放标准》GB8978-1996后进行排放</w:t>
            </w:r>
            <w:r>
              <w:rPr>
                <w:rFonts w:hint="eastAsia" w:ascii="Times New Roman" w:hAnsi="Times New Roman" w:eastAsia="宋体" w:cs="Times New Roman"/>
                <w:color w:val="auto"/>
                <w:kern w:val="0"/>
                <w:sz w:val="24"/>
                <w:szCs w:val="24"/>
                <w:highlight w:val="none"/>
                <w:lang w:eastAsia="zh-CN"/>
              </w:rPr>
              <w:t>，</w:t>
            </w:r>
            <w:r>
              <w:rPr>
                <w:rFonts w:hint="eastAsia" w:ascii="Times New Roman" w:hAnsi="Times New Roman" w:eastAsia="宋体" w:cs="Times New Roman"/>
                <w:color w:val="auto"/>
                <w:kern w:val="0"/>
                <w:sz w:val="24"/>
                <w:szCs w:val="24"/>
                <w:highlight w:val="none"/>
                <w:lang w:val="en-US" w:eastAsia="zh-CN"/>
              </w:rPr>
              <w:t>远期生活污水</w:t>
            </w:r>
            <w:r>
              <w:rPr>
                <w:rFonts w:hint="default" w:ascii="Times New Roman" w:hAnsi="Times New Roman" w:eastAsia="宋体" w:cs="Times New Roman"/>
                <w:color w:val="auto"/>
                <w:kern w:val="0"/>
                <w:sz w:val="24"/>
                <w:szCs w:val="24"/>
                <w:highlight w:val="none"/>
                <w:lang w:eastAsia="zh-CN"/>
              </w:rPr>
              <w:t>达</w:t>
            </w:r>
            <w:r>
              <w:rPr>
                <w:rFonts w:hint="eastAsia" w:ascii="Times New Roman" w:hAnsi="Times New Roman" w:eastAsia="宋体" w:cs="Times New Roman"/>
                <w:color w:val="auto"/>
                <w:kern w:val="0"/>
                <w:sz w:val="24"/>
                <w:szCs w:val="24"/>
                <w:highlight w:val="none"/>
                <w:lang w:val="en-US" w:eastAsia="zh-CN"/>
              </w:rPr>
              <w:t>三</w:t>
            </w:r>
            <w:r>
              <w:rPr>
                <w:rFonts w:hint="default" w:ascii="Times New Roman" w:hAnsi="Times New Roman" w:eastAsia="宋体" w:cs="Times New Roman"/>
                <w:color w:val="auto"/>
                <w:kern w:val="0"/>
                <w:sz w:val="24"/>
                <w:szCs w:val="24"/>
                <w:highlight w:val="none"/>
                <w:lang w:eastAsia="zh-CN"/>
              </w:rPr>
              <w:t>级排放标准</w:t>
            </w:r>
            <w:r>
              <w:rPr>
                <w:rFonts w:hint="eastAsia" w:ascii="Times New Roman" w:hAnsi="Times New Roman" w:eastAsia="宋体" w:cs="Times New Roman"/>
                <w:color w:val="auto"/>
                <w:kern w:val="0"/>
                <w:sz w:val="24"/>
                <w:szCs w:val="24"/>
                <w:highlight w:val="none"/>
                <w:lang w:val="en-US" w:eastAsia="zh-CN"/>
              </w:rPr>
              <w:t>后排放进入市政管网后排入城南污水处理厂处理后外排</w:t>
            </w:r>
            <w:r>
              <w:rPr>
                <w:rFonts w:hint="default" w:ascii="Times New Roman" w:hAnsi="Times New Roman" w:eastAsia="宋体" w:cs="Times New Roman"/>
                <w:color w:val="auto"/>
                <w:kern w:val="0"/>
                <w:sz w:val="24"/>
                <w:szCs w:val="24"/>
                <w:highlight w:val="none"/>
                <w:lang w:eastAsia="zh-CN"/>
              </w:rPr>
              <w:t>。</w:t>
            </w:r>
          </w:p>
          <w:p>
            <w:pPr>
              <w:keepNext w:val="0"/>
              <w:keepLines w:val="0"/>
              <w:pageBreakBefore w:val="0"/>
              <w:widowControl w:val="0"/>
              <w:suppressLineNumbers w:val="0"/>
              <w:kinsoku/>
              <w:wordWrap/>
              <w:overflowPunct/>
              <w:topLinePunct w:val="0"/>
              <w:autoSpaceDE/>
              <w:autoSpaceDN/>
              <w:bidi w:val="0"/>
              <w:snapToGrid/>
              <w:spacing w:before="0" w:beforeAutospacing="0" w:afterAutospacing="0" w:line="360" w:lineRule="auto"/>
              <w:ind w:left="0" w:leftChars="0" w:right="0" w:rightChars="0" w:firstLine="480" w:firstLineChars="200"/>
              <w:textAlignment w:val="auto"/>
              <w:rPr>
                <w:rFonts w:hint="default" w:ascii="Times New Roman" w:hAnsi="Times New Roman" w:eastAsia="宋体" w:cs="Times New Roman"/>
                <w:color w:val="auto"/>
                <w:sz w:val="24"/>
              </w:rPr>
            </w:pPr>
            <w:r>
              <w:rPr>
                <w:rFonts w:hint="eastAsia" w:ascii="Times New Roman" w:hAnsi="Times New Roman" w:eastAsia="宋体" w:cs="宋体"/>
                <w:color w:val="auto"/>
                <w:sz w:val="24"/>
              </w:rPr>
              <w:t>③</w:t>
            </w:r>
            <w:r>
              <w:rPr>
                <w:rFonts w:hint="default" w:ascii="Times New Roman" w:hAnsi="Times New Roman" w:eastAsia="宋体" w:cs="Times New Roman"/>
                <w:color w:val="auto"/>
                <w:sz w:val="24"/>
              </w:rPr>
              <w:t>供电</w:t>
            </w:r>
          </w:p>
          <w:p>
            <w:pPr>
              <w:keepNext w:val="0"/>
              <w:keepLines w:val="0"/>
              <w:pageBreakBefore w:val="0"/>
              <w:widowControl w:val="0"/>
              <w:suppressLineNumbers w:val="0"/>
              <w:kinsoku/>
              <w:wordWrap/>
              <w:overflowPunct/>
              <w:topLinePunct w:val="0"/>
              <w:autoSpaceDE/>
              <w:autoSpaceDN/>
              <w:bidi w:val="0"/>
              <w:snapToGrid/>
              <w:spacing w:before="0" w:beforeAutospacing="0" w:afterAutospacing="0" w:line="360" w:lineRule="auto"/>
              <w:ind w:left="0" w:leftChars="0" w:right="0" w:rightChars="0" w:firstLine="480" w:firstLineChars="200"/>
              <w:textAlignment w:val="auto"/>
              <w:rPr>
                <w:rFonts w:hint="eastAsia" w:ascii="Times New Roman" w:hAnsi="Times New Roman" w:eastAsia="宋体" w:cs="Times New Roman"/>
                <w:color w:val="auto"/>
                <w:sz w:val="24"/>
              </w:rPr>
            </w:pPr>
            <w:r>
              <w:rPr>
                <w:rFonts w:hint="default" w:ascii="Times New Roman" w:hAnsi="Times New Roman" w:eastAsia="宋体" w:cs="Times New Roman"/>
                <w:color w:val="auto"/>
                <w:sz w:val="24"/>
              </w:rPr>
              <w:t>项目用电由工业园区电网统一配给，新建项目总用电量10527.11×10</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千瓦时/年</w:t>
            </w:r>
            <w:r>
              <w:rPr>
                <w:rFonts w:hint="eastAsia" w:ascii="Times New Roman" w:hAnsi="Times New Roman" w:eastAsia="宋体" w:cs="Times New Roman"/>
                <w:color w:val="auto"/>
                <w:sz w:val="24"/>
              </w:rPr>
              <w:t>。</w:t>
            </w:r>
          </w:p>
          <w:p>
            <w:pPr>
              <w:keepNext w:val="0"/>
              <w:keepLines w:val="0"/>
              <w:pageBreakBefore w:val="0"/>
              <w:widowControl w:val="0"/>
              <w:suppressLineNumbers w:val="0"/>
              <w:kinsoku/>
              <w:wordWrap/>
              <w:overflowPunct/>
              <w:topLinePunct w:val="0"/>
              <w:autoSpaceDE/>
              <w:autoSpaceDN/>
              <w:bidi w:val="0"/>
              <w:snapToGrid/>
              <w:spacing w:before="0" w:beforeAutospacing="0" w:afterAutospacing="0" w:line="360" w:lineRule="auto"/>
              <w:ind w:left="0" w:leftChars="0" w:right="0" w:rightChars="0" w:firstLine="480" w:firstLineChars="200"/>
              <w:textAlignment w:val="auto"/>
              <w:rPr>
                <w:rFonts w:hint="eastAsia" w:ascii="Times New Roman" w:hAnsi="Times New Roman" w:eastAsia="宋体" w:cs="宋体"/>
                <w:color w:val="auto"/>
                <w:sz w:val="24"/>
                <w:lang w:eastAsia="zh-CN"/>
              </w:rPr>
            </w:pPr>
            <w:r>
              <w:rPr>
                <w:rFonts w:hint="eastAsia" w:ascii="Times New Roman" w:hAnsi="Times New Roman" w:eastAsia="宋体" w:cs="宋体"/>
                <w:color w:val="auto"/>
                <w:sz w:val="24"/>
                <w:lang w:eastAsia="zh-CN"/>
              </w:rPr>
              <w:t>④供天然气</w:t>
            </w:r>
          </w:p>
          <w:p>
            <w:pPr>
              <w:pStyle w:val="23"/>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leftChars="0" w:right="0" w:rightChars="0" w:firstLine="480" w:firstLineChars="200"/>
              <w:textAlignment w:val="auto"/>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本项目燃料采用天然气，厂区附近有天然气管道，可以满足本项目燃料需要。</w:t>
            </w:r>
          </w:p>
          <w:p>
            <w:pPr>
              <w:spacing w:line="360" w:lineRule="auto"/>
              <w:ind w:firstLine="482" w:firstLineChars="200"/>
              <w:rPr>
                <w:rFonts w:ascii="Times New Roman" w:hAnsi="Times New Roman" w:eastAsia="宋体"/>
                <w:b/>
                <w:sz w:val="24"/>
                <w:szCs w:val="24"/>
                <w:highlight w:val="none"/>
              </w:rPr>
            </w:pPr>
            <w:r>
              <w:rPr>
                <w:rFonts w:ascii="Times New Roman" w:hAnsi="Times New Roman" w:eastAsia="宋体"/>
                <w:b/>
                <w:sz w:val="24"/>
                <w:szCs w:val="24"/>
                <w:highlight w:val="none"/>
              </w:rPr>
              <w:t>5、</w:t>
            </w:r>
            <w:r>
              <w:rPr>
                <w:rFonts w:hint="eastAsia" w:ascii="Times New Roman" w:hAnsi="Times New Roman" w:eastAsia="宋体"/>
                <w:b/>
                <w:sz w:val="24"/>
                <w:szCs w:val="24"/>
                <w:highlight w:val="none"/>
              </w:rPr>
              <w:t>“三线一单”相符性分析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①生态保护红线</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根据《生态保护红线划定技术指南》，生态保护红线主要包括重点生态功能区、生态敏感区/脆弱区、禁止开发区、其他区域，根据《芜湖市空间规划（2016-2030年）》，芜湖市区生态保护红线区域总面积40.87平方公里，占市区总面积的2.73%，根据安徽省环境保护厅皖环函</w:t>
            </w:r>
            <w:r>
              <w:rPr>
                <w:rFonts w:hint="eastAsia" w:ascii="Times New Roman" w:hAnsi="Times New Roman" w:eastAsia="宋体" w:cs="宋体"/>
                <w:color w:val="auto"/>
                <w:sz w:val="24"/>
              </w:rPr>
              <w:t>〔</w:t>
            </w:r>
            <w:r>
              <w:rPr>
                <w:rFonts w:hint="eastAsia" w:ascii="Times New Roman" w:hAnsi="Times New Roman" w:eastAsia="宋体" w:cs="宋体"/>
                <w:color w:val="auto"/>
                <w:sz w:val="24"/>
                <w:lang w:val="en-US" w:eastAsia="zh-CN"/>
              </w:rPr>
              <w:t>2017</w:t>
            </w:r>
            <w:r>
              <w:rPr>
                <w:rFonts w:hint="eastAsia" w:ascii="Times New Roman" w:hAnsi="Times New Roman" w:eastAsia="宋体" w:cs="宋体"/>
                <w:color w:val="auto"/>
                <w:sz w:val="24"/>
              </w:rPr>
              <w:t>〕</w:t>
            </w:r>
            <w:r>
              <w:rPr>
                <w:rFonts w:hint="eastAsia" w:ascii="Times New Roman" w:hAnsi="Times New Roman" w:eastAsia="宋体" w:cs="宋体"/>
                <w:color w:val="auto"/>
                <w:sz w:val="24"/>
                <w:lang w:val="en-US" w:eastAsia="zh-CN"/>
              </w:rPr>
              <w:t>1264号“安徽省环保厅关于征求安徽省生态保护红线规定方案（审议稿）意见的函”，本项目位于</w:t>
            </w:r>
            <w:r>
              <w:rPr>
                <w:rFonts w:hint="eastAsia" w:ascii="Times New Roman" w:hAnsi="Times New Roman" w:eastAsia="宋体" w:cs="Times New Roman"/>
                <w:color w:val="auto"/>
                <w:sz w:val="24"/>
                <w:szCs w:val="24"/>
                <w:highlight w:val="none"/>
                <w:lang w:val="en-US" w:eastAsia="zh-CN"/>
              </w:rPr>
              <w:t>安徽省芜湖市弋江区</w:t>
            </w:r>
            <w:r>
              <w:rPr>
                <w:rFonts w:hint="eastAsia" w:ascii="Times New Roman" w:hAnsi="Times New Roman" w:eastAsia="宋体" w:cs="宋体"/>
                <w:color w:val="auto"/>
                <w:sz w:val="24"/>
                <w:lang w:val="en-US" w:eastAsia="zh-CN"/>
              </w:rPr>
              <w:t>，周边无自然保护区、饮用水源保护区等生态保护目标，属规划工业用地，因此项目建设不涉及生态保护红线，符合生态保护红线要求。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②环境质量底线</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根据现状监测及收集的有关监测资料，本项目所在区域的大气、水、声环境质量较好，满足相应的标准要求。根据项目对污染源的预测评价，项目废气、废水、噪声、固废在本环评提出的污染防治措施处理的前提下，能达标排放和合理处置，对所在区域的环境影响甚微，不会突破环境质量底线。</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420" w:leftChars="200" w:right="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③资源利用上线</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项目运营过程中消耗一定量的水、电能等资源，但消耗量相对区域资源利用总量较少。项目用水来自园区市政管网取水，项目用电来自市政供电管网，生产主要原辅材料均在市场购买，因此项目原辅料、水、电供应充足。本项目在生产过程中尽可能做到合理利用资源和节约能耗。</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综上，项目原辅材料及资源供应充足，生产过程做到了合理利用资源和节约能耗，符合资源利用上限要求。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420" w:leftChars="200" w:right="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④环境准入负面清单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本项目的建设符合芜湖市城市总体规划，符合《加强长江经济带工业绿色发展的指导意见》中的相关要求，不属于禁止入园的企业，不属于《芜湖市企业投资项目负面清单》（2014年），符合《产业结构调整指导目录（2019年本）》的要求。本项目不属于环境准入负面清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项目符合《关于以改善环境质量为核心加强环境影响评价管理的通知》（环环评</w:t>
            </w:r>
            <w:r>
              <w:rPr>
                <w:rFonts w:hint="eastAsia" w:ascii="Times New Roman" w:hAnsi="Times New Roman" w:eastAsia="宋体" w:cs="宋体"/>
                <w:color w:val="auto"/>
                <w:sz w:val="24"/>
              </w:rPr>
              <w:t>〔</w:t>
            </w:r>
            <w:r>
              <w:rPr>
                <w:rFonts w:hint="eastAsia" w:ascii="Times New Roman" w:hAnsi="Times New Roman" w:eastAsia="宋体" w:cs="宋体"/>
                <w:color w:val="auto"/>
                <w:sz w:val="24"/>
                <w:lang w:val="en-US" w:eastAsia="zh-CN"/>
              </w:rPr>
              <w:t>2016</w:t>
            </w:r>
            <w:r>
              <w:rPr>
                <w:rFonts w:hint="eastAsia" w:ascii="Times New Roman" w:hAnsi="Times New Roman" w:eastAsia="宋体" w:cs="宋体"/>
                <w:color w:val="auto"/>
                <w:sz w:val="24"/>
              </w:rPr>
              <w:t>〕</w:t>
            </w:r>
            <w:r>
              <w:rPr>
                <w:rFonts w:hint="eastAsia" w:ascii="Times New Roman" w:hAnsi="Times New Roman" w:eastAsia="宋体" w:cs="宋体"/>
                <w:color w:val="auto"/>
                <w:sz w:val="24"/>
                <w:lang w:val="en-US" w:eastAsia="zh-CN"/>
              </w:rPr>
              <w:t>150号）中“三线一单”相关要求。</w:t>
            </w:r>
          </w:p>
          <w:p>
            <w:pPr>
              <w:tabs>
                <w:tab w:val="center" w:pos="4773"/>
              </w:tabs>
              <w:spacing w:line="480" w:lineRule="exact"/>
              <w:ind w:firstLine="482" w:firstLineChars="200"/>
              <w:rPr>
                <w:rFonts w:hint="eastAsia" w:ascii="Times New Roman" w:hAnsi="Times New Roman" w:eastAsia="宋体"/>
                <w:sz w:val="24"/>
                <w:szCs w:val="24"/>
              </w:rPr>
            </w:pPr>
            <w:r>
              <w:rPr>
                <w:rFonts w:hint="eastAsia" w:ascii="Times New Roman" w:hAnsi="Times New Roman" w:eastAsia="宋体"/>
                <w:b/>
                <w:bCs/>
                <w:sz w:val="24"/>
                <w:szCs w:val="24"/>
                <w:highlight w:val="none"/>
                <w:lang w:val="en-US" w:eastAsia="zh-CN"/>
              </w:rPr>
              <w:t>6</w:t>
            </w:r>
            <w:r>
              <w:rPr>
                <w:rFonts w:ascii="Times New Roman" w:hAnsi="Times New Roman" w:eastAsia="宋体"/>
                <w:b/>
                <w:bCs/>
                <w:sz w:val="24"/>
                <w:szCs w:val="24"/>
                <w:highlight w:val="none"/>
              </w:rPr>
              <w:t>、</w:t>
            </w:r>
            <w:r>
              <w:rPr>
                <w:rFonts w:hint="eastAsia" w:ascii="Times New Roman" w:hAnsi="Times New Roman" w:eastAsia="宋体"/>
                <w:sz w:val="24"/>
                <w:szCs w:val="24"/>
              </w:rPr>
              <w:t>总平面布置</w:t>
            </w:r>
          </w:p>
          <w:p>
            <w:pPr>
              <w:tabs>
                <w:tab w:val="center" w:pos="4773"/>
              </w:tabs>
              <w:spacing w:line="48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（1）平面布置</w:t>
            </w:r>
          </w:p>
          <w:p>
            <w:pPr>
              <w:spacing w:line="480" w:lineRule="exact"/>
              <w:ind w:firstLine="522"/>
              <w:rPr>
                <w:rFonts w:ascii="Times New Roman" w:hAnsi="Times New Roman" w:eastAsia="宋体"/>
                <w:sz w:val="24"/>
                <w:szCs w:val="24"/>
              </w:rPr>
            </w:pPr>
            <w:r>
              <w:rPr>
                <w:rFonts w:hint="eastAsia" w:ascii="Times New Roman" w:hAnsi="Times New Roman" w:eastAsia="宋体"/>
                <w:sz w:val="24"/>
                <w:szCs w:val="24"/>
              </w:rPr>
              <w:t>拟建</w:t>
            </w:r>
            <w:r>
              <w:rPr>
                <w:rFonts w:ascii="Times New Roman" w:hAnsi="Times New Roman" w:eastAsia="宋体"/>
                <w:sz w:val="24"/>
                <w:szCs w:val="24"/>
              </w:rPr>
              <w:t>项目总平面布置原则是在满足工艺及使用要求的前提下，对生产线路、工艺流程进行合理布局，做到运输联系紧凑和水、电、动力供应经济合理，创造良好的劳动卫生条件，安全生产，节约用地。</w:t>
            </w:r>
          </w:p>
          <w:p>
            <w:pPr>
              <w:spacing w:line="480" w:lineRule="exact"/>
              <w:ind w:firstLine="522"/>
              <w:rPr>
                <w:rFonts w:ascii="Times New Roman" w:hAnsi="Times New Roman" w:eastAsia="宋体"/>
                <w:sz w:val="24"/>
                <w:szCs w:val="24"/>
              </w:rPr>
            </w:pPr>
            <w:r>
              <w:rPr>
                <w:rFonts w:hint="eastAsia" w:ascii="Times New Roman" w:hAnsi="Times New Roman" w:eastAsia="宋体"/>
                <w:sz w:val="24"/>
                <w:szCs w:val="24"/>
              </w:rPr>
              <w:t>拟建</w:t>
            </w:r>
            <w:r>
              <w:rPr>
                <w:rFonts w:ascii="Times New Roman" w:hAnsi="Times New Roman" w:eastAsia="宋体"/>
                <w:sz w:val="24"/>
                <w:szCs w:val="24"/>
              </w:rPr>
              <w:t>项目</w:t>
            </w:r>
            <w:r>
              <w:rPr>
                <w:rFonts w:hint="eastAsia" w:ascii="Times New Roman" w:hAnsi="Times New Roman" w:eastAsia="宋体"/>
                <w:sz w:val="24"/>
                <w:szCs w:val="24"/>
                <w:lang w:val="en-US" w:eastAsia="zh-CN"/>
              </w:rPr>
              <w:t>二期</w:t>
            </w:r>
            <w:r>
              <w:rPr>
                <w:rFonts w:hint="eastAsia" w:ascii="Times New Roman" w:hAnsi="Times New Roman" w:eastAsia="宋体"/>
                <w:sz w:val="24"/>
                <w:szCs w:val="24"/>
              </w:rPr>
              <w:t>新建</w:t>
            </w:r>
            <w:r>
              <w:rPr>
                <w:rFonts w:hint="eastAsia" w:ascii="Times New Roman" w:hAnsi="Times New Roman" w:eastAsia="宋体"/>
                <w:sz w:val="24"/>
                <w:szCs w:val="24"/>
                <w:lang w:val="en-US" w:eastAsia="zh-CN"/>
              </w:rPr>
              <w:t>高铝</w:t>
            </w:r>
            <w:r>
              <w:rPr>
                <w:rFonts w:hint="eastAsia" w:ascii="Times New Roman" w:hAnsi="Times New Roman" w:eastAsia="宋体"/>
                <w:sz w:val="24"/>
                <w:szCs w:val="24"/>
              </w:rPr>
              <w:t>砖生产线（</w:t>
            </w:r>
            <w:r>
              <w:rPr>
                <w:rFonts w:ascii="Times New Roman" w:hAnsi="Times New Roman" w:eastAsia="宋体"/>
                <w:sz w:val="24"/>
                <w:szCs w:val="24"/>
              </w:rPr>
              <w:t>包含原料</w:t>
            </w:r>
            <w:r>
              <w:rPr>
                <w:rFonts w:hint="eastAsia"/>
                <w:sz w:val="24"/>
                <w:szCs w:val="24"/>
                <w:lang w:val="en-US" w:eastAsia="zh-CN"/>
              </w:rPr>
              <w:t>立</w:t>
            </w:r>
            <w:r>
              <w:rPr>
                <w:rFonts w:ascii="Times New Roman" w:hAnsi="Times New Roman" w:eastAsia="宋体"/>
                <w:sz w:val="24"/>
                <w:szCs w:val="24"/>
              </w:rPr>
              <w:t>库、</w:t>
            </w:r>
            <w:r>
              <w:rPr>
                <w:rFonts w:hint="eastAsia" w:ascii="Times New Roman" w:hAnsi="Times New Roman" w:eastAsia="宋体"/>
                <w:sz w:val="24"/>
                <w:szCs w:val="24"/>
              </w:rPr>
              <w:t>破粉碎配料混合</w:t>
            </w:r>
            <w:r>
              <w:rPr>
                <w:rFonts w:hint="eastAsia"/>
                <w:sz w:val="24"/>
                <w:szCs w:val="24"/>
                <w:lang w:val="en-US" w:eastAsia="zh-CN"/>
              </w:rPr>
              <w:t>工序</w:t>
            </w:r>
            <w:r>
              <w:rPr>
                <w:rFonts w:hint="eastAsia" w:ascii="Times New Roman" w:hAnsi="Times New Roman" w:eastAsia="宋体"/>
                <w:sz w:val="24"/>
                <w:szCs w:val="24"/>
              </w:rPr>
              <w:t>、成型</w:t>
            </w:r>
            <w:r>
              <w:rPr>
                <w:rFonts w:hint="eastAsia"/>
                <w:sz w:val="24"/>
                <w:szCs w:val="24"/>
                <w:lang w:val="en-US" w:eastAsia="zh-CN"/>
              </w:rPr>
              <w:t>工序</w:t>
            </w:r>
            <w:r>
              <w:rPr>
                <w:rFonts w:ascii="Times New Roman" w:hAnsi="Times New Roman" w:eastAsia="宋体"/>
                <w:sz w:val="24"/>
                <w:szCs w:val="24"/>
              </w:rPr>
              <w:t>及</w:t>
            </w:r>
            <w:r>
              <w:rPr>
                <w:rFonts w:hint="eastAsia" w:ascii="Times New Roman" w:hAnsi="Times New Roman" w:eastAsia="宋体"/>
                <w:sz w:val="24"/>
                <w:szCs w:val="24"/>
              </w:rPr>
              <w:t>干燥烧成包装</w:t>
            </w:r>
            <w:r>
              <w:rPr>
                <w:rFonts w:ascii="Times New Roman" w:hAnsi="Times New Roman" w:eastAsia="宋体"/>
                <w:sz w:val="24"/>
                <w:szCs w:val="24"/>
              </w:rPr>
              <w:t>成品</w:t>
            </w:r>
            <w:r>
              <w:rPr>
                <w:rFonts w:hint="eastAsia"/>
                <w:sz w:val="24"/>
                <w:szCs w:val="24"/>
                <w:lang w:val="en-US" w:eastAsia="zh-CN"/>
              </w:rPr>
              <w:t>工序</w:t>
            </w:r>
            <w:r>
              <w:rPr>
                <w:rFonts w:hint="eastAsia" w:ascii="Times New Roman" w:hAnsi="Times New Roman" w:eastAsia="宋体"/>
                <w:sz w:val="24"/>
                <w:szCs w:val="24"/>
              </w:rPr>
              <w:t>）等主要生产设施；配套新建车间变电所、空压站，利用原水泵房及水池等公用设施；</w:t>
            </w:r>
            <w:r>
              <w:rPr>
                <w:rFonts w:hint="eastAsia" w:ascii="Times New Roman" w:hAnsi="Times New Roman" w:eastAsia="宋体"/>
                <w:sz w:val="24"/>
                <w:szCs w:val="24"/>
                <w:lang w:val="en-US" w:eastAsia="zh-CN"/>
              </w:rPr>
              <w:t>新建</w:t>
            </w:r>
            <w:r>
              <w:rPr>
                <w:rFonts w:hint="eastAsia" w:ascii="Times New Roman" w:hAnsi="Times New Roman" w:eastAsia="宋体"/>
                <w:sz w:val="24"/>
                <w:szCs w:val="24"/>
              </w:rPr>
              <w:t>办公楼、食堂等行政生活福利设施。</w:t>
            </w:r>
          </w:p>
          <w:p>
            <w:pPr>
              <w:tabs>
                <w:tab w:val="center" w:pos="4773"/>
              </w:tabs>
              <w:spacing w:line="48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（2）竖向布置</w:t>
            </w:r>
          </w:p>
          <w:p>
            <w:pPr>
              <w:spacing w:line="480" w:lineRule="exact"/>
              <w:ind w:firstLine="522"/>
              <w:rPr>
                <w:rFonts w:ascii="Times New Roman" w:hAnsi="Times New Roman" w:eastAsia="宋体"/>
                <w:sz w:val="24"/>
                <w:szCs w:val="24"/>
              </w:rPr>
            </w:pPr>
            <w:r>
              <w:rPr>
                <w:rFonts w:ascii="Times New Roman" w:hAnsi="Times New Roman" w:eastAsia="宋体"/>
                <w:sz w:val="24"/>
                <w:szCs w:val="24"/>
              </w:rPr>
              <w:t>竖向布置按照平坡式布置，其布置原则是满足生产、运输、装卸及排水要求，保证与厂外和厂区内各生产线之间交通运输方便，厂区内雨水顺利排泄，力求土石方工程量最小。</w:t>
            </w:r>
          </w:p>
          <w:p>
            <w:pPr>
              <w:spacing w:line="360" w:lineRule="auto"/>
              <w:ind w:firstLine="482" w:firstLineChars="200"/>
              <w:rPr>
                <w:rFonts w:ascii="Times New Roman" w:hAnsi="Times New Roman" w:eastAsia="宋体"/>
                <w:b/>
                <w:bCs/>
                <w:sz w:val="24"/>
                <w:szCs w:val="22"/>
                <w:highlight w:val="none"/>
                <w:lang w:val="zh-CN"/>
              </w:rPr>
            </w:pPr>
            <w:r>
              <w:rPr>
                <w:rFonts w:hint="eastAsia" w:ascii="Times New Roman" w:hAnsi="Times New Roman" w:eastAsia="宋体"/>
                <w:b/>
                <w:bCs/>
                <w:sz w:val="24"/>
                <w:szCs w:val="22"/>
                <w:highlight w:val="none"/>
                <w:lang w:val="en-US" w:eastAsia="zh-CN"/>
              </w:rPr>
              <w:t>7</w:t>
            </w:r>
            <w:r>
              <w:rPr>
                <w:rFonts w:ascii="Times New Roman" w:hAnsi="Times New Roman" w:eastAsia="宋体"/>
                <w:b/>
                <w:bCs/>
                <w:sz w:val="24"/>
                <w:szCs w:val="22"/>
                <w:highlight w:val="none"/>
              </w:rPr>
              <w:t>、</w:t>
            </w:r>
            <w:r>
              <w:rPr>
                <w:rFonts w:ascii="Times New Roman" w:hAnsi="Times New Roman" w:eastAsia="宋体"/>
                <w:b/>
                <w:bCs/>
                <w:sz w:val="24"/>
                <w:szCs w:val="22"/>
                <w:highlight w:val="none"/>
                <w:lang w:val="zh-CN"/>
              </w:rPr>
              <w:t>《安徽省打赢蓝天保卫战三年行动计划实施方案》符合性分析</w:t>
            </w:r>
          </w:p>
          <w:p>
            <w:pPr>
              <w:spacing w:line="360" w:lineRule="auto"/>
              <w:ind w:firstLine="480" w:firstLineChars="200"/>
              <w:rPr>
                <w:rFonts w:ascii="Times New Roman" w:hAnsi="Times New Roman" w:eastAsia="宋体"/>
                <w:sz w:val="24"/>
                <w:szCs w:val="22"/>
                <w:highlight w:val="none"/>
                <w:lang w:val="zh-CN"/>
              </w:rPr>
            </w:pPr>
            <w:r>
              <w:rPr>
                <w:rFonts w:ascii="Times New Roman" w:hAnsi="Times New Roman" w:eastAsia="宋体"/>
                <w:sz w:val="24"/>
                <w:szCs w:val="22"/>
                <w:highlight w:val="none"/>
                <w:lang w:val="zh-CN"/>
              </w:rPr>
              <w:t>根据文件精神，与本项目相关的内容如下：</w:t>
            </w:r>
          </w:p>
          <w:p>
            <w:pPr>
              <w:spacing w:line="360" w:lineRule="auto"/>
              <w:ind w:firstLine="480" w:firstLineChars="200"/>
              <w:rPr>
                <w:rFonts w:ascii="Times New Roman" w:hAnsi="Times New Roman" w:eastAsia="宋体"/>
                <w:sz w:val="24"/>
                <w:szCs w:val="22"/>
                <w:highlight w:val="none"/>
                <w:lang w:val="zh-CN"/>
              </w:rPr>
            </w:pPr>
            <w:r>
              <w:rPr>
                <w:rFonts w:ascii="Times New Roman" w:hAnsi="Times New Roman" w:eastAsia="宋体"/>
                <w:sz w:val="24"/>
                <w:szCs w:val="22"/>
                <w:highlight w:val="none"/>
                <w:lang w:val="zh-CN"/>
              </w:rPr>
              <w:t>①优化产业布局。完成生态保护红线、环境质量底线、资源利用上线、环境准入清单编制工作，明确禁止和限制发展的行业、生产工艺和产业目录。严格执行国家高耗能、高污染和资源型行业准入条件，环境空气质量未达标城市应制定更严格的产业准入门槛。积极推行区域、规划环境影响评价，新、改、扩建钢铁、石化、化工、焦化、建材、有色等项目的环境影响评价，应满足区域、规划环评要求。加快区域产业调整。加快城市建成区重污染企业搬迁改造或关闭退出，推动实施一批水泥、平板玻璃、焦化、化工等重污染企业搬迁工程；城市钢铁企业要切实采取彻底关停、转型发展、就地改造、域外搬迁等方式，推动转型升级。禁止新增化工园区，加大现有化工园区整治力度。各地已明确的退城企业，要明确时间表，逾期不退城的予以停产。</w:t>
            </w:r>
          </w:p>
          <w:p>
            <w:pPr>
              <w:spacing w:line="360" w:lineRule="auto"/>
              <w:ind w:firstLine="480" w:firstLineChars="200"/>
              <w:rPr>
                <w:rFonts w:ascii="Times New Roman" w:hAnsi="Times New Roman" w:eastAsia="宋体"/>
                <w:sz w:val="24"/>
                <w:szCs w:val="22"/>
                <w:highlight w:val="none"/>
                <w:lang w:val="zh-CN"/>
              </w:rPr>
            </w:pPr>
            <w:r>
              <w:rPr>
                <w:rFonts w:ascii="Times New Roman" w:hAnsi="Times New Roman" w:eastAsia="宋体"/>
                <w:sz w:val="24"/>
                <w:szCs w:val="22"/>
                <w:highlight w:val="none"/>
                <w:lang w:val="zh-CN"/>
              </w:rPr>
              <w:t>②严控“两高”行业产能。严格执行国家关于“两高”产业准入目录和产能总量控制政策措施。严禁新增钢铁、焦化、电解铝、铸造、水泥和平板玻璃等产能；严格执行钢铁、水泥、平板玻璃等行业产能置换实施办法；新、改、扩建涉及大宗物料运输的建设项目，原则上不得采用公路运输。加大落后产能淘汰和过剩产能压减力度。严格执行质量、环保、能耗、安全等法规标准。严格按照《产业结构调整指导目录》，执行过剩产能淘汰标准。严防“地条钢”死灰复燃。</w:t>
            </w:r>
          </w:p>
          <w:p>
            <w:pPr>
              <w:spacing w:line="360" w:lineRule="auto"/>
              <w:ind w:firstLine="480" w:firstLineChars="200"/>
              <w:rPr>
                <w:rFonts w:ascii="Times New Roman" w:hAnsi="Times New Roman" w:eastAsia="宋体"/>
                <w:sz w:val="24"/>
                <w:szCs w:val="22"/>
                <w:highlight w:val="none"/>
                <w:lang w:val="zh-CN"/>
              </w:rPr>
            </w:pPr>
            <w:r>
              <w:rPr>
                <w:rFonts w:ascii="Times New Roman" w:hAnsi="Times New Roman" w:eastAsia="宋体"/>
                <w:sz w:val="24"/>
                <w:szCs w:val="22"/>
                <w:highlight w:val="none"/>
                <w:lang w:val="zh-CN"/>
              </w:rPr>
              <w:t>③强化“散乱污”企业综合整治。全面开展“散乱污”企业及集群综合整治行动。年产155台起重设备生产线项目环境影响报告表根据国家规定，细化“散乱污”企业及集群整治标准。实行拉网式排查，建立管理台账。按照“先停后治”的原则，实施分类处置。列入关停取缔类的，基本做到“两断三清”（切断工业用水、用电，清除原料、产品、生产设备）；列入整合搬迁类的，要按照产业发展规模化、现代化的原则，搬迁至合规工业园区并实施升级改造；列入升级改造类的，树立行业标杆，实施清洁生产技术改造，全面提升污染治理水平。建立“散乱污”企业动态管理机制，坚决杜绝“散乱污”企业项目建设和已取缔的“散乱污”企业异地转移、死灰复燃。以上工作任务2019年底前全面完成。</w:t>
            </w:r>
          </w:p>
          <w:p>
            <w:pPr>
              <w:spacing w:line="360" w:lineRule="auto"/>
              <w:ind w:firstLine="480" w:firstLineChars="200"/>
              <w:rPr>
                <w:rFonts w:ascii="Times New Roman" w:hAnsi="Times New Roman" w:eastAsia="宋体"/>
                <w:sz w:val="24"/>
                <w:szCs w:val="22"/>
                <w:highlight w:val="none"/>
                <w:lang w:val="zh-CN"/>
              </w:rPr>
            </w:pPr>
            <w:r>
              <w:rPr>
                <w:rFonts w:ascii="Times New Roman" w:hAnsi="Times New Roman" w:eastAsia="宋体"/>
                <w:sz w:val="24"/>
                <w:szCs w:val="22"/>
                <w:highlight w:val="none"/>
                <w:lang w:val="zh-CN"/>
              </w:rPr>
              <w:t>④深化工业污染治理。持续推进工业污染源全面达标排放，将烟气在线监测数据作为执法依据，加大超标处罚和联合惩戒力度，未达标排放的企业一律依法停产整治。建立覆盖所有固定污染源的企业排放许可制度，2020年底前，完成排污许可管理名录规定的行业许可证核发。</w:t>
            </w:r>
          </w:p>
          <w:p>
            <w:pPr>
              <w:spacing w:line="360" w:lineRule="auto"/>
              <w:ind w:firstLine="480" w:firstLineChars="200"/>
              <w:rPr>
                <w:rFonts w:ascii="Times New Roman" w:hAnsi="Times New Roman" w:eastAsia="宋体"/>
                <w:sz w:val="24"/>
                <w:szCs w:val="22"/>
                <w:highlight w:val="none"/>
                <w:lang w:val="zh-CN"/>
              </w:rPr>
            </w:pPr>
            <w:r>
              <w:rPr>
                <w:rFonts w:ascii="Times New Roman" w:hAnsi="Times New Roman" w:eastAsia="宋体"/>
                <w:sz w:val="24"/>
                <w:szCs w:val="22"/>
                <w:highlight w:val="none"/>
                <w:lang w:val="zh-CN"/>
              </w:rPr>
              <w:t>⑤推进重点行业污染治理升级改造。二氧化硫、氮氧化物、颗粒物、挥发性有机物全面执行大气污染物特别排放限值。推动实施钢铁等行业超低排放改造，城市建成区内焦炉实施炉体加罩封闭，并对废气进行收集处理。强化工业企业无组织排放管控。开展钢铁、建材、有色、火电、焦化、铸造等重点行业及燃煤锅炉无组织排放排查，建立管理台账，对物料（含废渣）运输、装卸、储存、转移和工艺过程等无组织排放实施深度治理。推进各类园区循环化改造、规范发展和提质增效。大力推进企业清洁生产。对各类开发区、工业园区、高新区等进行集中整治，限期进行达标改造，减少工业集聚区污染。完善园区集中供热设施，积极推广集中供热，2020年底前基本完成。有条件的工业集聚区建设集中喷涂工程中心，配备高效治污设施，替代企业独立喷涂工序。</w:t>
            </w:r>
          </w:p>
          <w:p>
            <w:pPr>
              <w:spacing w:line="360" w:lineRule="auto"/>
              <w:ind w:firstLine="482" w:firstLineChars="200"/>
              <w:rPr>
                <w:rFonts w:ascii="Times New Roman" w:hAnsi="Times New Roman" w:eastAsia="宋体"/>
                <w:b/>
                <w:sz w:val="24"/>
                <w:szCs w:val="24"/>
                <w:highlight w:val="none"/>
                <w:lang w:val="zh-CN"/>
              </w:rPr>
            </w:pPr>
            <w:r>
              <w:rPr>
                <w:rFonts w:hint="eastAsia" w:ascii="Times New Roman" w:hAnsi="Times New Roman" w:eastAsia="宋体"/>
                <w:b/>
                <w:sz w:val="24"/>
                <w:szCs w:val="24"/>
                <w:highlight w:val="none"/>
                <w:lang w:val="en-US" w:eastAsia="zh-CN"/>
              </w:rPr>
              <w:t>8</w:t>
            </w:r>
            <w:r>
              <w:rPr>
                <w:rFonts w:ascii="Times New Roman" w:hAnsi="Times New Roman" w:eastAsia="宋体"/>
                <w:b/>
                <w:sz w:val="24"/>
                <w:szCs w:val="24"/>
                <w:highlight w:val="none"/>
              </w:rPr>
              <w:t>、</w:t>
            </w:r>
            <w:r>
              <w:rPr>
                <w:rFonts w:ascii="Times New Roman" w:hAnsi="Times New Roman" w:eastAsia="宋体"/>
                <w:b/>
                <w:sz w:val="24"/>
                <w:szCs w:val="24"/>
                <w:highlight w:val="none"/>
                <w:lang w:val="zh-CN"/>
              </w:rPr>
              <w:t>与《中共安徽省委安徽省人民政府关于全面打造水清岸绿产业优美丽长江（安徽）经济带的实施意见》相符性分析</w:t>
            </w:r>
          </w:p>
          <w:p>
            <w:pPr>
              <w:spacing w:line="360" w:lineRule="auto"/>
              <w:ind w:firstLine="480" w:firstLineChars="200"/>
              <w:rPr>
                <w:rFonts w:ascii="Times New Roman" w:hAnsi="Times New Roman" w:eastAsia="宋体"/>
                <w:sz w:val="24"/>
                <w:highlight w:val="none"/>
                <w:lang w:val="zh-CN"/>
              </w:rPr>
            </w:pPr>
            <w:r>
              <w:rPr>
                <w:rFonts w:ascii="Times New Roman" w:hAnsi="Times New Roman" w:eastAsia="宋体"/>
                <w:sz w:val="24"/>
                <w:highlight w:val="none"/>
                <w:lang w:val="zh-CN"/>
              </w:rPr>
              <w:t>根据《中共安徽省委安徽省人民政府关于全面打造水清岸绿产业优美丽长江（安徽）经济带的实施意见》</w:t>
            </w:r>
          </w:p>
          <w:p>
            <w:pPr>
              <w:spacing w:line="360" w:lineRule="auto"/>
              <w:ind w:firstLine="480" w:firstLineChars="200"/>
              <w:rPr>
                <w:rFonts w:ascii="Times New Roman" w:hAnsi="Times New Roman" w:eastAsia="宋体"/>
                <w:sz w:val="24"/>
                <w:highlight w:val="none"/>
                <w:lang w:val="zh-CN"/>
              </w:rPr>
            </w:pPr>
            <w:r>
              <w:rPr>
                <w:rFonts w:ascii="Times New Roman" w:hAnsi="Times New Roman" w:eastAsia="宋体"/>
                <w:sz w:val="24"/>
                <w:highlight w:val="none"/>
                <w:lang w:val="zh-CN"/>
              </w:rPr>
              <w:t>1、严禁1公里范围内新建项目。自2018年7月起，长江干流及主要支流岸线1公里范围内，除必须实施的防洪护岸、河道治理、供水、航道整治、港口码头及集疏运通道、道路及跨江桥隧、公共管理、生态环境治理、国家重要基础设施等事关公共安全和公众利益建设项目，以及长江岸线规划确定的城市建设区内非工业项目外，不得新批建设项目，不得布局新的工业园区。已批未建设的项目，严格进行检查评估，不符合岸线规划和环保、安全要求的，全部依法依规停建搬迁。</w:t>
            </w:r>
          </w:p>
          <w:p>
            <w:pPr>
              <w:spacing w:line="360" w:lineRule="auto"/>
              <w:ind w:firstLine="480" w:firstLineChars="200"/>
              <w:rPr>
                <w:rFonts w:ascii="Times New Roman" w:hAnsi="Times New Roman" w:eastAsia="宋体"/>
                <w:sz w:val="24"/>
                <w:highlight w:val="none"/>
                <w:lang w:val="zh-CN"/>
              </w:rPr>
            </w:pPr>
            <w:r>
              <w:rPr>
                <w:rFonts w:ascii="Times New Roman" w:hAnsi="Times New Roman" w:eastAsia="宋体"/>
                <w:sz w:val="24"/>
                <w:highlight w:val="none"/>
                <w:lang w:val="zh-CN"/>
              </w:rPr>
              <w:t>2、严控5公里范围内新建项目。长江干流岸线5公里范围内，全面落实长江岸线功能定位要求，实施严格的化工项目市场准入制度，除提升安全、环保、节能水平，以及质量升级、结构调整的改扩建项目外，严格控制新建石油化工和煤化工等重化工、重污染项目。严禁新建布局重化工园区。合规化工园区内，严禁新批环境基础设施不完善或长期不能稳定运行的企业新建和扩建化工项目。</w:t>
            </w:r>
          </w:p>
          <w:p>
            <w:pPr>
              <w:spacing w:line="360" w:lineRule="auto"/>
              <w:ind w:firstLine="480" w:firstLineChars="200"/>
              <w:rPr>
                <w:rFonts w:ascii="Times New Roman" w:hAnsi="Times New Roman" w:eastAsia="宋体"/>
                <w:sz w:val="24"/>
                <w:szCs w:val="22"/>
                <w:highlight w:val="none"/>
                <w:lang w:val="zh-CN"/>
              </w:rPr>
            </w:pPr>
            <w:r>
              <w:rPr>
                <w:rFonts w:ascii="Times New Roman" w:hAnsi="Times New Roman" w:eastAsia="宋体"/>
                <w:sz w:val="24"/>
                <w:highlight w:val="none"/>
                <w:lang w:val="zh-CN"/>
              </w:rPr>
              <w:t>3、严管15公里范围内新建项目。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全面执行国家长江经济带市场准入禁止限制目录。实施备案、环评、安评、能评等并联审批，未落实生态保护、安全生产、能源</w:t>
            </w:r>
            <w:r>
              <w:rPr>
                <w:rFonts w:ascii="Times New Roman" w:hAnsi="Times New Roman" w:eastAsia="宋体"/>
                <w:sz w:val="24"/>
                <w:szCs w:val="22"/>
                <w:highlight w:val="none"/>
                <w:lang w:val="zh-CN"/>
              </w:rPr>
              <w:t>节约要求的，一律不得建设。</w:t>
            </w:r>
          </w:p>
          <w:p>
            <w:pPr>
              <w:spacing w:line="360" w:lineRule="auto"/>
              <w:ind w:firstLine="480" w:firstLineChars="200"/>
              <w:rPr>
                <w:rFonts w:ascii="Times New Roman" w:hAnsi="Times New Roman" w:eastAsia="宋体"/>
                <w:b w:val="0"/>
                <w:bCs w:val="0"/>
                <w:sz w:val="24"/>
                <w:szCs w:val="22"/>
                <w:highlight w:val="none"/>
                <w:lang w:val="zh-CN"/>
              </w:rPr>
            </w:pPr>
            <w:r>
              <w:rPr>
                <w:rFonts w:ascii="Times New Roman" w:hAnsi="Times New Roman" w:eastAsia="宋体"/>
                <w:b w:val="0"/>
                <w:bCs w:val="0"/>
                <w:sz w:val="24"/>
                <w:szCs w:val="22"/>
                <w:highlight w:val="none"/>
                <w:lang w:val="zh-CN"/>
              </w:rPr>
              <w:t>本项目位于</w:t>
            </w:r>
            <w:r>
              <w:rPr>
                <w:rFonts w:hint="eastAsia" w:ascii="Times New Roman" w:hAnsi="Times New Roman" w:eastAsia="宋体"/>
                <w:b w:val="0"/>
                <w:bCs w:val="0"/>
                <w:sz w:val="24"/>
                <w:szCs w:val="22"/>
                <w:highlight w:val="none"/>
                <w:lang w:val="zh-CN"/>
              </w:rPr>
              <w:t>芜湖市火龙岗街道永胜四联村</w:t>
            </w:r>
            <w:r>
              <w:rPr>
                <w:rFonts w:ascii="Times New Roman" w:hAnsi="Times New Roman" w:eastAsia="宋体"/>
                <w:b w:val="0"/>
                <w:bCs w:val="0"/>
                <w:sz w:val="24"/>
                <w:szCs w:val="22"/>
                <w:highlight w:val="none"/>
                <w:lang w:val="zh-CN"/>
              </w:rPr>
              <w:t>，距离长江干线约</w:t>
            </w:r>
            <w:r>
              <w:rPr>
                <w:rFonts w:hint="eastAsia" w:ascii="Times New Roman" w:hAnsi="Times New Roman" w:eastAsia="宋体"/>
                <w:b w:val="0"/>
                <w:bCs w:val="0"/>
                <w:sz w:val="24"/>
                <w:szCs w:val="22"/>
                <w:highlight w:val="none"/>
                <w:lang w:val="en-US" w:eastAsia="zh-CN"/>
              </w:rPr>
              <w:t>4.3</w:t>
            </w:r>
            <w:r>
              <w:rPr>
                <w:rFonts w:ascii="Times New Roman" w:hAnsi="Times New Roman" w:eastAsia="宋体"/>
                <w:b w:val="0"/>
                <w:bCs w:val="0"/>
                <w:sz w:val="24"/>
                <w:szCs w:val="22"/>
                <w:highlight w:val="none"/>
                <w:lang w:val="zh-CN"/>
              </w:rPr>
              <w:t>km，项目厂址不在长江干流及主要支流岸线1公里范围内：项目不属于石油化工、煤化工等重化工、重污染项目，符合长江干流岸线5公里范围内新建项目的要求；项目严格执行环境保护标准，主要污染物排放总量控制目标符合要求，区域环境容量满足建设需要，符合长江干流岸线5公里范围内建设项目的要求。</w:t>
            </w:r>
          </w:p>
          <w:p>
            <w:pPr>
              <w:pStyle w:val="14"/>
              <w:spacing w:after="0" w:line="360" w:lineRule="auto"/>
              <w:ind w:left="0" w:leftChars="0" w:firstLine="482" w:firstLineChars="200"/>
              <w:rPr>
                <w:rFonts w:ascii="Times New Roman" w:hAnsi="Times New Roman" w:eastAsia="宋体"/>
                <w:sz w:val="24"/>
                <w:szCs w:val="22"/>
                <w:highlight w:val="none"/>
              </w:rPr>
            </w:pPr>
            <w:r>
              <w:rPr>
                <w:rFonts w:hint="eastAsia" w:ascii="Times New Roman" w:hAnsi="Times New Roman" w:eastAsia="宋体"/>
                <w:b/>
                <w:bCs/>
                <w:sz w:val="24"/>
                <w:highlight w:val="none"/>
                <w:lang w:val="en-US" w:eastAsia="zh-CN"/>
              </w:rPr>
              <w:t>9</w:t>
            </w:r>
            <w:r>
              <w:rPr>
                <w:rFonts w:ascii="Times New Roman" w:hAnsi="Times New Roman" w:eastAsia="宋体"/>
                <w:b/>
                <w:bCs/>
                <w:sz w:val="24"/>
                <w:szCs w:val="22"/>
                <w:highlight w:val="none"/>
              </w:rPr>
              <w:t>、与长江经济带生态环境保护规划相符性分析</w:t>
            </w:r>
          </w:p>
          <w:p>
            <w:pPr>
              <w:pStyle w:val="14"/>
              <w:spacing w:after="0" w:line="360" w:lineRule="auto"/>
              <w:ind w:left="0" w:leftChars="0" w:firstLine="480" w:firstLineChars="200"/>
              <w:rPr>
                <w:rFonts w:ascii="Times New Roman" w:hAnsi="Times New Roman" w:eastAsia="宋体"/>
                <w:sz w:val="24"/>
                <w:szCs w:val="22"/>
                <w:highlight w:val="none"/>
              </w:rPr>
            </w:pPr>
            <w:r>
              <w:rPr>
                <w:rFonts w:ascii="Times New Roman" w:hAnsi="Times New Roman" w:eastAsia="宋体"/>
                <w:sz w:val="24"/>
                <w:szCs w:val="22"/>
                <w:highlight w:val="none"/>
              </w:rPr>
              <w:t>推进重点领域节水。强化工业节水，以南京、武汉、长沙、重庆、成都等城市为重点，实施高耗水行业生产工艺节水改造，降低单位产品用水量。</w:t>
            </w:r>
          </w:p>
          <w:p>
            <w:pPr>
              <w:pStyle w:val="14"/>
              <w:spacing w:after="0" w:line="360" w:lineRule="auto"/>
              <w:ind w:left="0" w:leftChars="0" w:firstLine="480" w:firstLineChars="200"/>
              <w:rPr>
                <w:rFonts w:ascii="Times New Roman" w:hAnsi="Times New Roman" w:eastAsia="宋体"/>
                <w:sz w:val="24"/>
                <w:szCs w:val="22"/>
                <w:highlight w:val="none"/>
              </w:rPr>
            </w:pPr>
            <w:r>
              <w:rPr>
                <w:rFonts w:ascii="Times New Roman" w:hAnsi="Times New Roman" w:eastAsia="宋体"/>
                <w:sz w:val="24"/>
                <w:szCs w:val="22"/>
                <w:highlight w:val="none"/>
              </w:rPr>
              <w:t>划定并严守生态保护红线。生态保护红线原则上按禁止开发区域的要求进行管理，严禁不符合主体功能定位的各类开发活动，严禁任意改变用途。</w:t>
            </w:r>
          </w:p>
          <w:p>
            <w:pPr>
              <w:pStyle w:val="14"/>
              <w:spacing w:after="0" w:line="360" w:lineRule="auto"/>
              <w:ind w:left="0" w:leftChars="0" w:firstLine="480" w:firstLineChars="200"/>
              <w:rPr>
                <w:rFonts w:ascii="Times New Roman" w:hAnsi="Times New Roman" w:eastAsia="宋体"/>
                <w:sz w:val="24"/>
                <w:szCs w:val="22"/>
                <w:highlight w:val="none"/>
              </w:rPr>
            </w:pPr>
            <w:r>
              <w:rPr>
                <w:rFonts w:ascii="Times New Roman" w:hAnsi="Times New Roman" w:eastAsia="宋体"/>
                <w:sz w:val="24"/>
                <w:szCs w:val="22"/>
                <w:highlight w:val="none"/>
              </w:rPr>
              <w:t>全面推进长江经济带126个地级及以上城市空气质量限期达标工作，已达标城市空气质量进一步巩固，未达标城市要制定并实施分阶段达标计划。完善大气污染物排放总量控制制度，加强二氧化硫、氮氧化物、烟粉尘、挥发性有机物等主要污染物综合防治。</w:t>
            </w:r>
          </w:p>
          <w:p>
            <w:pPr>
              <w:pStyle w:val="14"/>
              <w:spacing w:after="0" w:line="360" w:lineRule="auto"/>
              <w:ind w:left="0" w:leftChars="0" w:firstLine="480" w:firstLineChars="200"/>
              <w:rPr>
                <w:rFonts w:ascii="Times New Roman" w:hAnsi="Times New Roman" w:eastAsia="宋体"/>
                <w:sz w:val="24"/>
                <w:szCs w:val="22"/>
                <w:highlight w:val="none"/>
              </w:rPr>
            </w:pPr>
            <w:r>
              <w:rPr>
                <w:rFonts w:ascii="Times New Roman" w:hAnsi="Times New Roman" w:eastAsia="宋体"/>
                <w:sz w:val="24"/>
                <w:szCs w:val="22"/>
                <w:highlight w:val="none"/>
              </w:rPr>
              <w:t>禁止在长江干流自然保护区、风景名胜区、“四大家鱼”产卵场等管控重点区域新建工业类和污染类项目。</w:t>
            </w:r>
          </w:p>
          <w:p>
            <w:pPr>
              <w:pStyle w:val="14"/>
              <w:spacing w:after="0" w:line="360" w:lineRule="auto"/>
              <w:ind w:left="0" w:leftChars="0" w:firstLine="480" w:firstLineChars="200"/>
              <w:rPr>
                <w:rFonts w:ascii="Times New Roman" w:hAnsi="Times New Roman" w:eastAsia="宋体"/>
                <w:b w:val="0"/>
                <w:bCs w:val="0"/>
                <w:sz w:val="24"/>
                <w:szCs w:val="22"/>
                <w:highlight w:val="none"/>
              </w:rPr>
            </w:pPr>
            <w:r>
              <w:rPr>
                <w:rFonts w:ascii="Times New Roman" w:hAnsi="Times New Roman" w:eastAsia="宋体"/>
                <w:b w:val="0"/>
                <w:bCs w:val="0"/>
                <w:sz w:val="24"/>
                <w:szCs w:val="22"/>
                <w:highlight w:val="none"/>
              </w:rPr>
              <w:t>项目不在安徽省生态保护红线范围内，本项目位于</w:t>
            </w:r>
            <w:r>
              <w:rPr>
                <w:rFonts w:hint="eastAsia" w:ascii="Times New Roman" w:hAnsi="Times New Roman" w:eastAsia="宋体"/>
                <w:b w:val="0"/>
                <w:bCs w:val="0"/>
                <w:sz w:val="24"/>
                <w:szCs w:val="22"/>
                <w:highlight w:val="none"/>
              </w:rPr>
              <w:t>芜湖市火龙岗街道永胜四联村</w:t>
            </w:r>
            <w:r>
              <w:rPr>
                <w:rFonts w:ascii="Times New Roman" w:hAnsi="Times New Roman" w:eastAsia="宋体"/>
                <w:b w:val="0"/>
                <w:bCs w:val="0"/>
                <w:sz w:val="24"/>
                <w:szCs w:val="22"/>
                <w:highlight w:val="none"/>
              </w:rPr>
              <w:t>，芜湖市属于长江经济带126个地级及以上城市之一，项目实施总量控制制度，生产过程产生的</w:t>
            </w:r>
            <w:r>
              <w:rPr>
                <w:rFonts w:hint="eastAsia" w:ascii="Times New Roman" w:hAnsi="Times New Roman" w:eastAsia="宋体"/>
                <w:b w:val="0"/>
                <w:bCs w:val="0"/>
                <w:sz w:val="24"/>
                <w:szCs w:val="22"/>
                <w:highlight w:val="none"/>
                <w:lang w:eastAsia="zh-CN"/>
              </w:rPr>
              <w:t>污染物</w:t>
            </w:r>
            <w:r>
              <w:rPr>
                <w:rFonts w:ascii="Times New Roman" w:hAnsi="Times New Roman" w:eastAsia="宋体"/>
                <w:b w:val="0"/>
                <w:bCs w:val="0"/>
                <w:sz w:val="24"/>
                <w:szCs w:val="22"/>
                <w:highlight w:val="none"/>
              </w:rPr>
              <w:t>经处理后可达标排放，各类总量控制因子和控制量向环保主管部门申请后实施：项目采用清洁能源，对挥发性有机物采取治理措施，大大减少有机废气的排放。</w:t>
            </w:r>
          </w:p>
          <w:p>
            <w:pPr>
              <w:pStyle w:val="14"/>
              <w:spacing w:after="0" w:line="360" w:lineRule="auto"/>
              <w:ind w:left="0" w:leftChars="0" w:firstLine="480" w:firstLineChars="200"/>
              <w:rPr>
                <w:rFonts w:ascii="Times New Roman" w:hAnsi="Times New Roman" w:eastAsia="宋体"/>
                <w:b w:val="0"/>
                <w:bCs w:val="0"/>
                <w:sz w:val="24"/>
                <w:szCs w:val="22"/>
                <w:highlight w:val="none"/>
              </w:rPr>
            </w:pPr>
            <w:r>
              <w:rPr>
                <w:rFonts w:ascii="Times New Roman" w:hAnsi="Times New Roman" w:eastAsia="宋体"/>
                <w:b w:val="0"/>
                <w:bCs w:val="0"/>
                <w:sz w:val="24"/>
                <w:szCs w:val="22"/>
                <w:highlight w:val="none"/>
              </w:rPr>
              <w:t>项目用地不涉及长江干流自然保护区、风景名胜区、“四大家鱼”产卵场等管控重点区。</w:t>
            </w:r>
          </w:p>
          <w:p>
            <w:pPr>
              <w:pStyle w:val="14"/>
              <w:spacing w:after="0" w:line="360" w:lineRule="auto"/>
              <w:ind w:left="0" w:leftChars="0"/>
              <w:rPr>
                <w:rFonts w:ascii="Times New Roman" w:hAnsi="Times New Roman" w:eastAsia="宋体"/>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1" w:hRule="atLeast"/>
          <w:jc w:val="center"/>
        </w:trPr>
        <w:tc>
          <w:tcPr>
            <w:tcW w:w="9242" w:type="dxa"/>
            <w:gridSpan w:val="6"/>
            <w:tcBorders>
              <w:top w:val="single" w:color="auto" w:sz="4" w:space="0"/>
            </w:tcBorders>
            <w:noWrap w:val="0"/>
            <w:vAlign w:val="top"/>
          </w:tcPr>
          <w:p>
            <w:pPr>
              <w:spacing w:line="360" w:lineRule="auto"/>
              <w:rPr>
                <w:rFonts w:ascii="Times New Roman" w:hAnsi="Times New Roman" w:eastAsia="宋体"/>
                <w:b/>
                <w:color w:val="000000"/>
                <w:sz w:val="28"/>
                <w:szCs w:val="28"/>
                <w:highlight w:val="none"/>
              </w:rPr>
            </w:pPr>
            <w:r>
              <w:rPr>
                <w:rFonts w:ascii="Times New Roman" w:hAnsi="Times New Roman" w:eastAsia="宋体"/>
                <w:b/>
                <w:color w:val="000000"/>
                <w:sz w:val="28"/>
                <w:szCs w:val="28"/>
                <w:highlight w:val="none"/>
              </w:rPr>
              <w:t>与本项目有关的原有污染情况及主要环境问题：</w:t>
            </w:r>
          </w:p>
          <w:p>
            <w:pPr>
              <w:spacing w:line="360" w:lineRule="auto"/>
              <w:ind w:firstLine="480" w:firstLineChars="200"/>
              <w:rPr>
                <w:rFonts w:ascii="Times New Roman" w:hAnsi="Times New Roman" w:eastAsia="宋体"/>
                <w:sz w:val="24"/>
                <w:highlight w:val="none"/>
              </w:rPr>
            </w:pPr>
            <w:r>
              <w:rPr>
                <w:rFonts w:ascii="Times New Roman" w:hAnsi="Times New Roman" w:eastAsia="宋体"/>
                <w:sz w:val="24"/>
                <w:highlight w:val="none"/>
              </w:rPr>
              <w:t>1、现有项目基本情况</w:t>
            </w:r>
          </w:p>
          <w:p>
            <w:pPr>
              <w:pStyle w:val="16"/>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default" w:ascii="Times New Roman" w:hAnsi="Times New Roman" w:eastAsia="宋体" w:cs="Times New Roman"/>
                <w:color w:val="auto"/>
                <w:kern w:val="2"/>
                <w:sz w:val="24"/>
                <w:szCs w:val="22"/>
                <w:lang w:val="en-US" w:eastAsia="zh-CN" w:bidi="ar-SA"/>
              </w:rPr>
            </w:pPr>
            <w:r>
              <w:rPr>
                <w:rFonts w:hint="default" w:ascii="Times New Roman" w:hAnsi="Times New Roman" w:eastAsia="宋体" w:cs="Times New Roman"/>
                <w:color w:val="auto"/>
                <w:kern w:val="2"/>
                <w:sz w:val="24"/>
                <w:szCs w:val="22"/>
                <w:lang w:val="en-US" w:eastAsia="zh-CN" w:bidi="ar-SA"/>
              </w:rPr>
              <w:t>安徽海螺暹罗耐火材料有限公司</w:t>
            </w:r>
            <w:r>
              <w:rPr>
                <w:rFonts w:hint="eastAsia" w:ascii="Times New Roman" w:hAnsi="Times New Roman" w:eastAsia="宋体" w:cs="Times New Roman"/>
                <w:color w:val="auto"/>
                <w:kern w:val="2"/>
                <w:sz w:val="24"/>
                <w:szCs w:val="22"/>
                <w:lang w:val="en-US" w:eastAsia="zh-CN" w:bidi="ar-SA"/>
              </w:rPr>
              <w:t>于2011年6月委托安徽省环境科学研究院编制</w:t>
            </w:r>
            <w:r>
              <w:rPr>
                <w:rFonts w:hint="eastAsia" w:ascii="Times New Roman" w:hAnsi="Times New Roman" w:eastAsia="宋体"/>
                <w:sz w:val="24"/>
                <w:szCs w:val="24"/>
              </w:rPr>
              <w:t>安徽海螺暹罗耐火材料有限公司15万t/a耐火材料项目</w:t>
            </w:r>
            <w:r>
              <w:rPr>
                <w:rFonts w:hint="eastAsia" w:ascii="Times New Roman" w:hAnsi="Times New Roman" w:eastAsia="宋体"/>
                <w:sz w:val="24"/>
                <w:szCs w:val="24"/>
                <w:lang w:eastAsia="zh-CN"/>
              </w:rPr>
              <w:t>环境影响报告表，该项目已于</w:t>
            </w:r>
            <w:r>
              <w:rPr>
                <w:rFonts w:hint="eastAsia" w:ascii="Times New Roman" w:hAnsi="Times New Roman" w:eastAsia="宋体"/>
                <w:sz w:val="24"/>
                <w:szCs w:val="24"/>
                <w:lang w:val="en-US" w:eastAsia="zh-CN"/>
              </w:rPr>
              <w:t>2011年8月16日经原芜湖市环境保护局批复。其中项目分为两期建设，一期建设内容为5万t/a水泥窑用碱性耐火材料生产线。目前一期建设内容已建成投产并于2013年原芜湖市环境保护局“环验【2013】041号”文批准验收。</w:t>
            </w:r>
          </w:p>
          <w:p>
            <w:pPr>
              <w:numPr>
                <w:ilvl w:val="0"/>
                <w:numId w:val="2"/>
              </w:numPr>
              <w:spacing w:line="360" w:lineRule="auto"/>
              <w:ind w:firstLine="480" w:firstLineChars="200"/>
              <w:rPr>
                <w:rFonts w:ascii="Times New Roman" w:hAnsi="Times New Roman" w:eastAsia="宋体"/>
              </w:rPr>
            </w:pPr>
            <w:r>
              <w:rPr>
                <w:rFonts w:ascii="Times New Roman" w:hAnsi="Times New Roman" w:eastAsia="宋体"/>
                <w:sz w:val="24"/>
                <w:highlight w:val="none"/>
              </w:rPr>
              <w:t>现有项目主要工艺流程见下图：</w:t>
            </w:r>
          </w:p>
          <w:p>
            <w:pPr>
              <w:pStyle w:val="2"/>
              <w:rPr>
                <w:rFonts w:ascii="Times New Roman" w:hAnsi="Times New Roman" w:eastAsia="宋体"/>
                <w:sz w:val="24"/>
                <w:highlight w:val="none"/>
              </w:rPr>
            </w:pPr>
          </w:p>
          <w:p>
            <w:pPr>
              <w:pStyle w:val="2"/>
              <w:rPr>
                <w:rFonts w:ascii="Times New Roman" w:hAnsi="Times New Roman" w:eastAsia="宋体"/>
                <w:sz w:val="24"/>
                <w:highlight w:val="none"/>
              </w:rPr>
            </w:pPr>
          </w:p>
          <w:p>
            <w:pPr>
              <w:pStyle w:val="2"/>
              <w:rPr>
                <w:rFonts w:ascii="Times New Roman" w:hAnsi="Times New Roman" w:eastAsia="宋体"/>
                <w:sz w:val="24"/>
                <w:highlight w:val="none"/>
              </w:rPr>
            </w:pPr>
          </w:p>
          <w:p>
            <w:pPr>
              <w:pStyle w:val="2"/>
              <w:rPr>
                <w:rFonts w:ascii="Times New Roman" w:hAnsi="Times New Roman" w:eastAsia="宋体"/>
                <w:sz w:val="24"/>
                <w:highlight w:val="none"/>
              </w:rPr>
            </w:pPr>
          </w:p>
          <w:p>
            <w:pPr>
              <w:pStyle w:val="2"/>
              <w:rPr>
                <w:rFonts w:ascii="Times New Roman" w:hAnsi="Times New Roman" w:eastAsia="宋体"/>
                <w:sz w:val="24"/>
                <w:highlight w:val="none"/>
              </w:rPr>
            </w:pPr>
          </w:p>
          <w:p>
            <w:pPr>
              <w:pStyle w:val="2"/>
              <w:rPr>
                <w:rFonts w:ascii="Times New Roman" w:hAnsi="Times New Roman" w:eastAsia="宋体"/>
                <w:sz w:val="24"/>
                <w:highlight w:val="none"/>
              </w:rPr>
            </w:pPr>
          </w:p>
          <w:p>
            <w:pPr>
              <w:spacing w:line="360" w:lineRule="auto"/>
              <w:jc w:val="center"/>
              <w:rPr>
                <w:rFonts w:ascii="Times New Roman" w:hAnsi="Times New Roman" w:eastAsia="宋体"/>
                <w:highlight w:val="none"/>
              </w:rPr>
            </w:pPr>
            <w:r>
              <w:rPr>
                <w:rFonts w:hint="eastAsia" w:ascii="Times New Roman" w:hAnsi="Times New Roman" w:eastAsia="宋体"/>
                <w:sz w:val="24"/>
                <w:szCs w:val="24"/>
              </w:rPr>
              <mc:AlternateContent>
                <mc:Choice Requires="wpg">
                  <w:drawing>
                    <wp:anchor distT="0" distB="0" distL="114300" distR="114300" simplePos="0" relativeHeight="251666432" behindDoc="0" locked="0" layoutInCell="1" allowOverlap="1">
                      <wp:simplePos x="0" y="0"/>
                      <wp:positionH relativeFrom="column">
                        <wp:posOffset>-13335</wp:posOffset>
                      </wp:positionH>
                      <wp:positionV relativeFrom="paragraph">
                        <wp:posOffset>13335</wp:posOffset>
                      </wp:positionV>
                      <wp:extent cx="5271135" cy="8526780"/>
                      <wp:effectExtent l="4445" t="4445" r="1270" b="0"/>
                      <wp:wrapNone/>
                      <wp:docPr id="205" name="组合 205"/>
                      <wp:cNvGraphicFramePr/>
                      <a:graphic xmlns:a="http://schemas.openxmlformats.org/drawingml/2006/main">
                        <a:graphicData uri="http://schemas.microsoft.com/office/word/2010/wordprocessingGroup">
                          <wpg:wgp>
                            <wpg:cNvGrpSpPr/>
                            <wpg:grpSpPr>
                              <a:xfrm>
                                <a:off x="915035" y="826135"/>
                                <a:ext cx="5271135" cy="8526780"/>
                                <a:chOff x="878" y="816"/>
                                <a:chExt cx="8888" cy="14976"/>
                              </a:xfrm>
                              <a:effectLst/>
                            </wpg:grpSpPr>
                            <wps:wsp>
                              <wps:cNvPr id="2" name="矩形 2"/>
                              <wps:cNvSpPr/>
                              <wps:spPr>
                                <a:xfrm>
                                  <a:off x="5558" y="81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原料库</w:t>
                                    </w:r>
                                  </w:p>
                                </w:txbxContent>
                              </wps:txbx>
                              <wps:bodyPr vert="horz" wrap="square" lIns="0" tIns="0" rIns="0" bIns="0" anchor="t" upright="1"/>
                            </wps:wsp>
                            <wps:wsp>
                              <wps:cNvPr id="38" name="直接连接符 38"/>
                              <wps:cNvCnPr/>
                              <wps:spPr>
                                <a:xfrm>
                                  <a:off x="6278" y="1128"/>
                                  <a:ext cx="0" cy="468"/>
                                </a:xfrm>
                                <a:prstGeom prst="line">
                                  <a:avLst/>
                                </a:prstGeom>
                                <a:ln w="9525" cap="flat" cmpd="sng">
                                  <a:solidFill>
                                    <a:srgbClr val="000000"/>
                                  </a:solidFill>
                                  <a:prstDash val="solid"/>
                                  <a:headEnd type="none" w="med" len="med"/>
                                  <a:tailEnd type="triangle" w="sm" len="med"/>
                                </a:ln>
                                <a:effectLst/>
                              </wps:spPr>
                              <wps:bodyPr upright="1"/>
                            </wps:wsp>
                            <wps:wsp>
                              <wps:cNvPr id="57" name="矩形 57"/>
                              <wps:cNvSpPr/>
                              <wps:spPr>
                                <a:xfrm>
                                  <a:off x="5558" y="159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装载机</w:t>
                                    </w:r>
                                  </w:p>
                                </w:txbxContent>
                              </wps:txbx>
                              <wps:bodyPr vert="horz" wrap="square" lIns="0" tIns="0" rIns="0" bIns="0" anchor="t" upright="1"/>
                            </wps:wsp>
                            <wps:wsp>
                              <wps:cNvPr id="58" name="直接连接符 58"/>
                              <wps:cNvCnPr/>
                              <wps:spPr>
                                <a:xfrm>
                                  <a:off x="6278" y="1908"/>
                                  <a:ext cx="0" cy="468"/>
                                </a:xfrm>
                                <a:prstGeom prst="line">
                                  <a:avLst/>
                                </a:prstGeom>
                                <a:ln w="9525" cap="flat" cmpd="sng">
                                  <a:solidFill>
                                    <a:srgbClr val="000000"/>
                                  </a:solidFill>
                                  <a:prstDash val="solid"/>
                                  <a:headEnd type="none" w="med" len="med"/>
                                  <a:tailEnd type="triangle" w="sm" len="med"/>
                                </a:ln>
                                <a:effectLst/>
                              </wps:spPr>
                              <wps:bodyPr upright="1"/>
                            </wps:wsp>
                            <wps:wsp>
                              <wps:cNvPr id="59" name="矩形 59"/>
                              <wps:cNvSpPr/>
                              <wps:spPr>
                                <a:xfrm>
                                  <a:off x="5558" y="237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颚式破碎机</w:t>
                                    </w:r>
                                  </w:p>
                                </w:txbxContent>
                              </wps:txbx>
                              <wps:bodyPr vert="horz" wrap="square" lIns="0" tIns="0" rIns="0" bIns="0" anchor="t" upright="1"/>
                            </wps:wsp>
                            <wps:wsp>
                              <wps:cNvPr id="60" name="直接连接符 60"/>
                              <wps:cNvCnPr/>
                              <wps:spPr>
                                <a:xfrm>
                                  <a:off x="6278" y="2688"/>
                                  <a:ext cx="0" cy="468"/>
                                </a:xfrm>
                                <a:prstGeom prst="line">
                                  <a:avLst/>
                                </a:prstGeom>
                                <a:ln w="9525" cap="flat" cmpd="sng">
                                  <a:solidFill>
                                    <a:srgbClr val="000000"/>
                                  </a:solidFill>
                                  <a:prstDash val="solid"/>
                                  <a:headEnd type="none" w="med" len="med"/>
                                  <a:tailEnd type="triangle" w="sm" len="med"/>
                                </a:ln>
                                <a:effectLst/>
                              </wps:spPr>
                              <wps:bodyPr upright="1"/>
                            </wps:wsp>
                            <wps:wsp>
                              <wps:cNvPr id="61" name="矩形 61"/>
                              <wps:cNvSpPr/>
                              <wps:spPr>
                                <a:xfrm>
                                  <a:off x="5558" y="315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提升机</w:t>
                                    </w:r>
                                  </w:p>
                                </w:txbxContent>
                              </wps:txbx>
                              <wps:bodyPr vert="horz" wrap="square" lIns="0" tIns="0" rIns="0" bIns="0" anchor="t" upright="1"/>
                            </wps:wsp>
                            <wps:wsp>
                              <wps:cNvPr id="62" name="直接连接符 62"/>
                              <wps:cNvCnPr/>
                              <wps:spPr>
                                <a:xfrm>
                                  <a:off x="6278" y="3468"/>
                                  <a:ext cx="0" cy="468"/>
                                </a:xfrm>
                                <a:prstGeom prst="line">
                                  <a:avLst/>
                                </a:prstGeom>
                                <a:ln w="9525" cap="flat" cmpd="sng">
                                  <a:solidFill>
                                    <a:srgbClr val="000000"/>
                                  </a:solidFill>
                                  <a:prstDash val="solid"/>
                                  <a:headEnd type="none" w="med" len="med"/>
                                  <a:tailEnd type="triangle" w="sm" len="med"/>
                                </a:ln>
                                <a:effectLst/>
                              </wps:spPr>
                              <wps:bodyPr upright="1"/>
                            </wps:wsp>
                            <wps:wsp>
                              <wps:cNvPr id="63" name="矩形 63"/>
                              <wps:cNvSpPr/>
                              <wps:spPr>
                                <a:xfrm>
                                  <a:off x="5558" y="5808"/>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直线振动筛</w:t>
                                    </w:r>
                                  </w:p>
                                </w:txbxContent>
                              </wps:txbx>
                              <wps:bodyPr vert="horz" wrap="square" lIns="0" tIns="0" rIns="0" bIns="0" anchor="t" upright="1"/>
                            </wps:wsp>
                            <wps:wsp>
                              <wps:cNvPr id="64" name="直接连接符 64"/>
                              <wps:cNvCnPr/>
                              <wps:spPr>
                                <a:xfrm>
                                  <a:off x="6278" y="6120"/>
                                  <a:ext cx="0" cy="780"/>
                                </a:xfrm>
                                <a:prstGeom prst="line">
                                  <a:avLst/>
                                </a:prstGeom>
                                <a:ln w="9525" cap="flat" cmpd="sng">
                                  <a:solidFill>
                                    <a:srgbClr val="000000"/>
                                  </a:solidFill>
                                  <a:prstDash val="solid"/>
                                  <a:headEnd type="none" w="med" len="med"/>
                                  <a:tailEnd type="triangle" w="sm" len="med"/>
                                </a:ln>
                                <a:effectLst/>
                              </wps:spPr>
                              <wps:bodyPr upright="1"/>
                            </wps:wsp>
                            <wps:wsp>
                              <wps:cNvPr id="65" name="矩形 65"/>
                              <wps:cNvSpPr/>
                              <wps:spPr>
                                <a:xfrm>
                                  <a:off x="5558" y="6900"/>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磁选机</w:t>
                                    </w:r>
                                  </w:p>
                                </w:txbxContent>
                              </wps:txbx>
                              <wps:bodyPr vert="horz" wrap="square" lIns="0" tIns="0" rIns="0" bIns="0" anchor="t" upright="1"/>
                            </wps:wsp>
                            <wps:wsp>
                              <wps:cNvPr id="66" name="直接连接符 66"/>
                              <wps:cNvCnPr/>
                              <wps:spPr>
                                <a:xfrm>
                                  <a:off x="6278" y="7212"/>
                                  <a:ext cx="0" cy="624"/>
                                </a:xfrm>
                                <a:prstGeom prst="line">
                                  <a:avLst/>
                                </a:prstGeom>
                                <a:ln w="9525" cap="flat" cmpd="sng">
                                  <a:solidFill>
                                    <a:srgbClr val="000000"/>
                                  </a:solidFill>
                                  <a:prstDash val="solid"/>
                                  <a:headEnd type="none" w="med" len="med"/>
                                  <a:tailEnd type="triangle" w="sm" len="med"/>
                                </a:ln>
                                <a:effectLst/>
                              </wps:spPr>
                              <wps:bodyPr upright="1"/>
                            </wps:wsp>
                            <wps:wsp>
                              <wps:cNvPr id="67" name="矩形 67"/>
                              <wps:cNvSpPr/>
                              <wps:spPr>
                                <a:xfrm>
                                  <a:off x="5558" y="783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配料仓</w:t>
                                    </w:r>
                                  </w:p>
                                </w:txbxContent>
                              </wps:txbx>
                              <wps:bodyPr vert="horz" wrap="square" lIns="0" tIns="0" rIns="0" bIns="0" anchor="t" upright="1"/>
                            </wps:wsp>
                            <wps:wsp>
                              <wps:cNvPr id="68" name="直接连接符 68"/>
                              <wps:cNvCnPr/>
                              <wps:spPr>
                                <a:xfrm>
                                  <a:off x="6278" y="8148"/>
                                  <a:ext cx="0" cy="624"/>
                                </a:xfrm>
                                <a:prstGeom prst="line">
                                  <a:avLst/>
                                </a:prstGeom>
                                <a:ln w="9525" cap="flat" cmpd="sng">
                                  <a:solidFill>
                                    <a:srgbClr val="000000"/>
                                  </a:solidFill>
                                  <a:prstDash val="solid"/>
                                  <a:headEnd type="none" w="med" len="med"/>
                                  <a:tailEnd type="triangle" w="sm" len="med"/>
                                </a:ln>
                                <a:effectLst/>
                              </wps:spPr>
                              <wps:bodyPr upright="1"/>
                            </wps:wsp>
                            <wps:wsp>
                              <wps:cNvPr id="69" name="矩形 69"/>
                              <wps:cNvSpPr/>
                              <wps:spPr>
                                <a:xfrm>
                                  <a:off x="5558" y="8772"/>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自动配料车</w:t>
                                    </w:r>
                                  </w:p>
                                </w:txbxContent>
                              </wps:txbx>
                              <wps:bodyPr vert="horz" wrap="square" lIns="0" tIns="0" rIns="0" bIns="0" anchor="t" upright="1"/>
                            </wps:wsp>
                            <wps:wsp>
                              <wps:cNvPr id="70" name="直接连接符 70"/>
                              <wps:cNvCnPr/>
                              <wps:spPr>
                                <a:xfrm>
                                  <a:off x="6278" y="9084"/>
                                  <a:ext cx="0" cy="936"/>
                                </a:xfrm>
                                <a:prstGeom prst="line">
                                  <a:avLst/>
                                </a:prstGeom>
                                <a:ln w="9525" cap="flat" cmpd="sng">
                                  <a:solidFill>
                                    <a:srgbClr val="000000"/>
                                  </a:solidFill>
                                  <a:prstDash val="solid"/>
                                  <a:headEnd type="none" w="med" len="med"/>
                                  <a:tailEnd type="triangle" w="sm" len="med"/>
                                </a:ln>
                                <a:effectLst/>
                              </wps:spPr>
                              <wps:bodyPr upright="1"/>
                            </wps:wsp>
                            <wps:wsp>
                              <wps:cNvPr id="71" name="矩形 71"/>
                              <wps:cNvSpPr/>
                              <wps:spPr>
                                <a:xfrm>
                                  <a:off x="5558" y="10020"/>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混合</w:t>
                                    </w:r>
                                  </w:p>
                                </w:txbxContent>
                              </wps:txbx>
                              <wps:bodyPr vert="horz" wrap="square" lIns="0" tIns="0" rIns="0" bIns="0" anchor="t" upright="1"/>
                            </wps:wsp>
                            <wps:wsp>
                              <wps:cNvPr id="72" name="直接连接符 72"/>
                              <wps:cNvCnPr/>
                              <wps:spPr>
                                <a:xfrm>
                                  <a:off x="6278" y="10332"/>
                                  <a:ext cx="0" cy="468"/>
                                </a:xfrm>
                                <a:prstGeom prst="line">
                                  <a:avLst/>
                                </a:prstGeom>
                                <a:ln w="9525" cap="flat" cmpd="sng">
                                  <a:solidFill>
                                    <a:srgbClr val="000000"/>
                                  </a:solidFill>
                                  <a:prstDash val="solid"/>
                                  <a:headEnd type="none" w="med" len="med"/>
                                  <a:tailEnd type="triangle" w="sm" len="med"/>
                                </a:ln>
                                <a:effectLst/>
                              </wps:spPr>
                              <wps:bodyPr upright="1"/>
                            </wps:wsp>
                            <wps:wsp>
                              <wps:cNvPr id="73" name="矩形 73"/>
                              <wps:cNvSpPr/>
                              <wps:spPr>
                                <a:xfrm>
                                  <a:off x="5558" y="10800"/>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成型</w:t>
                                    </w:r>
                                  </w:p>
                                </w:txbxContent>
                              </wps:txbx>
                              <wps:bodyPr vert="horz" wrap="square" lIns="0" tIns="0" rIns="0" bIns="0" anchor="t" upright="1"/>
                            </wps:wsp>
                            <wps:wsp>
                              <wps:cNvPr id="75" name="直接连接符 75"/>
                              <wps:cNvCnPr/>
                              <wps:spPr>
                                <a:xfrm>
                                  <a:off x="6278" y="11112"/>
                                  <a:ext cx="0" cy="780"/>
                                </a:xfrm>
                                <a:prstGeom prst="line">
                                  <a:avLst/>
                                </a:prstGeom>
                                <a:ln w="9525" cap="flat" cmpd="sng">
                                  <a:solidFill>
                                    <a:srgbClr val="000000"/>
                                  </a:solidFill>
                                  <a:prstDash val="solid"/>
                                  <a:headEnd type="none" w="med" len="med"/>
                                  <a:tailEnd type="triangle" w="sm" len="med"/>
                                </a:ln>
                                <a:effectLst/>
                              </wps:spPr>
                              <wps:bodyPr upright="1"/>
                            </wps:wsp>
                            <wps:wsp>
                              <wps:cNvPr id="76" name="矩形 76"/>
                              <wps:cNvSpPr/>
                              <wps:spPr>
                                <a:xfrm>
                                  <a:off x="5558" y="11892"/>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干燥</w:t>
                                    </w:r>
                                  </w:p>
                                </w:txbxContent>
                              </wps:txbx>
                              <wps:bodyPr vert="horz" wrap="square" lIns="0" tIns="0" rIns="0" bIns="0" anchor="t" upright="1"/>
                            </wps:wsp>
                            <wps:wsp>
                              <wps:cNvPr id="77" name="直接连接符 77"/>
                              <wps:cNvCnPr/>
                              <wps:spPr>
                                <a:xfrm>
                                  <a:off x="6278" y="12204"/>
                                  <a:ext cx="0" cy="780"/>
                                </a:xfrm>
                                <a:prstGeom prst="line">
                                  <a:avLst/>
                                </a:prstGeom>
                                <a:ln w="9525" cap="flat" cmpd="sng">
                                  <a:solidFill>
                                    <a:srgbClr val="000000"/>
                                  </a:solidFill>
                                  <a:prstDash val="solid"/>
                                  <a:headEnd type="none" w="med" len="med"/>
                                  <a:tailEnd type="triangle" w="sm" len="med"/>
                                </a:ln>
                                <a:effectLst/>
                              </wps:spPr>
                              <wps:bodyPr upright="1"/>
                            </wps:wsp>
                            <wps:wsp>
                              <wps:cNvPr id="78" name="矩形 78"/>
                              <wps:cNvSpPr/>
                              <wps:spPr>
                                <a:xfrm>
                                  <a:off x="5558" y="12984"/>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烧成</w:t>
                                    </w:r>
                                  </w:p>
                                </w:txbxContent>
                              </wps:txbx>
                              <wps:bodyPr vert="horz" wrap="square" lIns="0" tIns="0" rIns="0" bIns="0" anchor="t" upright="1"/>
                            </wps:wsp>
                            <wps:wsp>
                              <wps:cNvPr id="79" name="直接连接符 79"/>
                              <wps:cNvCnPr/>
                              <wps:spPr>
                                <a:xfrm>
                                  <a:off x="6278" y="13296"/>
                                  <a:ext cx="0" cy="936"/>
                                </a:xfrm>
                                <a:prstGeom prst="line">
                                  <a:avLst/>
                                </a:prstGeom>
                                <a:ln w="9525" cap="flat" cmpd="sng">
                                  <a:solidFill>
                                    <a:srgbClr val="000000"/>
                                  </a:solidFill>
                                  <a:prstDash val="solid"/>
                                  <a:headEnd type="none" w="med" len="med"/>
                                  <a:tailEnd type="triangle" w="sm" len="med"/>
                                </a:ln>
                                <a:effectLst/>
                              </wps:spPr>
                              <wps:bodyPr upright="1"/>
                            </wps:wsp>
                            <wps:wsp>
                              <wps:cNvPr id="80" name="矩形 80"/>
                              <wps:cNvSpPr/>
                              <wps:spPr>
                                <a:xfrm>
                                  <a:off x="5558" y="14232"/>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包装</w:t>
                                    </w:r>
                                  </w:p>
                                </w:txbxContent>
                              </wps:txbx>
                              <wps:bodyPr vert="horz" wrap="square" lIns="0" tIns="0" rIns="0" bIns="0" anchor="t" upright="1"/>
                            </wps:wsp>
                            <wps:wsp>
                              <wps:cNvPr id="81" name="直接连接符 81"/>
                              <wps:cNvCnPr/>
                              <wps:spPr>
                                <a:xfrm>
                                  <a:off x="6278" y="14544"/>
                                  <a:ext cx="0" cy="468"/>
                                </a:xfrm>
                                <a:prstGeom prst="line">
                                  <a:avLst/>
                                </a:prstGeom>
                                <a:ln w="9525" cap="flat" cmpd="sng">
                                  <a:solidFill>
                                    <a:srgbClr val="000000"/>
                                  </a:solidFill>
                                  <a:prstDash val="solid"/>
                                  <a:headEnd type="none" w="med" len="med"/>
                                  <a:tailEnd type="triangle" w="sm" len="med"/>
                                </a:ln>
                                <a:effectLst/>
                              </wps:spPr>
                              <wps:bodyPr upright="1"/>
                            </wps:wsp>
                            <wps:wsp>
                              <wps:cNvPr id="82" name="矩形 82"/>
                              <wps:cNvSpPr/>
                              <wps:spPr>
                                <a:xfrm>
                                  <a:off x="5558" y="15012"/>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成品库</w:t>
                                    </w:r>
                                  </w:p>
                                </w:txbxContent>
                              </wps:txbx>
                              <wps:bodyPr vert="horz" wrap="square" lIns="0" tIns="0" rIns="0" bIns="0" anchor="t" upright="1"/>
                            </wps:wsp>
                            <wps:wsp>
                              <wps:cNvPr id="83" name="直接连接符 83"/>
                              <wps:cNvCnPr/>
                              <wps:spPr>
                                <a:xfrm flipH="1">
                                  <a:off x="4298" y="2532"/>
                                  <a:ext cx="1260" cy="0"/>
                                </a:xfrm>
                                <a:prstGeom prst="line">
                                  <a:avLst/>
                                </a:prstGeom>
                                <a:ln w="9525" cap="flat" cmpd="sng">
                                  <a:solidFill>
                                    <a:srgbClr val="000000"/>
                                  </a:solidFill>
                                  <a:prstDash val="dash"/>
                                  <a:headEnd type="none" w="med" len="med"/>
                                  <a:tailEnd type="triangle" w="sm" len="med"/>
                                </a:ln>
                                <a:effectLst/>
                              </wps:spPr>
                              <wps:bodyPr upright="1"/>
                            </wps:wsp>
                            <wps:wsp>
                              <wps:cNvPr id="84" name="矩形 84"/>
                              <wps:cNvSpPr/>
                              <wps:spPr>
                                <a:xfrm>
                                  <a:off x="2858" y="237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布袋除尘器</w:t>
                                    </w:r>
                                  </w:p>
                                </w:txbxContent>
                              </wps:txbx>
                              <wps:bodyPr vert="horz" wrap="square" lIns="0" tIns="0" rIns="0" bIns="0" anchor="t" upright="1"/>
                            </wps:wsp>
                            <wps:wsp>
                              <wps:cNvPr id="85" name="矩形 85"/>
                              <wps:cNvSpPr/>
                              <wps:spPr>
                                <a:xfrm>
                                  <a:off x="5558" y="393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圆锥破碎机</w:t>
                                    </w:r>
                                  </w:p>
                                </w:txbxContent>
                              </wps:txbx>
                              <wps:bodyPr vert="horz" wrap="square" lIns="0" tIns="0" rIns="0" bIns="0" anchor="t" upright="1"/>
                            </wps:wsp>
                            <wps:wsp>
                              <wps:cNvPr id="86" name="直接连接符 86"/>
                              <wps:cNvCnPr/>
                              <wps:spPr>
                                <a:xfrm>
                                  <a:off x="6278" y="4248"/>
                                  <a:ext cx="0" cy="468"/>
                                </a:xfrm>
                                <a:prstGeom prst="line">
                                  <a:avLst/>
                                </a:prstGeom>
                                <a:ln w="9525" cap="flat" cmpd="sng">
                                  <a:solidFill>
                                    <a:srgbClr val="000000"/>
                                  </a:solidFill>
                                  <a:prstDash val="solid"/>
                                  <a:headEnd type="none" w="med" len="med"/>
                                  <a:tailEnd type="triangle" w="sm" len="med"/>
                                </a:ln>
                                <a:effectLst/>
                              </wps:spPr>
                              <wps:bodyPr upright="1"/>
                            </wps:wsp>
                            <wps:wsp>
                              <wps:cNvPr id="87" name="矩形 87"/>
                              <wps:cNvSpPr/>
                              <wps:spPr>
                                <a:xfrm>
                                  <a:off x="5558" y="471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提升机</w:t>
                                    </w:r>
                                  </w:p>
                                </w:txbxContent>
                              </wps:txbx>
                              <wps:bodyPr vert="horz" wrap="square" lIns="0" tIns="0" rIns="0" bIns="0" anchor="t" upright="1"/>
                            </wps:wsp>
                            <wps:wsp>
                              <wps:cNvPr id="88" name="直接连接符 88"/>
                              <wps:cNvCnPr/>
                              <wps:spPr>
                                <a:xfrm>
                                  <a:off x="6278" y="5028"/>
                                  <a:ext cx="0" cy="780"/>
                                </a:xfrm>
                                <a:prstGeom prst="line">
                                  <a:avLst/>
                                </a:prstGeom>
                                <a:ln w="9525" cap="flat" cmpd="sng">
                                  <a:solidFill>
                                    <a:srgbClr val="000000"/>
                                  </a:solidFill>
                                  <a:prstDash val="solid"/>
                                  <a:headEnd type="none" w="med" len="med"/>
                                  <a:tailEnd type="triangle" w="sm" len="med"/>
                                </a:ln>
                                <a:effectLst/>
                              </wps:spPr>
                              <wps:bodyPr upright="1"/>
                            </wps:wsp>
                            <wps:wsp>
                              <wps:cNvPr id="89" name="直接连接符 89"/>
                              <wps:cNvCnPr/>
                              <wps:spPr>
                                <a:xfrm flipV="1">
                                  <a:off x="3578" y="1908"/>
                                  <a:ext cx="0" cy="468"/>
                                </a:xfrm>
                                <a:prstGeom prst="line">
                                  <a:avLst/>
                                </a:prstGeom>
                                <a:ln w="9525" cap="flat" cmpd="sng">
                                  <a:solidFill>
                                    <a:srgbClr val="000000"/>
                                  </a:solidFill>
                                  <a:prstDash val="dash"/>
                                  <a:headEnd type="none" w="med" len="med"/>
                                  <a:tailEnd type="triangle" w="sm" len="med"/>
                                </a:ln>
                                <a:effectLst/>
                              </wps:spPr>
                              <wps:bodyPr upright="1"/>
                            </wps:wsp>
                            <wps:wsp>
                              <wps:cNvPr id="90" name="矩形 90"/>
                              <wps:cNvSpPr/>
                              <wps:spPr>
                                <a:xfrm>
                                  <a:off x="3218" y="1596"/>
                                  <a:ext cx="720" cy="312"/>
                                </a:xfrm>
                                <a:prstGeom prst="rect">
                                  <a:avLst/>
                                </a:prstGeom>
                                <a:noFill/>
                                <a:ln>
                                  <a:noFill/>
                                </a:ln>
                                <a:effectLst/>
                              </wps:spPr>
                              <wps:txbx>
                                <w:txbxContent>
                                  <w:p>
                                    <w:pPr>
                                      <w:jc w:val="center"/>
                                      <w:rPr>
                                        <w:rFonts w:hint="eastAsia"/>
                                      </w:rPr>
                                    </w:pPr>
                                    <w:r>
                                      <w:rPr>
                                        <w:rFonts w:hint="eastAsia"/>
                                      </w:rPr>
                                      <w:t>G1</w:t>
                                    </w:r>
                                  </w:p>
                                </w:txbxContent>
                              </wps:txbx>
                              <wps:bodyPr vert="horz" wrap="square" lIns="0" tIns="0" rIns="0" bIns="0" anchor="t" upright="1"/>
                            </wps:wsp>
                            <wps:wsp>
                              <wps:cNvPr id="94" name="直接连接符 94"/>
                              <wps:cNvCnPr/>
                              <wps:spPr>
                                <a:xfrm flipH="1">
                                  <a:off x="4298" y="4092"/>
                                  <a:ext cx="1260" cy="0"/>
                                </a:xfrm>
                                <a:prstGeom prst="line">
                                  <a:avLst/>
                                </a:prstGeom>
                                <a:ln w="9525" cap="flat" cmpd="sng">
                                  <a:solidFill>
                                    <a:srgbClr val="000000"/>
                                  </a:solidFill>
                                  <a:prstDash val="dash"/>
                                  <a:headEnd type="none" w="med" len="med"/>
                                  <a:tailEnd type="triangle" w="sm" len="med"/>
                                </a:ln>
                                <a:effectLst/>
                              </wps:spPr>
                              <wps:bodyPr upright="1"/>
                            </wps:wsp>
                            <wps:wsp>
                              <wps:cNvPr id="95" name="矩形 95"/>
                              <wps:cNvSpPr/>
                              <wps:spPr>
                                <a:xfrm>
                                  <a:off x="2858" y="393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布袋除尘器</w:t>
                                    </w:r>
                                  </w:p>
                                </w:txbxContent>
                              </wps:txbx>
                              <wps:bodyPr vert="horz" wrap="square" lIns="0" tIns="0" rIns="0" bIns="0" anchor="t" upright="1"/>
                            </wps:wsp>
                            <wps:wsp>
                              <wps:cNvPr id="96" name="直接连接符 96"/>
                              <wps:cNvCnPr/>
                              <wps:spPr>
                                <a:xfrm flipV="1">
                                  <a:off x="3578" y="3468"/>
                                  <a:ext cx="0" cy="468"/>
                                </a:xfrm>
                                <a:prstGeom prst="line">
                                  <a:avLst/>
                                </a:prstGeom>
                                <a:ln w="9525" cap="flat" cmpd="sng">
                                  <a:solidFill>
                                    <a:srgbClr val="000000"/>
                                  </a:solidFill>
                                  <a:prstDash val="dash"/>
                                  <a:headEnd type="none" w="med" len="med"/>
                                  <a:tailEnd type="triangle" w="sm" len="med"/>
                                </a:ln>
                                <a:effectLst/>
                              </wps:spPr>
                              <wps:bodyPr upright="1"/>
                            </wps:wsp>
                            <wps:wsp>
                              <wps:cNvPr id="97" name="矩形 97"/>
                              <wps:cNvSpPr/>
                              <wps:spPr>
                                <a:xfrm>
                                  <a:off x="3218" y="3156"/>
                                  <a:ext cx="720" cy="312"/>
                                </a:xfrm>
                                <a:prstGeom prst="rect">
                                  <a:avLst/>
                                </a:prstGeom>
                                <a:noFill/>
                                <a:ln>
                                  <a:noFill/>
                                </a:ln>
                                <a:effectLst/>
                              </wps:spPr>
                              <wps:txbx>
                                <w:txbxContent>
                                  <w:p>
                                    <w:pPr>
                                      <w:jc w:val="center"/>
                                      <w:rPr>
                                        <w:rFonts w:hint="eastAsia"/>
                                      </w:rPr>
                                    </w:pPr>
                                    <w:r>
                                      <w:rPr>
                                        <w:rFonts w:hint="eastAsia"/>
                                      </w:rPr>
                                      <w:t>G2</w:t>
                                    </w:r>
                                  </w:p>
                                </w:txbxContent>
                              </wps:txbx>
                              <wps:bodyPr vert="horz" wrap="square" lIns="0" tIns="0" rIns="0" bIns="0" anchor="t" upright="1"/>
                            </wps:wsp>
                            <wps:wsp>
                              <wps:cNvPr id="98" name="直接连接符 98"/>
                              <wps:cNvCnPr/>
                              <wps:spPr>
                                <a:xfrm flipH="1">
                                  <a:off x="4298" y="5964"/>
                                  <a:ext cx="1260" cy="0"/>
                                </a:xfrm>
                                <a:prstGeom prst="line">
                                  <a:avLst/>
                                </a:prstGeom>
                                <a:ln w="9525" cap="flat" cmpd="sng">
                                  <a:solidFill>
                                    <a:srgbClr val="000000"/>
                                  </a:solidFill>
                                  <a:prstDash val="dash"/>
                                  <a:headEnd type="none" w="med" len="med"/>
                                  <a:tailEnd type="triangle" w="sm" len="med"/>
                                </a:ln>
                                <a:effectLst/>
                              </wps:spPr>
                              <wps:bodyPr upright="1"/>
                            </wps:wsp>
                            <wps:wsp>
                              <wps:cNvPr id="99" name="矩形 99"/>
                              <wps:cNvSpPr/>
                              <wps:spPr>
                                <a:xfrm>
                                  <a:off x="2858" y="5808"/>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布袋除尘器</w:t>
                                    </w:r>
                                  </w:p>
                                </w:txbxContent>
                              </wps:txbx>
                              <wps:bodyPr vert="horz" wrap="square" lIns="0" tIns="0" rIns="0" bIns="0" anchor="t" upright="1"/>
                            </wps:wsp>
                            <wps:wsp>
                              <wps:cNvPr id="100" name="直接连接符 100"/>
                              <wps:cNvCnPr/>
                              <wps:spPr>
                                <a:xfrm flipV="1">
                                  <a:off x="3578" y="5340"/>
                                  <a:ext cx="0" cy="468"/>
                                </a:xfrm>
                                <a:prstGeom prst="line">
                                  <a:avLst/>
                                </a:prstGeom>
                                <a:ln w="9525" cap="flat" cmpd="sng">
                                  <a:solidFill>
                                    <a:srgbClr val="000000"/>
                                  </a:solidFill>
                                  <a:prstDash val="dash"/>
                                  <a:headEnd type="none" w="med" len="med"/>
                                  <a:tailEnd type="triangle" w="sm" len="med"/>
                                </a:ln>
                                <a:effectLst/>
                              </wps:spPr>
                              <wps:bodyPr upright="1"/>
                            </wps:wsp>
                            <wps:wsp>
                              <wps:cNvPr id="101" name="矩形 101"/>
                              <wps:cNvSpPr/>
                              <wps:spPr>
                                <a:xfrm>
                                  <a:off x="3218" y="5028"/>
                                  <a:ext cx="720" cy="312"/>
                                </a:xfrm>
                                <a:prstGeom prst="rect">
                                  <a:avLst/>
                                </a:prstGeom>
                                <a:noFill/>
                                <a:ln>
                                  <a:noFill/>
                                </a:ln>
                                <a:effectLst/>
                              </wps:spPr>
                              <wps:txbx>
                                <w:txbxContent>
                                  <w:p>
                                    <w:pPr>
                                      <w:jc w:val="center"/>
                                      <w:rPr>
                                        <w:rFonts w:hint="eastAsia"/>
                                      </w:rPr>
                                    </w:pPr>
                                    <w:r>
                                      <w:rPr>
                                        <w:rFonts w:hint="eastAsia"/>
                                      </w:rPr>
                                      <w:t>G3</w:t>
                                    </w:r>
                                  </w:p>
                                </w:txbxContent>
                              </wps:txbx>
                              <wps:bodyPr vert="horz" wrap="square" lIns="0" tIns="0" rIns="0" bIns="0" anchor="t" upright="1"/>
                            </wps:wsp>
                            <wps:wsp>
                              <wps:cNvPr id="102" name="直接连接符 102"/>
                              <wps:cNvCnPr/>
                              <wps:spPr>
                                <a:xfrm>
                                  <a:off x="6998" y="5964"/>
                                  <a:ext cx="1620" cy="0"/>
                                </a:xfrm>
                                <a:prstGeom prst="line">
                                  <a:avLst/>
                                </a:prstGeom>
                                <a:ln w="9525" cap="flat" cmpd="sng">
                                  <a:solidFill>
                                    <a:srgbClr val="000000"/>
                                  </a:solidFill>
                                  <a:prstDash val="dash"/>
                                  <a:headEnd type="none" w="med" len="med"/>
                                  <a:tailEnd type="none" w="med" len="med"/>
                                </a:ln>
                                <a:effectLst/>
                              </wps:spPr>
                              <wps:bodyPr upright="1"/>
                            </wps:wsp>
                            <wps:wsp>
                              <wps:cNvPr id="112" name="直接连接符 112"/>
                              <wps:cNvCnPr/>
                              <wps:spPr>
                                <a:xfrm flipV="1">
                                  <a:off x="8618" y="4092"/>
                                  <a:ext cx="0" cy="1872"/>
                                </a:xfrm>
                                <a:prstGeom prst="line">
                                  <a:avLst/>
                                </a:prstGeom>
                                <a:ln w="9525" cap="flat" cmpd="sng">
                                  <a:solidFill>
                                    <a:srgbClr val="000000"/>
                                  </a:solidFill>
                                  <a:prstDash val="dash"/>
                                  <a:headEnd type="none" w="med" len="med"/>
                                  <a:tailEnd type="none" w="med" len="med"/>
                                </a:ln>
                                <a:effectLst/>
                              </wps:spPr>
                              <wps:bodyPr upright="1"/>
                            </wps:wsp>
                            <wps:wsp>
                              <wps:cNvPr id="113" name="直接连接符 113"/>
                              <wps:cNvCnPr/>
                              <wps:spPr>
                                <a:xfrm flipH="1">
                                  <a:off x="6998" y="4092"/>
                                  <a:ext cx="1620" cy="0"/>
                                </a:xfrm>
                                <a:prstGeom prst="line">
                                  <a:avLst/>
                                </a:prstGeom>
                                <a:ln w="9525" cap="flat" cmpd="sng">
                                  <a:solidFill>
                                    <a:srgbClr val="000000"/>
                                  </a:solidFill>
                                  <a:prstDash val="dash"/>
                                  <a:headEnd type="none" w="med" len="med"/>
                                  <a:tailEnd type="triangle" w="sm" len="med"/>
                                </a:ln>
                                <a:effectLst/>
                              </wps:spPr>
                              <wps:bodyPr upright="1"/>
                            </wps:wsp>
                            <wps:wsp>
                              <wps:cNvPr id="114" name="矩形 114"/>
                              <wps:cNvSpPr/>
                              <wps:spPr>
                                <a:xfrm>
                                  <a:off x="7358" y="5652"/>
                                  <a:ext cx="720" cy="312"/>
                                </a:xfrm>
                                <a:prstGeom prst="rect">
                                  <a:avLst/>
                                </a:prstGeom>
                                <a:noFill/>
                                <a:ln>
                                  <a:noFill/>
                                </a:ln>
                                <a:effectLst/>
                              </wps:spPr>
                              <wps:txbx>
                                <w:txbxContent>
                                  <w:p>
                                    <w:pPr>
                                      <w:jc w:val="center"/>
                                      <w:rPr>
                                        <w:rFonts w:hint="eastAsia"/>
                                      </w:rPr>
                                    </w:pPr>
                                    <w:r>
                                      <w:rPr>
                                        <w:rFonts w:hint="eastAsia"/>
                                      </w:rPr>
                                      <w:t>S4</w:t>
                                    </w:r>
                                  </w:p>
                                </w:txbxContent>
                              </wps:txbx>
                              <wps:bodyPr vert="horz" wrap="square" lIns="0" tIns="0" rIns="0" bIns="0" anchor="t" upright="1"/>
                            </wps:wsp>
                            <wps:wsp>
                              <wps:cNvPr id="115" name="直接连接符 115"/>
                              <wps:cNvCnPr/>
                              <wps:spPr>
                                <a:xfrm flipH="1">
                                  <a:off x="1238" y="2532"/>
                                  <a:ext cx="1620" cy="0"/>
                                </a:xfrm>
                                <a:prstGeom prst="line">
                                  <a:avLst/>
                                </a:prstGeom>
                                <a:ln w="9525" cap="flat" cmpd="sng">
                                  <a:solidFill>
                                    <a:srgbClr val="000000"/>
                                  </a:solidFill>
                                  <a:prstDash val="dash"/>
                                  <a:headEnd type="none" w="med" len="med"/>
                                  <a:tailEnd type="triangle" w="sm" len="med"/>
                                </a:ln>
                                <a:effectLst/>
                              </wps:spPr>
                              <wps:bodyPr upright="1"/>
                            </wps:wsp>
                            <wps:wsp>
                              <wps:cNvPr id="116" name="直接连接符 116"/>
                              <wps:cNvCnPr/>
                              <wps:spPr>
                                <a:xfrm flipH="1">
                                  <a:off x="1238" y="4092"/>
                                  <a:ext cx="1620" cy="0"/>
                                </a:xfrm>
                                <a:prstGeom prst="line">
                                  <a:avLst/>
                                </a:prstGeom>
                                <a:ln w="9525" cap="flat" cmpd="sng">
                                  <a:solidFill>
                                    <a:srgbClr val="000000"/>
                                  </a:solidFill>
                                  <a:prstDash val="dash"/>
                                  <a:headEnd type="none" w="med" len="med"/>
                                  <a:tailEnd type="triangle" w="sm" len="med"/>
                                </a:ln>
                                <a:effectLst/>
                              </wps:spPr>
                              <wps:bodyPr upright="1"/>
                            </wps:wsp>
                            <wps:wsp>
                              <wps:cNvPr id="117" name="直接连接符 117"/>
                              <wps:cNvCnPr/>
                              <wps:spPr>
                                <a:xfrm flipH="1">
                                  <a:off x="1238" y="5964"/>
                                  <a:ext cx="1620" cy="0"/>
                                </a:xfrm>
                                <a:prstGeom prst="line">
                                  <a:avLst/>
                                </a:prstGeom>
                                <a:ln w="9525" cap="flat" cmpd="sng">
                                  <a:solidFill>
                                    <a:srgbClr val="000000"/>
                                  </a:solidFill>
                                  <a:prstDash val="dash"/>
                                  <a:headEnd type="none" w="med" len="med"/>
                                  <a:tailEnd type="triangle" w="sm" len="med"/>
                                </a:ln>
                                <a:effectLst/>
                              </wps:spPr>
                              <wps:bodyPr upright="1"/>
                            </wps:wsp>
                            <wps:wsp>
                              <wps:cNvPr id="118" name="矩形 118"/>
                              <wps:cNvSpPr/>
                              <wps:spPr>
                                <a:xfrm>
                                  <a:off x="1778" y="2220"/>
                                  <a:ext cx="720" cy="312"/>
                                </a:xfrm>
                                <a:prstGeom prst="rect">
                                  <a:avLst/>
                                </a:prstGeom>
                                <a:noFill/>
                                <a:ln>
                                  <a:noFill/>
                                </a:ln>
                                <a:effectLst/>
                              </wps:spPr>
                              <wps:txbx>
                                <w:txbxContent>
                                  <w:p>
                                    <w:pPr>
                                      <w:jc w:val="center"/>
                                      <w:rPr>
                                        <w:rFonts w:hint="eastAsia"/>
                                      </w:rPr>
                                    </w:pPr>
                                    <w:r>
                                      <w:rPr>
                                        <w:rFonts w:hint="eastAsia"/>
                                      </w:rPr>
                                      <w:t>S1</w:t>
                                    </w:r>
                                  </w:p>
                                </w:txbxContent>
                              </wps:txbx>
                              <wps:bodyPr vert="horz" wrap="square" lIns="0" tIns="0" rIns="0" bIns="0" anchor="t" upright="1"/>
                            </wps:wsp>
                            <wps:wsp>
                              <wps:cNvPr id="119" name="矩形 119"/>
                              <wps:cNvSpPr/>
                              <wps:spPr>
                                <a:xfrm>
                                  <a:off x="1778" y="3780"/>
                                  <a:ext cx="720" cy="312"/>
                                </a:xfrm>
                                <a:prstGeom prst="rect">
                                  <a:avLst/>
                                </a:prstGeom>
                                <a:noFill/>
                                <a:ln>
                                  <a:noFill/>
                                </a:ln>
                                <a:effectLst/>
                              </wps:spPr>
                              <wps:txbx>
                                <w:txbxContent>
                                  <w:p>
                                    <w:pPr>
                                      <w:jc w:val="center"/>
                                      <w:rPr>
                                        <w:rFonts w:hint="eastAsia"/>
                                      </w:rPr>
                                    </w:pPr>
                                    <w:r>
                                      <w:rPr>
                                        <w:rFonts w:hint="eastAsia"/>
                                      </w:rPr>
                                      <w:t>S2</w:t>
                                    </w:r>
                                  </w:p>
                                </w:txbxContent>
                              </wps:txbx>
                              <wps:bodyPr vert="horz" wrap="square" lIns="0" tIns="0" rIns="0" bIns="0" anchor="t" upright="1"/>
                            </wps:wsp>
                            <wps:wsp>
                              <wps:cNvPr id="120" name="矩形 120"/>
                              <wps:cNvSpPr/>
                              <wps:spPr>
                                <a:xfrm>
                                  <a:off x="1778" y="5652"/>
                                  <a:ext cx="720" cy="312"/>
                                </a:xfrm>
                                <a:prstGeom prst="rect">
                                  <a:avLst/>
                                </a:prstGeom>
                                <a:noFill/>
                                <a:ln>
                                  <a:noFill/>
                                </a:ln>
                                <a:effectLst/>
                              </wps:spPr>
                              <wps:txbx>
                                <w:txbxContent>
                                  <w:p>
                                    <w:pPr>
                                      <w:jc w:val="center"/>
                                      <w:rPr>
                                        <w:rFonts w:hint="eastAsia"/>
                                      </w:rPr>
                                    </w:pPr>
                                    <w:r>
                                      <w:rPr>
                                        <w:rFonts w:hint="eastAsia"/>
                                      </w:rPr>
                                      <w:t>S3</w:t>
                                    </w:r>
                                  </w:p>
                                </w:txbxContent>
                              </wps:txbx>
                              <wps:bodyPr vert="horz" wrap="square" lIns="0" tIns="0" rIns="0" bIns="0" anchor="t" upright="1"/>
                            </wps:wsp>
                            <wps:wsp>
                              <wps:cNvPr id="121" name="直接连接符 121"/>
                              <wps:cNvCnPr/>
                              <wps:spPr>
                                <a:xfrm>
                                  <a:off x="6998" y="7056"/>
                                  <a:ext cx="900" cy="0"/>
                                </a:xfrm>
                                <a:prstGeom prst="line">
                                  <a:avLst/>
                                </a:prstGeom>
                                <a:ln w="9525" cap="flat" cmpd="sng">
                                  <a:solidFill>
                                    <a:srgbClr val="000000"/>
                                  </a:solidFill>
                                  <a:prstDash val="dash"/>
                                  <a:headEnd type="none" w="med" len="med"/>
                                  <a:tailEnd type="triangle" w="sm" len="med"/>
                                </a:ln>
                                <a:effectLst/>
                              </wps:spPr>
                              <wps:bodyPr upright="1"/>
                            </wps:wsp>
                            <wps:wsp>
                              <wps:cNvPr id="124" name="矩形 124"/>
                              <wps:cNvSpPr/>
                              <wps:spPr>
                                <a:xfrm>
                                  <a:off x="7898" y="6900"/>
                                  <a:ext cx="360" cy="312"/>
                                </a:xfrm>
                                <a:prstGeom prst="rect">
                                  <a:avLst/>
                                </a:prstGeom>
                                <a:noFill/>
                                <a:ln>
                                  <a:noFill/>
                                </a:ln>
                                <a:effectLst/>
                              </wps:spPr>
                              <wps:txbx>
                                <w:txbxContent>
                                  <w:p>
                                    <w:pPr>
                                      <w:jc w:val="center"/>
                                      <w:rPr>
                                        <w:rFonts w:hint="eastAsia"/>
                                      </w:rPr>
                                    </w:pPr>
                                    <w:r>
                                      <w:rPr>
                                        <w:rFonts w:hint="eastAsia"/>
                                      </w:rPr>
                                      <w:t>S5</w:t>
                                    </w:r>
                                  </w:p>
                                </w:txbxContent>
                              </wps:txbx>
                              <wps:bodyPr vert="horz" wrap="square" lIns="0" tIns="0" rIns="0" bIns="0" anchor="t" upright="1"/>
                            </wps:wsp>
                            <wps:wsp>
                              <wps:cNvPr id="125" name="直接连接符 125"/>
                              <wps:cNvCnPr/>
                              <wps:spPr>
                                <a:xfrm>
                                  <a:off x="5738" y="6120"/>
                                  <a:ext cx="0" cy="468"/>
                                </a:xfrm>
                                <a:prstGeom prst="line">
                                  <a:avLst/>
                                </a:prstGeom>
                                <a:ln w="9525" cap="flat" cmpd="sng">
                                  <a:solidFill>
                                    <a:srgbClr val="000000"/>
                                  </a:solidFill>
                                  <a:prstDash val="solid"/>
                                  <a:headEnd type="none" w="med" len="med"/>
                                  <a:tailEnd type="none" w="sm" len="med"/>
                                </a:ln>
                                <a:effectLst/>
                              </wps:spPr>
                              <wps:bodyPr upright="1"/>
                            </wps:wsp>
                            <wps:wsp>
                              <wps:cNvPr id="126" name="直接连接符 126"/>
                              <wps:cNvCnPr/>
                              <wps:spPr>
                                <a:xfrm flipH="1">
                                  <a:off x="3938" y="6588"/>
                                  <a:ext cx="1800" cy="0"/>
                                </a:xfrm>
                                <a:prstGeom prst="line">
                                  <a:avLst/>
                                </a:prstGeom>
                                <a:ln w="9525" cap="flat" cmpd="sng">
                                  <a:solidFill>
                                    <a:srgbClr val="000000"/>
                                  </a:solidFill>
                                  <a:prstDash val="solid"/>
                                  <a:headEnd type="none" w="med" len="med"/>
                                  <a:tailEnd type="none" w="med" len="med"/>
                                </a:ln>
                                <a:effectLst/>
                              </wps:spPr>
                              <wps:bodyPr upright="1"/>
                            </wps:wsp>
                            <wps:wsp>
                              <wps:cNvPr id="127" name="直接连接符 127"/>
                              <wps:cNvCnPr/>
                              <wps:spPr>
                                <a:xfrm>
                                  <a:off x="3938" y="6588"/>
                                  <a:ext cx="0" cy="312"/>
                                </a:xfrm>
                                <a:prstGeom prst="line">
                                  <a:avLst/>
                                </a:prstGeom>
                                <a:ln w="9525" cap="flat" cmpd="sng">
                                  <a:solidFill>
                                    <a:srgbClr val="000000"/>
                                  </a:solidFill>
                                  <a:prstDash val="solid"/>
                                  <a:headEnd type="none" w="med" len="med"/>
                                  <a:tailEnd type="triangle" w="sm" len="med"/>
                                </a:ln>
                                <a:effectLst/>
                              </wps:spPr>
                              <wps:bodyPr upright="1"/>
                            </wps:wsp>
                            <wps:wsp>
                              <wps:cNvPr id="128" name="矩形 128"/>
                              <wps:cNvSpPr/>
                              <wps:spPr>
                                <a:xfrm>
                                  <a:off x="2858" y="6900"/>
                                  <a:ext cx="198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高压磨粉机</w:t>
                                    </w:r>
                                  </w:p>
                                </w:txbxContent>
                              </wps:txbx>
                              <wps:bodyPr vert="horz" wrap="square" lIns="0" tIns="0" rIns="0" bIns="0" anchor="t" upright="1"/>
                            </wps:wsp>
                            <wps:wsp>
                              <wps:cNvPr id="131" name="直接连接符 131"/>
                              <wps:cNvCnPr/>
                              <wps:spPr>
                                <a:xfrm>
                                  <a:off x="4118" y="7212"/>
                                  <a:ext cx="0" cy="624"/>
                                </a:xfrm>
                                <a:prstGeom prst="line">
                                  <a:avLst/>
                                </a:prstGeom>
                                <a:ln w="9525" cap="flat" cmpd="sng">
                                  <a:solidFill>
                                    <a:srgbClr val="000000"/>
                                  </a:solidFill>
                                  <a:prstDash val="solid"/>
                                  <a:headEnd type="none" w="med" len="med"/>
                                  <a:tailEnd type="triangle" w="sm" len="med"/>
                                </a:ln>
                                <a:effectLst/>
                              </wps:spPr>
                              <wps:bodyPr upright="1"/>
                            </wps:wsp>
                            <wps:wsp>
                              <wps:cNvPr id="132" name="矩形 132"/>
                              <wps:cNvSpPr/>
                              <wps:spPr>
                                <a:xfrm>
                                  <a:off x="3578" y="7836"/>
                                  <a:ext cx="108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提升机</w:t>
                                    </w:r>
                                  </w:p>
                                </w:txbxContent>
                              </wps:txbx>
                              <wps:bodyPr vert="horz" wrap="square" lIns="0" tIns="0" rIns="0" bIns="0" anchor="t" upright="1"/>
                            </wps:wsp>
                            <wps:wsp>
                              <wps:cNvPr id="133" name="直接连接符 133"/>
                              <wps:cNvCnPr/>
                              <wps:spPr>
                                <a:xfrm>
                                  <a:off x="4658" y="7992"/>
                                  <a:ext cx="900" cy="0"/>
                                </a:xfrm>
                                <a:prstGeom prst="line">
                                  <a:avLst/>
                                </a:prstGeom>
                                <a:ln w="9525" cap="flat" cmpd="sng">
                                  <a:solidFill>
                                    <a:srgbClr val="000000"/>
                                  </a:solidFill>
                                  <a:prstDash val="solid"/>
                                  <a:headEnd type="none" w="med" len="med"/>
                                  <a:tailEnd type="triangle" w="sm" len="med"/>
                                </a:ln>
                                <a:effectLst/>
                              </wps:spPr>
                              <wps:bodyPr upright="1"/>
                            </wps:wsp>
                            <wps:wsp>
                              <wps:cNvPr id="134" name="直接连接符 134"/>
                              <wps:cNvCnPr/>
                              <wps:spPr>
                                <a:xfrm>
                                  <a:off x="1238" y="2532"/>
                                  <a:ext cx="0" cy="3432"/>
                                </a:xfrm>
                                <a:prstGeom prst="line">
                                  <a:avLst/>
                                </a:prstGeom>
                                <a:ln w="9525" cap="flat" cmpd="sng">
                                  <a:solidFill>
                                    <a:srgbClr val="000000"/>
                                  </a:solidFill>
                                  <a:prstDash val="solid"/>
                                  <a:headEnd type="none" w="med" len="med"/>
                                  <a:tailEnd type="none" w="med" len="med"/>
                                </a:ln>
                                <a:effectLst/>
                              </wps:spPr>
                              <wps:bodyPr upright="1"/>
                            </wps:wsp>
                            <wps:wsp>
                              <wps:cNvPr id="136" name="直接连接符 136"/>
                              <wps:cNvCnPr/>
                              <wps:spPr>
                                <a:xfrm>
                                  <a:off x="6998" y="13140"/>
                                  <a:ext cx="1080" cy="0"/>
                                </a:xfrm>
                                <a:prstGeom prst="line">
                                  <a:avLst/>
                                </a:prstGeom>
                                <a:ln w="9525" cap="flat" cmpd="sng">
                                  <a:solidFill>
                                    <a:srgbClr val="000000"/>
                                  </a:solidFill>
                                  <a:prstDash val="solid"/>
                                  <a:headEnd type="triangle" w="sm" len="med"/>
                                  <a:tailEnd type="none" w="med" len="med"/>
                                </a:ln>
                                <a:effectLst/>
                              </wps:spPr>
                              <wps:bodyPr upright="1"/>
                            </wps:wsp>
                            <wps:wsp>
                              <wps:cNvPr id="137" name="直接连接符 137"/>
                              <wps:cNvCnPr/>
                              <wps:spPr>
                                <a:xfrm>
                                  <a:off x="8078" y="12828"/>
                                  <a:ext cx="0" cy="624"/>
                                </a:xfrm>
                                <a:prstGeom prst="line">
                                  <a:avLst/>
                                </a:prstGeom>
                                <a:ln w="9525" cap="flat" cmpd="sng">
                                  <a:solidFill>
                                    <a:srgbClr val="000000"/>
                                  </a:solidFill>
                                  <a:prstDash val="solid"/>
                                  <a:headEnd type="none" w="med" len="med"/>
                                  <a:tailEnd type="none" w="med" len="med"/>
                                </a:ln>
                                <a:effectLst/>
                              </wps:spPr>
                              <wps:bodyPr upright="1"/>
                            </wps:wsp>
                            <wps:wsp>
                              <wps:cNvPr id="138" name="直接连接符 138"/>
                              <wps:cNvCnPr/>
                              <wps:spPr>
                                <a:xfrm flipH="1">
                                  <a:off x="8078" y="12828"/>
                                  <a:ext cx="900" cy="0"/>
                                </a:xfrm>
                                <a:prstGeom prst="line">
                                  <a:avLst/>
                                </a:prstGeom>
                                <a:ln w="9525" cap="flat" cmpd="sng">
                                  <a:solidFill>
                                    <a:srgbClr val="000000"/>
                                  </a:solidFill>
                                  <a:prstDash val="solid"/>
                                  <a:headEnd type="none" w="med" len="med"/>
                                  <a:tailEnd type="triangle" w="sm" len="med"/>
                                </a:ln>
                                <a:effectLst/>
                              </wps:spPr>
                              <wps:bodyPr upright="1"/>
                            </wps:wsp>
                            <wps:wsp>
                              <wps:cNvPr id="139" name="矩形 139"/>
                              <wps:cNvSpPr/>
                              <wps:spPr>
                                <a:xfrm>
                                  <a:off x="8978" y="12672"/>
                                  <a:ext cx="540" cy="312"/>
                                </a:xfrm>
                                <a:prstGeom prst="rect">
                                  <a:avLst/>
                                </a:prstGeom>
                                <a:noFill/>
                                <a:ln>
                                  <a:noFill/>
                                </a:ln>
                                <a:effectLst/>
                              </wps:spPr>
                              <wps:txbx>
                                <w:txbxContent>
                                  <w:p>
                                    <w:pPr>
                                      <w:jc w:val="center"/>
                                      <w:rPr>
                                        <w:rFonts w:hint="eastAsia"/>
                                      </w:rPr>
                                    </w:pPr>
                                    <w:r>
                                      <w:rPr>
                                        <w:rFonts w:hint="eastAsia"/>
                                      </w:rPr>
                                      <w:t>空气</w:t>
                                    </w:r>
                                  </w:p>
                                </w:txbxContent>
                              </wps:txbx>
                              <wps:bodyPr vert="horz" wrap="square" lIns="0" tIns="0" rIns="0" bIns="0" anchor="t" upright="1"/>
                            </wps:wsp>
                            <wps:wsp>
                              <wps:cNvPr id="140" name="直接连接符 140"/>
                              <wps:cNvCnPr/>
                              <wps:spPr>
                                <a:xfrm flipH="1">
                                  <a:off x="8078" y="13452"/>
                                  <a:ext cx="900" cy="0"/>
                                </a:xfrm>
                                <a:prstGeom prst="line">
                                  <a:avLst/>
                                </a:prstGeom>
                                <a:ln w="9525" cap="flat" cmpd="sng">
                                  <a:solidFill>
                                    <a:srgbClr val="000000"/>
                                  </a:solidFill>
                                  <a:prstDash val="solid"/>
                                  <a:headEnd type="none" w="med" len="med"/>
                                  <a:tailEnd type="triangle" w="sm" len="med"/>
                                </a:ln>
                                <a:effectLst/>
                              </wps:spPr>
                              <wps:bodyPr upright="1"/>
                            </wps:wsp>
                            <wps:wsp>
                              <wps:cNvPr id="141" name="矩形 141"/>
                              <wps:cNvSpPr/>
                              <wps:spPr>
                                <a:xfrm>
                                  <a:off x="8978" y="13296"/>
                                  <a:ext cx="720" cy="312"/>
                                </a:xfrm>
                                <a:prstGeom prst="rect">
                                  <a:avLst/>
                                </a:prstGeom>
                                <a:noFill/>
                                <a:ln>
                                  <a:noFill/>
                                </a:ln>
                                <a:effectLst/>
                              </wps:spPr>
                              <wps:txbx>
                                <w:txbxContent>
                                  <w:p>
                                    <w:pPr>
                                      <w:jc w:val="center"/>
                                      <w:rPr>
                                        <w:rFonts w:hint="eastAsia"/>
                                      </w:rPr>
                                    </w:pPr>
                                    <w:r>
                                      <w:rPr>
                                        <w:rFonts w:hint="eastAsia"/>
                                      </w:rPr>
                                      <w:t>天然气</w:t>
                                    </w:r>
                                  </w:p>
                                </w:txbxContent>
                              </wps:txbx>
                              <wps:bodyPr vert="horz" wrap="square" lIns="0" tIns="0" rIns="0" bIns="0" anchor="t" upright="1"/>
                            </wps:wsp>
                            <wps:wsp>
                              <wps:cNvPr id="142" name="直接连接符 142"/>
                              <wps:cNvCnPr/>
                              <wps:spPr>
                                <a:xfrm flipH="1">
                                  <a:off x="4118" y="13140"/>
                                  <a:ext cx="1440" cy="0"/>
                                </a:xfrm>
                                <a:prstGeom prst="line">
                                  <a:avLst/>
                                </a:prstGeom>
                                <a:ln w="9525" cap="flat" cmpd="sng">
                                  <a:solidFill>
                                    <a:srgbClr val="000000"/>
                                  </a:solidFill>
                                  <a:prstDash val="solid"/>
                                  <a:headEnd type="none" w="med" len="med"/>
                                  <a:tailEnd type="none" w="med" len="med"/>
                                </a:ln>
                                <a:effectLst/>
                              </wps:spPr>
                              <wps:bodyPr upright="1"/>
                            </wps:wsp>
                            <wps:wsp>
                              <wps:cNvPr id="143" name="直接连接符 143"/>
                              <wps:cNvCnPr/>
                              <wps:spPr>
                                <a:xfrm flipV="1">
                                  <a:off x="4118" y="12048"/>
                                  <a:ext cx="0" cy="1092"/>
                                </a:xfrm>
                                <a:prstGeom prst="line">
                                  <a:avLst/>
                                </a:prstGeom>
                                <a:ln w="9525" cap="flat" cmpd="sng">
                                  <a:solidFill>
                                    <a:srgbClr val="000000"/>
                                  </a:solidFill>
                                  <a:prstDash val="solid"/>
                                  <a:headEnd type="none" w="med" len="med"/>
                                  <a:tailEnd type="none" w="med" len="med"/>
                                </a:ln>
                                <a:effectLst/>
                              </wps:spPr>
                              <wps:bodyPr upright="1"/>
                            </wps:wsp>
                            <wps:wsp>
                              <wps:cNvPr id="144" name="直接连接符 144"/>
                              <wps:cNvCnPr/>
                              <wps:spPr>
                                <a:xfrm>
                                  <a:off x="4118" y="12048"/>
                                  <a:ext cx="1440" cy="0"/>
                                </a:xfrm>
                                <a:prstGeom prst="line">
                                  <a:avLst/>
                                </a:prstGeom>
                                <a:ln w="9525" cap="flat" cmpd="sng">
                                  <a:solidFill>
                                    <a:srgbClr val="000000"/>
                                  </a:solidFill>
                                  <a:prstDash val="solid"/>
                                  <a:headEnd type="none" w="med" len="med"/>
                                  <a:tailEnd type="triangle" w="sm" len="med"/>
                                </a:ln>
                                <a:effectLst/>
                              </wps:spPr>
                              <wps:bodyPr upright="1"/>
                            </wps:wsp>
                            <wps:wsp>
                              <wps:cNvPr id="145" name="矩形 145"/>
                              <wps:cNvSpPr/>
                              <wps:spPr>
                                <a:xfrm>
                                  <a:off x="4478" y="12828"/>
                                  <a:ext cx="720" cy="312"/>
                                </a:xfrm>
                                <a:prstGeom prst="rect">
                                  <a:avLst/>
                                </a:prstGeom>
                                <a:noFill/>
                                <a:ln>
                                  <a:noFill/>
                                </a:ln>
                                <a:effectLst/>
                              </wps:spPr>
                              <wps:txbx>
                                <w:txbxContent>
                                  <w:p>
                                    <w:pPr>
                                      <w:jc w:val="center"/>
                                      <w:rPr>
                                        <w:rFonts w:hint="eastAsia"/>
                                      </w:rPr>
                                    </w:pPr>
                                    <w:r>
                                      <w:rPr>
                                        <w:rFonts w:hint="eastAsia"/>
                                      </w:rPr>
                                      <w:t>尾气</w:t>
                                    </w:r>
                                  </w:p>
                                </w:txbxContent>
                              </wps:txbx>
                              <wps:bodyPr vert="horz" wrap="square" lIns="0" tIns="0" rIns="0" bIns="0" anchor="t" upright="1"/>
                            </wps:wsp>
                            <wps:wsp>
                              <wps:cNvPr id="147" name="直接连接符 147"/>
                              <wps:cNvCnPr/>
                              <wps:spPr>
                                <a:xfrm flipV="1">
                                  <a:off x="6818" y="11268"/>
                                  <a:ext cx="0" cy="624"/>
                                </a:xfrm>
                                <a:prstGeom prst="line">
                                  <a:avLst/>
                                </a:prstGeom>
                                <a:ln w="9525" cap="flat" cmpd="sng">
                                  <a:solidFill>
                                    <a:srgbClr val="000000"/>
                                  </a:solidFill>
                                  <a:prstDash val="dash"/>
                                  <a:headEnd type="none" w="med" len="med"/>
                                  <a:tailEnd type="triangle" w="sm" len="med"/>
                                </a:ln>
                                <a:effectLst/>
                              </wps:spPr>
                              <wps:bodyPr upright="1"/>
                            </wps:wsp>
                            <wps:wsp>
                              <wps:cNvPr id="148" name="矩形 148"/>
                              <wps:cNvSpPr/>
                              <wps:spPr>
                                <a:xfrm>
                                  <a:off x="6818" y="11424"/>
                                  <a:ext cx="720" cy="312"/>
                                </a:xfrm>
                                <a:prstGeom prst="rect">
                                  <a:avLst/>
                                </a:prstGeom>
                                <a:noFill/>
                                <a:ln>
                                  <a:noFill/>
                                </a:ln>
                                <a:effectLst/>
                              </wps:spPr>
                              <wps:txbx>
                                <w:txbxContent>
                                  <w:p>
                                    <w:pPr>
                                      <w:jc w:val="center"/>
                                      <w:rPr>
                                        <w:rFonts w:hint="eastAsia"/>
                                      </w:rPr>
                                    </w:pPr>
                                    <w:r>
                                      <w:rPr>
                                        <w:rFonts w:hint="eastAsia"/>
                                      </w:rPr>
                                      <w:t>水蒸气</w:t>
                                    </w:r>
                                  </w:p>
                                </w:txbxContent>
                              </wps:txbx>
                              <wps:bodyPr vert="horz" wrap="square" lIns="0" tIns="0" rIns="0" bIns="0" anchor="t" upright="1"/>
                            </wps:wsp>
                            <wps:wsp>
                              <wps:cNvPr id="149" name="直接连接符 149"/>
                              <wps:cNvCnPr/>
                              <wps:spPr>
                                <a:xfrm flipV="1">
                                  <a:off x="6818" y="12360"/>
                                  <a:ext cx="0" cy="624"/>
                                </a:xfrm>
                                <a:prstGeom prst="line">
                                  <a:avLst/>
                                </a:prstGeom>
                                <a:ln w="9525" cap="flat" cmpd="sng">
                                  <a:solidFill>
                                    <a:srgbClr val="000000"/>
                                  </a:solidFill>
                                  <a:prstDash val="dash"/>
                                  <a:headEnd type="none" w="med" len="med"/>
                                  <a:tailEnd type="triangle" w="sm" len="med"/>
                                </a:ln>
                                <a:effectLst/>
                              </wps:spPr>
                              <wps:bodyPr upright="1"/>
                            </wps:wsp>
                            <wps:wsp>
                              <wps:cNvPr id="150" name="矩形 150"/>
                              <wps:cNvSpPr/>
                              <wps:spPr>
                                <a:xfrm>
                                  <a:off x="6818" y="12516"/>
                                  <a:ext cx="720" cy="312"/>
                                </a:xfrm>
                                <a:prstGeom prst="rect">
                                  <a:avLst/>
                                </a:prstGeom>
                                <a:noFill/>
                                <a:ln>
                                  <a:noFill/>
                                </a:ln>
                                <a:effectLst/>
                              </wps:spPr>
                              <wps:txbx>
                                <w:txbxContent>
                                  <w:p>
                                    <w:pPr>
                                      <w:jc w:val="center"/>
                                      <w:rPr>
                                        <w:rFonts w:hint="eastAsia"/>
                                      </w:rPr>
                                    </w:pPr>
                                    <w:r>
                                      <w:rPr>
                                        <w:rFonts w:hint="eastAsia"/>
                                      </w:rPr>
                                      <w:t>水蒸气</w:t>
                                    </w:r>
                                  </w:p>
                                </w:txbxContent>
                              </wps:txbx>
                              <wps:bodyPr vert="horz" wrap="square" lIns="0" tIns="0" rIns="0" bIns="0" anchor="t" upright="1"/>
                            </wps:wsp>
                            <wps:wsp>
                              <wps:cNvPr id="164" name="直接连接符 164"/>
                              <wps:cNvCnPr/>
                              <wps:spPr>
                                <a:xfrm>
                                  <a:off x="6998" y="12048"/>
                                  <a:ext cx="1620" cy="0"/>
                                </a:xfrm>
                                <a:prstGeom prst="line">
                                  <a:avLst/>
                                </a:prstGeom>
                                <a:ln w="9525" cap="flat" cmpd="sng">
                                  <a:solidFill>
                                    <a:srgbClr val="000000"/>
                                  </a:solidFill>
                                  <a:prstDash val="dash"/>
                                  <a:headEnd type="none" w="med" len="med"/>
                                  <a:tailEnd type="triangle" w="sm" len="med"/>
                                </a:ln>
                                <a:effectLst/>
                              </wps:spPr>
                              <wps:bodyPr upright="1"/>
                            </wps:wsp>
                            <wps:wsp>
                              <wps:cNvPr id="165" name="矩形 165"/>
                              <wps:cNvSpPr/>
                              <wps:spPr>
                                <a:xfrm>
                                  <a:off x="8618" y="11892"/>
                                  <a:ext cx="540" cy="312"/>
                                </a:xfrm>
                                <a:prstGeom prst="rect">
                                  <a:avLst/>
                                </a:prstGeom>
                                <a:noFill/>
                                <a:ln>
                                  <a:noFill/>
                                </a:ln>
                                <a:effectLst/>
                              </wps:spPr>
                              <wps:txbx>
                                <w:txbxContent>
                                  <w:p>
                                    <w:pPr>
                                      <w:jc w:val="center"/>
                                      <w:rPr>
                                        <w:rFonts w:hint="eastAsia"/>
                                      </w:rPr>
                                    </w:pPr>
                                    <w:r>
                                      <w:rPr>
                                        <w:rFonts w:hint="eastAsia"/>
                                      </w:rPr>
                                      <w:t>尾气</w:t>
                                    </w:r>
                                  </w:p>
                                </w:txbxContent>
                              </wps:txbx>
                              <wps:bodyPr vert="horz" wrap="square" lIns="0" tIns="0" rIns="0" bIns="0" anchor="t" upright="1"/>
                            </wps:wsp>
                            <wps:wsp>
                              <wps:cNvPr id="166" name="直接连接符 166"/>
                              <wps:cNvCnPr/>
                              <wps:spPr>
                                <a:xfrm flipH="1">
                                  <a:off x="4298" y="10644"/>
                                  <a:ext cx="1440" cy="0"/>
                                </a:xfrm>
                                <a:prstGeom prst="line">
                                  <a:avLst/>
                                </a:prstGeom>
                                <a:ln w="9525" cap="flat" cmpd="sng">
                                  <a:solidFill>
                                    <a:srgbClr val="000000"/>
                                  </a:solidFill>
                                  <a:prstDash val="solid"/>
                                  <a:headEnd type="none" w="med" len="med"/>
                                  <a:tailEnd type="none" w="sm" len="med"/>
                                </a:ln>
                                <a:effectLst/>
                              </wps:spPr>
                              <wps:bodyPr upright="1"/>
                            </wps:wsp>
                            <wps:wsp>
                              <wps:cNvPr id="167" name="矩形 167"/>
                              <wps:cNvSpPr/>
                              <wps:spPr>
                                <a:xfrm>
                                  <a:off x="3938" y="10488"/>
                                  <a:ext cx="360" cy="312"/>
                                </a:xfrm>
                                <a:prstGeom prst="rect">
                                  <a:avLst/>
                                </a:prstGeom>
                                <a:noFill/>
                                <a:ln>
                                  <a:noFill/>
                                </a:ln>
                                <a:effectLst/>
                              </wps:spPr>
                              <wps:txbx>
                                <w:txbxContent>
                                  <w:p>
                                    <w:pPr>
                                      <w:jc w:val="center"/>
                                      <w:rPr>
                                        <w:rFonts w:hint="eastAsia"/>
                                      </w:rPr>
                                    </w:pPr>
                                    <w:r>
                                      <w:rPr>
                                        <w:rFonts w:hint="eastAsia"/>
                                      </w:rPr>
                                      <w:t>水</w:t>
                                    </w:r>
                                  </w:p>
                                </w:txbxContent>
                              </wps:txbx>
                              <wps:bodyPr vert="horz" wrap="square" lIns="0" tIns="0" rIns="0" bIns="0" anchor="t" upright="1"/>
                            </wps:wsp>
                            <wps:wsp>
                              <wps:cNvPr id="168" name="直接连接符 168"/>
                              <wps:cNvCnPr/>
                              <wps:spPr>
                                <a:xfrm>
                                  <a:off x="6818" y="13296"/>
                                  <a:ext cx="0" cy="624"/>
                                </a:xfrm>
                                <a:prstGeom prst="line">
                                  <a:avLst/>
                                </a:prstGeom>
                                <a:ln w="9525" cap="flat" cmpd="sng">
                                  <a:solidFill>
                                    <a:srgbClr val="000000"/>
                                  </a:solidFill>
                                  <a:prstDash val="dash"/>
                                  <a:headEnd type="none" w="med" len="med"/>
                                  <a:tailEnd type="triangle" w="sm" len="med"/>
                                </a:ln>
                                <a:effectLst/>
                              </wps:spPr>
                              <wps:bodyPr upright="1"/>
                            </wps:wsp>
                            <wps:wsp>
                              <wps:cNvPr id="169" name="直接连接符 169"/>
                              <wps:cNvCnPr/>
                              <wps:spPr>
                                <a:xfrm flipV="1">
                                  <a:off x="6818" y="13921"/>
                                  <a:ext cx="2948" cy="13"/>
                                </a:xfrm>
                                <a:prstGeom prst="line">
                                  <a:avLst/>
                                </a:prstGeom>
                                <a:ln w="9525" cap="flat" cmpd="sng">
                                  <a:solidFill>
                                    <a:srgbClr val="000000"/>
                                  </a:solidFill>
                                  <a:prstDash val="dash"/>
                                  <a:headEnd type="none" w="med" len="med"/>
                                  <a:tailEnd type="none" w="med" len="med"/>
                                </a:ln>
                                <a:effectLst/>
                              </wps:spPr>
                              <wps:bodyPr upright="1"/>
                            </wps:wsp>
                            <wps:wsp>
                              <wps:cNvPr id="170" name="直接连接符 170"/>
                              <wps:cNvCnPr/>
                              <wps:spPr>
                                <a:xfrm flipV="1">
                                  <a:off x="9741" y="2545"/>
                                  <a:ext cx="0" cy="11388"/>
                                </a:xfrm>
                                <a:prstGeom prst="line">
                                  <a:avLst/>
                                </a:prstGeom>
                                <a:ln w="9525" cap="flat" cmpd="sng">
                                  <a:solidFill>
                                    <a:srgbClr val="000000"/>
                                  </a:solidFill>
                                  <a:prstDash val="dash"/>
                                  <a:headEnd type="none" w="med" len="med"/>
                                  <a:tailEnd type="none" w="med" len="med"/>
                                </a:ln>
                                <a:effectLst/>
                              </wps:spPr>
                              <wps:bodyPr upright="1"/>
                            </wps:wsp>
                            <wps:wsp>
                              <wps:cNvPr id="171" name="直接连接符 171"/>
                              <wps:cNvCnPr/>
                              <wps:spPr>
                                <a:xfrm flipH="1">
                                  <a:off x="6998" y="2532"/>
                                  <a:ext cx="2730" cy="1"/>
                                </a:xfrm>
                                <a:prstGeom prst="line">
                                  <a:avLst/>
                                </a:prstGeom>
                                <a:ln w="9525" cap="flat" cmpd="sng">
                                  <a:solidFill>
                                    <a:srgbClr val="000000"/>
                                  </a:solidFill>
                                  <a:prstDash val="dash"/>
                                  <a:headEnd type="none" w="med" len="med"/>
                                  <a:tailEnd type="triangle" w="sm" len="med"/>
                                </a:ln>
                                <a:effectLst/>
                              </wps:spPr>
                              <wps:bodyPr upright="1"/>
                            </wps:wsp>
                            <wps:wsp>
                              <wps:cNvPr id="172" name="矩形 172"/>
                              <wps:cNvSpPr/>
                              <wps:spPr>
                                <a:xfrm>
                                  <a:off x="6818" y="13452"/>
                                  <a:ext cx="360" cy="312"/>
                                </a:xfrm>
                                <a:prstGeom prst="rect">
                                  <a:avLst/>
                                </a:prstGeom>
                                <a:noFill/>
                                <a:ln>
                                  <a:noFill/>
                                </a:ln>
                                <a:effectLst/>
                              </wps:spPr>
                              <wps:txbx>
                                <w:txbxContent>
                                  <w:p>
                                    <w:pPr>
                                      <w:jc w:val="center"/>
                                      <w:rPr>
                                        <w:rFonts w:hint="eastAsia"/>
                                      </w:rPr>
                                    </w:pPr>
                                    <w:r>
                                      <w:rPr>
                                        <w:rFonts w:hint="eastAsia"/>
                                      </w:rPr>
                                      <w:t>S9</w:t>
                                    </w:r>
                                  </w:p>
                                </w:txbxContent>
                              </wps:txbx>
                              <wps:bodyPr vert="horz" wrap="square" lIns="0" tIns="0" rIns="0" bIns="0" anchor="t" upright="1"/>
                            </wps:wsp>
                            <wps:wsp>
                              <wps:cNvPr id="173" name="直接连接符 173"/>
                              <wps:cNvCnPr/>
                              <wps:spPr>
                                <a:xfrm flipV="1">
                                  <a:off x="6998" y="10943"/>
                                  <a:ext cx="2567" cy="13"/>
                                </a:xfrm>
                                <a:prstGeom prst="line">
                                  <a:avLst/>
                                </a:prstGeom>
                                <a:ln w="9525" cap="flat" cmpd="sng">
                                  <a:solidFill>
                                    <a:srgbClr val="000000"/>
                                  </a:solidFill>
                                  <a:prstDash val="dash"/>
                                  <a:headEnd type="none" w="med" len="med"/>
                                  <a:tailEnd type="none" w="sm" len="med"/>
                                </a:ln>
                                <a:effectLst/>
                              </wps:spPr>
                              <wps:bodyPr upright="1"/>
                            </wps:wsp>
                            <wps:wsp>
                              <wps:cNvPr id="174" name="矩形 174"/>
                              <wps:cNvSpPr/>
                              <wps:spPr>
                                <a:xfrm>
                                  <a:off x="8438" y="10644"/>
                                  <a:ext cx="360" cy="312"/>
                                </a:xfrm>
                                <a:prstGeom prst="rect">
                                  <a:avLst/>
                                </a:prstGeom>
                                <a:noFill/>
                                <a:ln>
                                  <a:noFill/>
                                </a:ln>
                                <a:effectLst/>
                              </wps:spPr>
                              <wps:txbx>
                                <w:txbxContent>
                                  <w:p>
                                    <w:pPr>
                                      <w:jc w:val="center"/>
                                      <w:rPr>
                                        <w:rFonts w:hint="eastAsia"/>
                                      </w:rPr>
                                    </w:pPr>
                                    <w:r>
                                      <w:rPr>
                                        <w:rFonts w:hint="eastAsia"/>
                                      </w:rPr>
                                      <w:t>S8</w:t>
                                    </w:r>
                                  </w:p>
                                </w:txbxContent>
                              </wps:txbx>
                              <wps:bodyPr vert="horz" wrap="square" lIns="0" tIns="0" rIns="0" bIns="0" anchor="t" upright="1"/>
                            </wps:wsp>
                            <wps:wsp>
                              <wps:cNvPr id="175" name="矩形 175"/>
                              <wps:cNvSpPr/>
                              <wps:spPr>
                                <a:xfrm>
                                  <a:off x="3758" y="15480"/>
                                  <a:ext cx="4860" cy="312"/>
                                </a:xfrm>
                                <a:prstGeom prst="rect">
                                  <a:avLst/>
                                </a:prstGeom>
                                <a:noFill/>
                                <a:ln>
                                  <a:noFill/>
                                </a:ln>
                                <a:effectLst/>
                              </wps:spPr>
                              <wps:txbx>
                                <w:txbxContent>
                                  <w:p>
                                    <w:pPr>
                                      <w:jc w:val="center"/>
                                      <w:rPr>
                                        <w:rFonts w:hint="eastAsia" w:ascii="黑体" w:eastAsia="黑体"/>
                                        <w:sz w:val="24"/>
                                      </w:rPr>
                                    </w:pPr>
                                    <w:r>
                                      <w:rPr>
                                        <w:rFonts w:hint="eastAsia" w:ascii="黑体" w:eastAsia="黑体"/>
                                        <w:sz w:val="24"/>
                                      </w:rPr>
                                      <w:t>图</w:t>
                                    </w:r>
                                    <w:r>
                                      <w:rPr>
                                        <w:rFonts w:hint="eastAsia" w:ascii="黑体" w:hAnsi="宋体" w:eastAsia="黑体"/>
                                        <w:bCs/>
                                        <w:sz w:val="24"/>
                                      </w:rPr>
                                      <w:t>1</w:t>
                                    </w:r>
                                    <w:r>
                                      <w:rPr>
                                        <w:rFonts w:hint="eastAsia" w:ascii="黑体" w:hAnsi="宋体" w:eastAsia="黑体"/>
                                        <w:bCs/>
                                        <w:sz w:val="24"/>
                                        <w:lang w:val="en-US" w:eastAsia="zh-CN"/>
                                      </w:rPr>
                                      <w:t>-1</w:t>
                                    </w:r>
                                    <w:r>
                                      <w:rPr>
                                        <w:rFonts w:hint="eastAsia" w:ascii="黑体" w:hAnsi="宋体" w:eastAsia="黑体"/>
                                        <w:bCs/>
                                        <w:sz w:val="24"/>
                                      </w:rPr>
                                      <w:t xml:space="preserve">   碱性砖生产线工艺流程图</w:t>
                                    </w:r>
                                  </w:p>
                                </w:txbxContent>
                              </wps:txbx>
                              <wps:bodyPr vert="horz" wrap="square" lIns="0" tIns="0" rIns="0" bIns="0" anchor="t" upright="1"/>
                            </wps:wsp>
                            <wps:wsp>
                              <wps:cNvPr id="176" name="直接连接符 176"/>
                              <wps:cNvCnPr/>
                              <wps:spPr>
                                <a:xfrm flipH="1">
                                  <a:off x="6998" y="7992"/>
                                  <a:ext cx="1080" cy="0"/>
                                </a:xfrm>
                                <a:prstGeom prst="line">
                                  <a:avLst/>
                                </a:prstGeom>
                                <a:ln w="9525" cap="flat" cmpd="sng">
                                  <a:solidFill>
                                    <a:srgbClr val="000000"/>
                                  </a:solidFill>
                                  <a:prstDash val="solid"/>
                                  <a:headEnd type="none" w="med" len="med"/>
                                  <a:tailEnd type="triangle" w="sm" len="med"/>
                                </a:ln>
                                <a:effectLst/>
                              </wps:spPr>
                              <wps:bodyPr upright="1"/>
                            </wps:wsp>
                            <wps:wsp>
                              <wps:cNvPr id="177" name="矩形 177"/>
                              <wps:cNvSpPr/>
                              <wps:spPr>
                                <a:xfrm>
                                  <a:off x="8078" y="7836"/>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外购成品料</w:t>
                                    </w:r>
                                  </w:p>
                                </w:txbxContent>
                              </wps:txbx>
                              <wps:bodyPr vert="horz" wrap="square" lIns="0" tIns="0" rIns="0" bIns="0" anchor="t" upright="1"/>
                            </wps:wsp>
                            <wps:wsp>
                              <wps:cNvPr id="178" name="直接连接符 178"/>
                              <wps:cNvCnPr/>
                              <wps:spPr>
                                <a:xfrm flipH="1">
                                  <a:off x="6998" y="10176"/>
                                  <a:ext cx="900" cy="0"/>
                                </a:xfrm>
                                <a:prstGeom prst="line">
                                  <a:avLst/>
                                </a:prstGeom>
                                <a:ln w="9525" cap="flat" cmpd="sng">
                                  <a:solidFill>
                                    <a:srgbClr val="000000"/>
                                  </a:solidFill>
                                  <a:prstDash val="solid"/>
                                  <a:headEnd type="none" w="med" len="med"/>
                                  <a:tailEnd type="triangle" w="sm" len="med"/>
                                </a:ln>
                                <a:effectLst/>
                              </wps:spPr>
                              <wps:bodyPr upright="1"/>
                            </wps:wsp>
                            <wps:wsp>
                              <wps:cNvPr id="179" name="矩形 179"/>
                              <wps:cNvSpPr/>
                              <wps:spPr>
                                <a:xfrm>
                                  <a:off x="7898" y="10020"/>
                                  <a:ext cx="90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结合剂</w:t>
                                    </w:r>
                                  </w:p>
                                </w:txbxContent>
                              </wps:txbx>
                              <wps:bodyPr vert="horz" wrap="square" lIns="0" tIns="0" rIns="0" bIns="0" anchor="t" upright="1"/>
                            </wps:wsp>
                            <wps:wsp>
                              <wps:cNvPr id="180" name="矩形 180"/>
                              <wps:cNvSpPr/>
                              <wps:spPr>
                                <a:xfrm>
                                  <a:off x="7538" y="11736"/>
                                  <a:ext cx="720" cy="312"/>
                                </a:xfrm>
                                <a:prstGeom prst="rect">
                                  <a:avLst/>
                                </a:prstGeom>
                                <a:noFill/>
                                <a:ln>
                                  <a:noFill/>
                                </a:ln>
                                <a:effectLst/>
                              </wps:spPr>
                              <wps:txbx>
                                <w:txbxContent>
                                  <w:p>
                                    <w:pPr>
                                      <w:jc w:val="center"/>
                                      <w:rPr>
                                        <w:rFonts w:hint="eastAsia"/>
                                      </w:rPr>
                                    </w:pPr>
                                    <w:r>
                                      <w:rPr>
                                        <w:rFonts w:hint="eastAsia"/>
                                      </w:rPr>
                                      <w:t>G6</w:t>
                                    </w:r>
                                  </w:p>
                                </w:txbxContent>
                              </wps:txbx>
                              <wps:bodyPr vert="horz" wrap="square" lIns="0" tIns="0" rIns="0" bIns="0" anchor="t" upright="1"/>
                            </wps:wsp>
                            <wps:wsp>
                              <wps:cNvPr id="181" name="直接连接符 181"/>
                              <wps:cNvCnPr/>
                              <wps:spPr>
                                <a:xfrm flipH="1" flipV="1">
                                  <a:off x="1958" y="7056"/>
                                  <a:ext cx="900" cy="0"/>
                                </a:xfrm>
                                <a:prstGeom prst="line">
                                  <a:avLst/>
                                </a:prstGeom>
                                <a:ln w="9525" cap="flat" cmpd="sng">
                                  <a:solidFill>
                                    <a:srgbClr val="000000"/>
                                  </a:solidFill>
                                  <a:prstDash val="dash"/>
                                  <a:headEnd type="none" w="med" len="med"/>
                                  <a:tailEnd type="none" w="sm" len="med"/>
                                </a:ln>
                                <a:effectLst/>
                              </wps:spPr>
                              <wps:bodyPr upright="1"/>
                            </wps:wsp>
                            <wps:wsp>
                              <wps:cNvPr id="182" name="矩形 182"/>
                              <wps:cNvSpPr/>
                              <wps:spPr>
                                <a:xfrm>
                                  <a:off x="878" y="7836"/>
                                  <a:ext cx="162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布袋除尘器</w:t>
                                    </w:r>
                                  </w:p>
                                </w:txbxContent>
                              </wps:txbx>
                              <wps:bodyPr vert="horz" wrap="square" lIns="0" tIns="0" rIns="0" bIns="0" anchor="t" upright="1"/>
                            </wps:wsp>
                            <wps:wsp>
                              <wps:cNvPr id="183" name="直接连接符 183"/>
                              <wps:cNvCnPr/>
                              <wps:spPr>
                                <a:xfrm>
                                  <a:off x="1958" y="7056"/>
                                  <a:ext cx="0" cy="780"/>
                                </a:xfrm>
                                <a:prstGeom prst="line">
                                  <a:avLst/>
                                </a:prstGeom>
                                <a:ln w="9525" cap="flat" cmpd="sng">
                                  <a:solidFill>
                                    <a:srgbClr val="000000"/>
                                  </a:solidFill>
                                  <a:prstDash val="dash"/>
                                  <a:headEnd type="none" w="med" len="med"/>
                                  <a:tailEnd type="triangle" w="sm" len="med"/>
                                </a:ln>
                                <a:effectLst/>
                              </wps:spPr>
                              <wps:bodyPr upright="1"/>
                            </wps:wsp>
                            <wps:wsp>
                              <wps:cNvPr id="184" name="直接连接符 184"/>
                              <wps:cNvCnPr/>
                              <wps:spPr>
                                <a:xfrm flipH="1">
                                  <a:off x="4478" y="10176"/>
                                  <a:ext cx="1080" cy="0"/>
                                </a:xfrm>
                                <a:prstGeom prst="line">
                                  <a:avLst/>
                                </a:prstGeom>
                                <a:ln w="9525" cap="flat" cmpd="sng">
                                  <a:solidFill>
                                    <a:srgbClr val="000000"/>
                                  </a:solidFill>
                                  <a:prstDash val="dash"/>
                                  <a:headEnd type="none" w="med" len="med"/>
                                  <a:tailEnd type="triangle" w="sm" len="med"/>
                                </a:ln>
                                <a:effectLst/>
                              </wps:spPr>
                              <wps:bodyPr upright="1"/>
                            </wps:wsp>
                            <wps:wsp>
                              <wps:cNvPr id="185" name="矩形 185"/>
                              <wps:cNvSpPr/>
                              <wps:spPr>
                                <a:xfrm>
                                  <a:off x="3038" y="10020"/>
                                  <a:ext cx="1440" cy="312"/>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布袋除尘器</w:t>
                                    </w:r>
                                  </w:p>
                                </w:txbxContent>
                              </wps:txbx>
                              <wps:bodyPr vert="horz" wrap="square" lIns="0" tIns="0" rIns="0" bIns="0" anchor="t" upright="1"/>
                            </wps:wsp>
                            <wps:wsp>
                              <wps:cNvPr id="186" name="直接连接符 186"/>
                              <wps:cNvCnPr/>
                              <wps:spPr>
                                <a:xfrm flipH="1" flipV="1">
                                  <a:off x="3758" y="9708"/>
                                  <a:ext cx="0" cy="312"/>
                                </a:xfrm>
                                <a:prstGeom prst="line">
                                  <a:avLst/>
                                </a:prstGeom>
                                <a:ln w="9525" cap="flat" cmpd="sng">
                                  <a:solidFill>
                                    <a:srgbClr val="000000"/>
                                  </a:solidFill>
                                  <a:prstDash val="dash"/>
                                  <a:headEnd type="none" w="med" len="med"/>
                                  <a:tailEnd type="none" w="sm" len="med"/>
                                </a:ln>
                                <a:effectLst/>
                              </wps:spPr>
                              <wps:bodyPr upright="1"/>
                            </wps:wsp>
                            <wps:wsp>
                              <wps:cNvPr id="187" name="直接连接符 187"/>
                              <wps:cNvCnPr/>
                              <wps:spPr>
                                <a:xfrm flipV="1">
                                  <a:off x="1238" y="7368"/>
                                  <a:ext cx="0" cy="468"/>
                                </a:xfrm>
                                <a:prstGeom prst="line">
                                  <a:avLst/>
                                </a:prstGeom>
                                <a:ln w="9525" cap="flat" cmpd="sng">
                                  <a:solidFill>
                                    <a:srgbClr val="000000"/>
                                  </a:solidFill>
                                  <a:prstDash val="dash"/>
                                  <a:headEnd type="none" w="med" len="med"/>
                                  <a:tailEnd type="triangle" w="sm" len="med"/>
                                </a:ln>
                                <a:effectLst/>
                              </wps:spPr>
                              <wps:bodyPr upright="1"/>
                            </wps:wsp>
                            <wps:wsp>
                              <wps:cNvPr id="188" name="矩形 188"/>
                              <wps:cNvSpPr/>
                              <wps:spPr>
                                <a:xfrm>
                                  <a:off x="878" y="7056"/>
                                  <a:ext cx="720" cy="312"/>
                                </a:xfrm>
                                <a:prstGeom prst="rect">
                                  <a:avLst/>
                                </a:prstGeom>
                                <a:noFill/>
                                <a:ln>
                                  <a:noFill/>
                                </a:ln>
                                <a:effectLst/>
                              </wps:spPr>
                              <wps:txbx>
                                <w:txbxContent>
                                  <w:p>
                                    <w:pPr>
                                      <w:jc w:val="center"/>
                                      <w:rPr>
                                        <w:rFonts w:hint="eastAsia"/>
                                      </w:rPr>
                                    </w:pPr>
                                    <w:r>
                                      <w:rPr>
                                        <w:rFonts w:hint="eastAsia"/>
                                      </w:rPr>
                                      <w:t>G4</w:t>
                                    </w:r>
                                  </w:p>
                                </w:txbxContent>
                              </wps:txbx>
                              <wps:bodyPr vert="horz" wrap="square" lIns="0" tIns="0" rIns="0" bIns="0" anchor="t" upright="1"/>
                            </wps:wsp>
                            <wps:wsp>
                              <wps:cNvPr id="189" name="直接连接符 189"/>
                              <wps:cNvCnPr/>
                              <wps:spPr>
                                <a:xfrm flipH="1">
                                  <a:off x="2138" y="10176"/>
                                  <a:ext cx="900" cy="0"/>
                                </a:xfrm>
                                <a:prstGeom prst="line">
                                  <a:avLst/>
                                </a:prstGeom>
                                <a:ln w="9525" cap="flat" cmpd="sng">
                                  <a:solidFill>
                                    <a:srgbClr val="000000"/>
                                  </a:solidFill>
                                  <a:prstDash val="dash"/>
                                  <a:headEnd type="none" w="med" len="med"/>
                                  <a:tailEnd type="triangle" w="sm" len="med"/>
                                </a:ln>
                                <a:effectLst/>
                              </wps:spPr>
                              <wps:bodyPr upright="1"/>
                            </wps:wsp>
                            <wps:wsp>
                              <wps:cNvPr id="190" name="矩形 190"/>
                              <wps:cNvSpPr/>
                              <wps:spPr>
                                <a:xfrm>
                                  <a:off x="1778" y="10020"/>
                                  <a:ext cx="360" cy="312"/>
                                </a:xfrm>
                                <a:prstGeom prst="rect">
                                  <a:avLst/>
                                </a:prstGeom>
                                <a:noFill/>
                                <a:ln>
                                  <a:noFill/>
                                </a:ln>
                                <a:effectLst/>
                              </wps:spPr>
                              <wps:txbx>
                                <w:txbxContent>
                                  <w:p>
                                    <w:pPr>
                                      <w:jc w:val="center"/>
                                      <w:rPr>
                                        <w:rFonts w:hint="eastAsia"/>
                                      </w:rPr>
                                    </w:pPr>
                                    <w:r>
                                      <w:rPr>
                                        <w:rFonts w:hint="eastAsia"/>
                                      </w:rPr>
                                      <w:t>G5</w:t>
                                    </w:r>
                                  </w:p>
                                </w:txbxContent>
                              </wps:txbx>
                              <wps:bodyPr vert="horz" wrap="square" lIns="0" tIns="0" rIns="0" bIns="0" anchor="t" upright="1"/>
                            </wps:wsp>
                            <wps:wsp>
                              <wps:cNvPr id="191" name="直接连接符 191"/>
                              <wps:cNvCnPr/>
                              <wps:spPr>
                                <a:xfrm>
                                  <a:off x="6818" y="9708"/>
                                  <a:ext cx="0" cy="312"/>
                                </a:xfrm>
                                <a:prstGeom prst="line">
                                  <a:avLst/>
                                </a:prstGeom>
                                <a:ln w="9525" cap="flat" cmpd="sng">
                                  <a:solidFill>
                                    <a:srgbClr val="000000"/>
                                  </a:solidFill>
                                  <a:prstDash val="solid"/>
                                  <a:headEnd type="none" w="med" len="med"/>
                                  <a:tailEnd type="triangle" w="sm" len="med"/>
                                </a:ln>
                                <a:effectLst/>
                              </wps:spPr>
                              <wps:bodyPr upright="1"/>
                            </wps:wsp>
                            <wps:wsp>
                              <wps:cNvPr id="192" name="直接连接符 192"/>
                              <wps:cNvCnPr/>
                              <wps:spPr>
                                <a:xfrm>
                                  <a:off x="2498" y="7992"/>
                                  <a:ext cx="1080" cy="0"/>
                                </a:xfrm>
                                <a:prstGeom prst="line">
                                  <a:avLst/>
                                </a:prstGeom>
                                <a:ln w="9525" cap="flat" cmpd="sng">
                                  <a:solidFill>
                                    <a:srgbClr val="000000"/>
                                  </a:solidFill>
                                  <a:prstDash val="dash"/>
                                  <a:headEnd type="none" w="med" len="med"/>
                                  <a:tailEnd type="triangle" w="sm" len="med"/>
                                </a:ln>
                                <a:effectLst/>
                              </wps:spPr>
                              <wps:bodyPr upright="1"/>
                            </wps:wsp>
                            <wps:wsp>
                              <wps:cNvPr id="193" name="直接连接符 193"/>
                              <wps:cNvCnPr/>
                              <wps:spPr>
                                <a:xfrm>
                                  <a:off x="3758" y="9708"/>
                                  <a:ext cx="1980" cy="0"/>
                                </a:xfrm>
                                <a:prstGeom prst="line">
                                  <a:avLst/>
                                </a:prstGeom>
                                <a:ln w="9525" cap="flat" cmpd="sng">
                                  <a:solidFill>
                                    <a:srgbClr val="000000"/>
                                  </a:solidFill>
                                  <a:prstDash val="dash"/>
                                  <a:headEnd type="none" w="med" len="med"/>
                                  <a:tailEnd type="none" w="med" len="med"/>
                                </a:ln>
                                <a:effectLst/>
                              </wps:spPr>
                              <wps:bodyPr upright="1"/>
                            </wps:wsp>
                            <wps:wsp>
                              <wps:cNvPr id="194" name="直接连接符 194"/>
                              <wps:cNvCnPr/>
                              <wps:spPr>
                                <a:xfrm>
                                  <a:off x="5738" y="9708"/>
                                  <a:ext cx="0" cy="312"/>
                                </a:xfrm>
                                <a:prstGeom prst="line">
                                  <a:avLst/>
                                </a:prstGeom>
                                <a:ln w="9525" cap="flat" cmpd="sng">
                                  <a:solidFill>
                                    <a:srgbClr val="000000"/>
                                  </a:solidFill>
                                  <a:prstDash val="dash"/>
                                  <a:headEnd type="none" w="med" len="med"/>
                                  <a:tailEnd type="triangle" w="sm" len="med"/>
                                </a:ln>
                                <a:effectLst/>
                              </wps:spPr>
                              <wps:bodyPr upright="1"/>
                            </wps:wsp>
                            <wps:wsp>
                              <wps:cNvPr id="195" name="直接连接符 195"/>
                              <wps:cNvCnPr/>
                              <wps:spPr>
                                <a:xfrm flipH="1" flipV="1">
                                  <a:off x="9616" y="9695"/>
                                  <a:ext cx="3" cy="1248"/>
                                </a:xfrm>
                                <a:prstGeom prst="line">
                                  <a:avLst/>
                                </a:prstGeom>
                                <a:ln w="9525" cap="flat" cmpd="sng">
                                  <a:solidFill>
                                    <a:srgbClr val="000000"/>
                                  </a:solidFill>
                                  <a:prstDash val="dash"/>
                                  <a:headEnd type="none" w="med" len="med"/>
                                  <a:tailEnd type="none" w="med" len="med"/>
                                </a:ln>
                                <a:effectLst/>
                              </wps:spPr>
                              <wps:bodyPr upright="1"/>
                            </wps:wsp>
                            <wps:wsp>
                              <wps:cNvPr id="196" name="直接连接符 196"/>
                              <wps:cNvCnPr/>
                              <wps:spPr>
                                <a:xfrm flipH="1" flipV="1">
                                  <a:off x="6818" y="9709"/>
                                  <a:ext cx="2810" cy="13"/>
                                </a:xfrm>
                                <a:prstGeom prst="line">
                                  <a:avLst/>
                                </a:prstGeom>
                                <a:ln w="9525" cap="flat" cmpd="sng">
                                  <a:solidFill>
                                    <a:srgbClr val="000000"/>
                                  </a:solidFill>
                                  <a:prstDash val="dash"/>
                                  <a:headEnd type="none" w="med" len="med"/>
                                  <a:tailEnd type="none" w="med" len="med"/>
                                </a:ln>
                                <a:effectLst/>
                              </wps:spPr>
                              <wps:bodyPr upright="1"/>
                            </wps:wsp>
                            <wps:wsp>
                              <wps:cNvPr id="197" name="矩形 197"/>
                              <wps:cNvSpPr/>
                              <wps:spPr>
                                <a:xfrm>
                                  <a:off x="2678" y="7680"/>
                                  <a:ext cx="720" cy="312"/>
                                </a:xfrm>
                                <a:prstGeom prst="rect">
                                  <a:avLst/>
                                </a:prstGeom>
                                <a:noFill/>
                                <a:ln>
                                  <a:noFill/>
                                </a:ln>
                                <a:effectLst/>
                              </wps:spPr>
                              <wps:txbx>
                                <w:txbxContent>
                                  <w:p>
                                    <w:pPr>
                                      <w:jc w:val="center"/>
                                      <w:rPr>
                                        <w:rFonts w:hint="eastAsia"/>
                                      </w:rPr>
                                    </w:pPr>
                                    <w:r>
                                      <w:rPr>
                                        <w:rFonts w:hint="eastAsia"/>
                                      </w:rPr>
                                      <w:t>S6</w:t>
                                    </w:r>
                                  </w:p>
                                </w:txbxContent>
                              </wps:txbx>
                              <wps:bodyPr vert="horz" wrap="square" lIns="0" tIns="0" rIns="0" bIns="0" anchor="t" upright="1"/>
                            </wps:wsp>
                            <wps:wsp>
                              <wps:cNvPr id="198" name="直接连接符 198"/>
                              <wps:cNvCnPr/>
                              <wps:spPr>
                                <a:xfrm>
                                  <a:off x="5738" y="13296"/>
                                  <a:ext cx="0" cy="468"/>
                                </a:xfrm>
                                <a:prstGeom prst="line">
                                  <a:avLst/>
                                </a:prstGeom>
                                <a:ln w="9525" cap="flat" cmpd="sng">
                                  <a:solidFill>
                                    <a:srgbClr val="000000"/>
                                  </a:solidFill>
                                  <a:prstDash val="dash"/>
                                  <a:headEnd type="none" w="med" len="med"/>
                                  <a:tailEnd type="none" w="sm" len="med"/>
                                </a:ln>
                                <a:effectLst/>
                              </wps:spPr>
                              <wps:bodyPr upright="1"/>
                            </wps:wsp>
                            <wps:wsp>
                              <wps:cNvPr id="199" name="直接连接符 199"/>
                              <wps:cNvCnPr/>
                              <wps:spPr>
                                <a:xfrm flipH="1">
                                  <a:off x="4298" y="13764"/>
                                  <a:ext cx="1440" cy="0"/>
                                </a:xfrm>
                                <a:prstGeom prst="line">
                                  <a:avLst/>
                                </a:prstGeom>
                                <a:ln w="9525" cap="flat" cmpd="sng">
                                  <a:solidFill>
                                    <a:srgbClr val="000000"/>
                                  </a:solidFill>
                                  <a:prstDash val="dash"/>
                                  <a:headEnd type="none" w="med" len="med"/>
                                  <a:tailEnd type="triangle" w="sm" len="med"/>
                                </a:ln>
                                <a:effectLst/>
                              </wps:spPr>
                              <wps:bodyPr upright="1"/>
                            </wps:wsp>
                            <wps:wsp>
                              <wps:cNvPr id="200" name="矩形 200"/>
                              <wps:cNvSpPr/>
                              <wps:spPr>
                                <a:xfrm>
                                  <a:off x="3578" y="13608"/>
                                  <a:ext cx="720" cy="312"/>
                                </a:xfrm>
                                <a:prstGeom prst="rect">
                                  <a:avLst/>
                                </a:prstGeom>
                                <a:noFill/>
                                <a:ln>
                                  <a:noFill/>
                                </a:ln>
                                <a:effectLst/>
                              </wps:spPr>
                              <wps:txbx>
                                <w:txbxContent>
                                  <w:p>
                                    <w:pPr>
                                      <w:jc w:val="center"/>
                                      <w:rPr>
                                        <w:rFonts w:hint="eastAsia"/>
                                      </w:rPr>
                                    </w:pPr>
                                    <w:r>
                                      <w:rPr>
                                        <w:rFonts w:hint="eastAsia"/>
                                      </w:rPr>
                                      <w:t>烟气</w:t>
                                    </w:r>
                                  </w:p>
                                </w:txbxContent>
                              </wps:txbx>
                              <wps:bodyPr vert="horz" wrap="square" lIns="0" tIns="0" rIns="0" bIns="0" anchor="t" upright="1"/>
                            </wps:wsp>
                            <wps:wsp>
                              <wps:cNvPr id="201" name="矩形 201"/>
                              <wps:cNvSpPr/>
                              <wps:spPr>
                                <a:xfrm>
                                  <a:off x="4658" y="13452"/>
                                  <a:ext cx="720" cy="312"/>
                                </a:xfrm>
                                <a:prstGeom prst="rect">
                                  <a:avLst/>
                                </a:prstGeom>
                                <a:noFill/>
                                <a:ln>
                                  <a:noFill/>
                                </a:ln>
                                <a:effectLst/>
                              </wps:spPr>
                              <wps:txbx>
                                <w:txbxContent>
                                  <w:p>
                                    <w:pPr>
                                      <w:jc w:val="center"/>
                                      <w:rPr>
                                        <w:rFonts w:hint="eastAsia"/>
                                      </w:rPr>
                                    </w:pPr>
                                    <w:r>
                                      <w:rPr>
                                        <w:rFonts w:hint="eastAsia"/>
                                      </w:rPr>
                                      <w:t>G7</w:t>
                                    </w:r>
                                  </w:p>
                                </w:txbxContent>
                              </wps:txbx>
                              <wps:bodyPr vert="horz" wrap="square" lIns="0" tIns="0" rIns="0" bIns="0" anchor="t" upright="1"/>
                            </wps:wsp>
                            <wps:wsp>
                              <wps:cNvPr id="202" name="直接连接符 202"/>
                              <wps:cNvCnPr/>
                              <wps:spPr>
                                <a:xfrm>
                                  <a:off x="1241" y="4872"/>
                                  <a:ext cx="4320" cy="0"/>
                                </a:xfrm>
                                <a:prstGeom prst="line">
                                  <a:avLst/>
                                </a:prstGeom>
                                <a:ln w="9525" cap="flat" cmpd="sng">
                                  <a:solidFill>
                                    <a:srgbClr val="000000"/>
                                  </a:solidFill>
                                  <a:prstDash val="solid"/>
                                  <a:headEnd type="none" w="med" len="med"/>
                                  <a:tailEnd type="triangle" w="sm" len="med"/>
                                </a:ln>
                                <a:effectLst/>
                              </wps:spPr>
                              <wps:bodyPr upright="1"/>
                            </wps:wsp>
                            <wps:wsp>
                              <wps:cNvPr id="203" name="矩形 203"/>
                              <wps:cNvSpPr/>
                              <wps:spPr>
                                <a:xfrm>
                                  <a:off x="4478" y="9396"/>
                                  <a:ext cx="540" cy="312"/>
                                </a:xfrm>
                                <a:prstGeom prst="rect">
                                  <a:avLst/>
                                </a:prstGeom>
                                <a:noFill/>
                                <a:ln>
                                  <a:noFill/>
                                </a:ln>
                                <a:effectLst/>
                              </wps:spPr>
                              <wps:txbx>
                                <w:txbxContent>
                                  <w:p>
                                    <w:pPr>
                                      <w:jc w:val="center"/>
                                      <w:rPr>
                                        <w:rFonts w:hint="eastAsia"/>
                                      </w:rPr>
                                    </w:pPr>
                                    <w:r>
                                      <w:rPr>
                                        <w:rFonts w:hint="eastAsia"/>
                                      </w:rPr>
                                      <w:t>S7</w:t>
                                    </w:r>
                                  </w:p>
                                </w:txbxContent>
                              </wps:txbx>
                              <wps:bodyPr vert="horz" wrap="square" lIns="0" tIns="0" rIns="0" bIns="0" anchor="t" upright="1"/>
                            </wps:wsp>
                            <wps:wsp>
                              <wps:cNvPr id="204" name="直接连接符 204"/>
                              <wps:cNvCnPr/>
                              <wps:spPr>
                                <a:xfrm flipV="1">
                                  <a:off x="5738" y="10329"/>
                                  <a:ext cx="0" cy="312"/>
                                </a:xfrm>
                                <a:prstGeom prst="line">
                                  <a:avLst/>
                                </a:prstGeom>
                                <a:ln w="9525" cap="flat" cmpd="sng">
                                  <a:solidFill>
                                    <a:srgbClr val="000000"/>
                                  </a:solidFill>
                                  <a:prstDash val="solid"/>
                                  <a:headEnd type="none" w="med" len="med"/>
                                  <a:tailEnd type="triangle" w="sm" len="med"/>
                                </a:ln>
                                <a:effectLst/>
                              </wps:spPr>
                              <wps:bodyPr upright="1"/>
                            </wps:wsp>
                          </wpg:wgp>
                        </a:graphicData>
                      </a:graphic>
                    </wp:anchor>
                  </w:drawing>
                </mc:Choice>
                <mc:Fallback>
                  <w:pict>
                    <v:group id="_x0000_s1026" o:spid="_x0000_s1026" o:spt="203" style="position:absolute;left:0pt;margin-left:-1.05pt;margin-top:1.05pt;height:671.4pt;width:415.05pt;z-index:251666432;mso-width-relative:page;mso-height-relative:page;" coordorigin="878,816" coordsize="8888,14976" o:gfxdata="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">
                      <o:lock v:ext="edit" aspectratio="f"/>
                      <v:rect id="_x0000_s1026" o:spid="_x0000_s1026" o:spt="1" style="position:absolute;left:5558;top:816;height:312;width:1440;" filled="f" stroked="t" coordsize="21600,21600" o:gfxdata="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mfo2ougAAANo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原料库</w:t>
                              </w:r>
                            </w:p>
                          </w:txbxContent>
                        </v:textbox>
                      </v:rect>
                      <v:line id="_x0000_s1026" o:spid="_x0000_s1026" o:spt="20" style="position:absolute;left:6278;top:1128;height:468;width:0;" filled="f" stroked="t" coordsize="21600,21600" o:gfxdata="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lqZca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rect id="_x0000_s1026" o:spid="_x0000_s1026" o:spt="1" style="position:absolute;left:5558;top:1596;height:312;width:1440;" filled="f" stroked="t" coordsize="21600,21600" o:gfxdata="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391Wb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inset="0mm,0mm,0mm,0mm">
                          <w:txbxContent>
                            <w:p>
                              <w:pPr>
                                <w:jc w:val="center"/>
                                <w:rPr>
                                  <w:rFonts w:hint="eastAsia"/>
                                </w:rPr>
                              </w:pPr>
                              <w:r>
                                <w:rPr>
                                  <w:rFonts w:hint="eastAsia"/>
                                </w:rPr>
                                <w:t>装载机</w:t>
                              </w:r>
                            </w:p>
                          </w:txbxContent>
                        </v:textbox>
                      </v:rect>
                      <v:line id="_x0000_s1026" o:spid="_x0000_s1026" o:spt="20" style="position:absolute;left:6278;top:1908;height:468;width:0;" filled="f" stroked="t" coordsize="21600,21600" o:gfxdata="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1gGa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rect id="_x0000_s1026" o:spid="_x0000_s1026" o:spt="1" style="position:absolute;left:5558;top:2376;height:312;width:1440;" filled="f" stroked="t" coordsize="21600,21600" o:gfxdata="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sRLC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inset="0mm,0mm,0mm,0mm">
                          <w:txbxContent>
                            <w:p>
                              <w:pPr>
                                <w:jc w:val="center"/>
                                <w:rPr>
                                  <w:rFonts w:hint="eastAsia"/>
                                </w:rPr>
                              </w:pPr>
                              <w:r>
                                <w:rPr>
                                  <w:rFonts w:hint="eastAsia"/>
                                </w:rPr>
                                <w:t>颚式破碎机</w:t>
                              </w:r>
                            </w:p>
                          </w:txbxContent>
                        </v:textbox>
                      </v:rect>
                      <v:line id="_x0000_s1026" o:spid="_x0000_s1026" o:spt="20" style="position:absolute;left:6278;top:2688;height:468;width:0;" filled="f" stroked="t" coordsize="21600,21600" o:gfxdata="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K9G3bsAAADb&#10;AAAADwAAAAAAAAABACAAAAAiAAAAZHJzL2Rvd25yZXYueG1sUEsBAhQAFAAAAAgAh07iQDMvBZ47&#10;AAAAOQAAABAAAAAAAAAAAQAgAAAACgEAAGRycy9zaGFwZXhtbC54bWxQSwUGAAAAAAYABgBbAQAA&#10;tAMAAAAA&#10;">
                        <v:fill on="f" focussize="0,0"/>
                        <v:stroke color="#000000" joinstyle="round" endarrow="block" endarrowwidth="narrow"/>
                        <v:imagedata o:title=""/>
                        <o:lock v:ext="edit" aspectratio="f"/>
                      </v:line>
                      <v:rect id="_x0000_s1026" o:spid="_x0000_s1026" o:spt="1" style="position:absolute;left:5558;top:3156;height:312;width:1440;" filled="f" stroked="t" coordsize="21600,21600" o:gfxdata="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m2ggu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inset="0mm,0mm,0mm,0mm">
                          <w:txbxContent>
                            <w:p>
                              <w:pPr>
                                <w:jc w:val="center"/>
                                <w:rPr>
                                  <w:rFonts w:hint="eastAsia"/>
                                </w:rPr>
                              </w:pPr>
                              <w:r>
                                <w:rPr>
                                  <w:rFonts w:hint="eastAsia"/>
                                </w:rPr>
                                <w:t>提升机</w:t>
                              </w:r>
                            </w:p>
                          </w:txbxContent>
                        </v:textbox>
                      </v:rect>
                      <v:line id="_x0000_s1026" o:spid="_x0000_s1026" o:spt="20" style="position:absolute;left:6278;top:3468;height:468;width:0;" filled="f" stroked="t" coordsize="21600,21600" o:gfxdata="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zF9Mb4A&#10;AADb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v:rect id="_x0000_s1026" o:spid="_x0000_s1026" o:spt="1" style="position:absolute;left:5558;top:5808;height:312;width:1440;" filled="f" stroked="t" coordsize="21600,21600" o:gfxdata="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ii557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inset="0mm,0mm,0mm,0mm">
                          <w:txbxContent>
                            <w:p>
                              <w:pPr>
                                <w:jc w:val="center"/>
                                <w:rPr>
                                  <w:rFonts w:hint="eastAsia"/>
                                </w:rPr>
                              </w:pPr>
                              <w:r>
                                <w:rPr>
                                  <w:rFonts w:hint="eastAsia"/>
                                </w:rPr>
                                <w:t>直线振动筛</w:t>
                              </w:r>
                            </w:p>
                          </w:txbxContent>
                        </v:textbox>
                      </v:rect>
                      <v:line id="_x0000_s1026" o:spid="_x0000_s1026" o:spt="20" style="position:absolute;left:6278;top:6120;height:780;width:0;" filled="f" stroked="t" coordsize="21600,21600" o:gfxdata="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uUQN6/&#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rect id="_x0000_s1026" o:spid="_x0000_s1026" o:spt="1" style="position:absolute;left:5558;top:6900;height:312;width:1440;" filled="f" stroked="t" coordsize="21600,21600" o:gfxdata="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o2ECL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inset="0mm,0mm,0mm,0mm">
                          <w:txbxContent>
                            <w:p>
                              <w:pPr>
                                <w:jc w:val="center"/>
                                <w:rPr>
                                  <w:rFonts w:hint="eastAsia"/>
                                </w:rPr>
                              </w:pPr>
                              <w:r>
                                <w:rPr>
                                  <w:rFonts w:hint="eastAsia"/>
                                </w:rPr>
                                <w:t>磁选机</w:t>
                              </w:r>
                            </w:p>
                          </w:txbxContent>
                        </v:textbox>
                      </v:rect>
                      <v:line id="_x0000_s1026" o:spid="_x0000_s1026" o:spt="20" style="position:absolute;left:6278;top:7212;height:624;width:0;" filled="f" stroked="t" coordsize="21600,21600" o:gfxdata="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QKezK/&#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rect id="_x0000_s1026" o:spid="_x0000_s1026" o:spt="1" style="position:absolute;left:5558;top:7836;height:312;width:1440;" filled="f" stroked="t" coordsize="21600,21600" o:gfxdata="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Tv+S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inset="0mm,0mm,0mm,0mm">
                          <w:txbxContent>
                            <w:p>
                              <w:pPr>
                                <w:jc w:val="center"/>
                                <w:rPr>
                                  <w:rFonts w:hint="eastAsia"/>
                                </w:rPr>
                              </w:pPr>
                              <w:r>
                                <w:rPr>
                                  <w:rFonts w:hint="eastAsia"/>
                                </w:rPr>
                                <w:t>配料仓</w:t>
                              </w:r>
                            </w:p>
                          </w:txbxContent>
                        </v:textbox>
                      </v:rect>
                      <v:line id="_x0000_s1026" o:spid="_x0000_s1026" o:spt="20" style="position:absolute;left:6278;top:8148;height:624;width:0;" filled="f" stroked="t" coordsize="21600,21600" o:gfxdata="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tlK27sAAADb&#10;AAAADwAAAAAAAAABACAAAAAiAAAAZHJzL2Rvd25yZXYueG1sUEsBAhQAFAAAAAgAh07iQDMvBZ47&#10;AAAAOQAAABAAAAAAAAAAAQAgAAAACgEAAGRycy9zaGFwZXhtbC54bWxQSwUGAAAAAAYABgBbAQAA&#10;tAMAAAAA&#10;">
                        <v:fill on="f" focussize="0,0"/>
                        <v:stroke color="#000000" joinstyle="round" endarrow="block" endarrowwidth="narrow"/>
                        <v:imagedata o:title=""/>
                        <o:lock v:ext="edit" aspectratio="f"/>
                      </v:line>
                      <v:rect id="_x0000_s1026" o:spid="_x0000_s1026" o:spt="1" style="position:absolute;left:5558;top:8772;height:312;width:1440;" filled="f" stroked="t" coordsize="21600,21600" o:gfxdata="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8CODb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inset="0mm,0mm,0mm,0mm">
                          <w:txbxContent>
                            <w:p>
                              <w:pPr>
                                <w:jc w:val="center"/>
                                <w:rPr>
                                  <w:rFonts w:hint="eastAsia"/>
                                </w:rPr>
                              </w:pPr>
                              <w:r>
                                <w:rPr>
                                  <w:rFonts w:hint="eastAsia"/>
                                </w:rPr>
                                <w:t>自动配料车</w:t>
                              </w:r>
                            </w:p>
                          </w:txbxContent>
                        </v:textbox>
                      </v:rect>
                      <v:line id="_x0000_s1026" o:spid="_x0000_s1026" o:spt="20" style="position:absolute;left:6278;top:9084;height:936;width:0;" filled="f" stroked="t" coordsize="21600,21600" o:gfxdata="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20AC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rect id="_x0000_s1026" o:spid="_x0000_s1026" o:spt="1" style="position:absolute;left:5558;top:10020;height:312;width:1440;" filled="f" stroked="t" coordsize="21600,21600" o:gfxdata="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G8U1r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inset="0mm,0mm,0mm,0mm">
                          <w:txbxContent>
                            <w:p>
                              <w:pPr>
                                <w:jc w:val="center"/>
                                <w:rPr>
                                  <w:rFonts w:hint="eastAsia"/>
                                </w:rPr>
                              </w:pPr>
                              <w:r>
                                <w:rPr>
                                  <w:rFonts w:hint="eastAsia"/>
                                </w:rPr>
                                <w:t>混合</w:t>
                              </w:r>
                            </w:p>
                          </w:txbxContent>
                        </v:textbox>
                      </v:rect>
                      <v:line id="_x0000_s1026" o:spid="_x0000_s1026" o:spt="20" style="position:absolute;left:6278;top:10332;height:468;width:0;" filled="f" stroked="t" coordsize="21600,21600" o:gfxdata="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7o6+y/&#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rect id="_x0000_s1026" o:spid="_x0000_s1026" o:spt="1" style="position:absolute;left:5558;top:10800;height:312;width:1440;" filled="f" stroked="t" coordsize="21600,21600" o:gfxdata="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EvOr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inset="0mm,0mm,0mm,0mm">
                          <w:txbxContent>
                            <w:p>
                              <w:pPr>
                                <w:jc w:val="center"/>
                                <w:rPr>
                                  <w:rFonts w:hint="eastAsia"/>
                                </w:rPr>
                              </w:pPr>
                              <w:r>
                                <w:rPr>
                                  <w:rFonts w:hint="eastAsia"/>
                                </w:rPr>
                                <w:t>成型</w:t>
                              </w:r>
                            </w:p>
                          </w:txbxContent>
                        </v:textbox>
                      </v:rect>
                      <v:line id="_x0000_s1026" o:spid="_x0000_s1026" o:spt="20" style="position:absolute;left:6278;top:11112;height:780;width:0;" filled="f" stroked="t" coordsize="21600,21600" o:gfxdata="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Bc5i/&#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rect id="_x0000_s1026" o:spid="_x0000_s1026" o:spt="1" style="position:absolute;left:5558;top:11892;height:312;width:1440;" filled="f" stroked="t" coordsize="21600,21600" o:gfxdata="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OGjKK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inset="0mm,0mm,0mm,0mm">
                          <w:txbxContent>
                            <w:p>
                              <w:pPr>
                                <w:jc w:val="center"/>
                                <w:rPr>
                                  <w:rFonts w:hint="eastAsia"/>
                                </w:rPr>
                              </w:pPr>
                              <w:r>
                                <w:rPr>
                                  <w:rFonts w:hint="eastAsia"/>
                                </w:rPr>
                                <w:t>干燥</w:t>
                              </w:r>
                            </w:p>
                          </w:txbxContent>
                        </v:textbox>
                      </v:rect>
                      <v:line id="_x0000_s1026" o:spid="_x0000_s1026" o:spt="20" style="position:absolute;left:6278;top:12204;height:780;width:0;" filled="f" stroked="t" coordsize="21600,21600" o:gfxdata="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6fSHS/&#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rect id="_x0000_s1026" o:spid="_x0000_s1026" o:spt="1" style="position:absolute;left:5558;top:12984;height:312;width:1440;" filled="f" stroked="t" coordsize="21600,21600" o:gfxdata="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dVb1LtwAAANsAAAAP&#10;AAAAAAAAAAEAIAAAACIAAABkcnMvZG93bnJldi54bWxQSwECFAAUAAAACACHTuJAMy8FnjsAAAA5&#10;AAAAEAAAAAAAAAABACAAAAAGAQAAZHJzL3NoYXBleG1sLnhtbFBLBQYAAAAABgAGAFsBAACwAwAA&#10;AAA=&#10;">
                        <v:fill on="f" focussize="0,0"/>
                        <v:stroke color="#000000" joinstyle="miter"/>
                        <v:imagedata o:title=""/>
                        <o:lock v:ext="edit" aspectratio="f"/>
                        <v:textbox inset="0mm,0mm,0mm,0mm">
                          <w:txbxContent>
                            <w:p>
                              <w:pPr>
                                <w:jc w:val="center"/>
                                <w:rPr>
                                  <w:rFonts w:hint="eastAsia"/>
                                </w:rPr>
                              </w:pPr>
                              <w:r>
                                <w:rPr>
                                  <w:rFonts w:hint="eastAsia"/>
                                </w:rPr>
                                <w:t>烧成</w:t>
                              </w:r>
                            </w:p>
                          </w:txbxContent>
                        </v:textbox>
                      </v:rect>
                      <v:line id="_x0000_s1026" o:spid="_x0000_s1026" o:spt="20" style="position:absolute;left:6278;top:13296;height:936;width:0;" filled="f" stroked="t" coordsize="21600,21600" o:gfxdata="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THmd&#10;wAAAANs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rect id="_x0000_s1026" o:spid="_x0000_s1026" o:spt="1" style="position:absolute;left:5558;top:14232;height:312;width:1440;" filled="f" stroked="t" coordsize="21600,21600" o:gfxdata="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W9sFqtwAAANsAAAAP&#10;AAAAAAAAAAEAIAAAACIAAABkcnMvZG93bnJldi54bWxQSwECFAAUAAAACACHTuJAMy8FnjsAAAA5&#10;AAAAEAAAAAAAAAABACAAAAAGAQAAZHJzL3NoYXBleG1sLnhtbFBLBQYAAAAABgAGAFsBAACwAwAA&#10;AAA=&#10;">
                        <v:fill on="f" focussize="0,0"/>
                        <v:stroke color="#000000" joinstyle="miter"/>
                        <v:imagedata o:title=""/>
                        <o:lock v:ext="edit" aspectratio="f"/>
                        <v:textbox inset="0mm,0mm,0mm,0mm">
                          <w:txbxContent>
                            <w:p>
                              <w:pPr>
                                <w:jc w:val="center"/>
                                <w:rPr>
                                  <w:rFonts w:hint="eastAsia"/>
                                </w:rPr>
                              </w:pPr>
                              <w:r>
                                <w:rPr>
                                  <w:rFonts w:hint="eastAsia"/>
                                </w:rPr>
                                <w:t>包装</w:t>
                              </w:r>
                            </w:p>
                          </w:txbxContent>
                        </v:textbox>
                      </v:rect>
                      <v:line id="_x0000_s1026" o:spid="_x0000_s1026" o:spt="20" style="position:absolute;left:6278;top:14544;height:468;width:0;" filled="f" stroked="t" coordsize="21600,21600" o:gfxdata="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vvBby/&#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rect id="_x0000_s1026" o:spid="_x0000_s1026" o:spt="1" style="position:absolute;left:5558;top:15012;height:312;width:1440;" filled="f" stroked="t" coordsize="21600,21600" o:gfxdata="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Wj6hr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inset="0mm,0mm,0mm,0mm">
                          <w:txbxContent>
                            <w:p>
                              <w:pPr>
                                <w:jc w:val="center"/>
                                <w:rPr>
                                  <w:rFonts w:hint="eastAsia"/>
                                </w:rPr>
                              </w:pPr>
                              <w:r>
                                <w:rPr>
                                  <w:rFonts w:hint="eastAsia"/>
                                </w:rPr>
                                <w:t>成品库</w:t>
                              </w:r>
                            </w:p>
                          </w:txbxContent>
                        </v:textbox>
                      </v:rect>
                      <v:line id="_x0000_s1026" o:spid="_x0000_s1026" o:spt="20" style="position:absolute;left:4298;top:2532;flip:x;height:0;width:1260;" filled="f" stroked="t" coordsize="21600,21600" o:gfxdata="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zc15r4A&#10;AADbAAAADwAAAAAAAAABACAAAAAiAAAAZHJzL2Rvd25yZXYueG1sUEsBAhQAFAAAAAgAh07iQDMv&#10;BZ47AAAAOQAAABAAAAAAAAAAAQAgAAAADQEAAGRycy9zaGFwZXhtbC54bWxQSwUGAAAAAAYABgBb&#10;AQAAtwMAAAAA&#10;">
                        <v:fill on="f" focussize="0,0"/>
                        <v:stroke color="#000000" joinstyle="round" dashstyle="dash" endarrow="block" endarrowwidth="narrow"/>
                        <v:imagedata o:title=""/>
                        <o:lock v:ext="edit" aspectratio="f"/>
                      </v:line>
                      <v:rect id="_x0000_s1026" o:spid="_x0000_s1026" o:spt="1" style="position:absolute;left:2858;top:2376;height:312;width:1440;" filled="f" stroked="t" coordsize="21600,21600" o:gfxdata="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zcdp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布袋除尘器</w:t>
                              </w:r>
                            </w:p>
                          </w:txbxContent>
                        </v:textbox>
                      </v:rect>
                      <v:rect id="_x0000_s1026" o:spid="_x0000_s1026" o:spt="1" style="position:absolute;left:5558;top:3936;height:312;width:1440;" filled="f" stroked="t" coordsize="21600,21600" o:gfxdata="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GgWLy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圆锥破碎机</w:t>
                              </w:r>
                            </w:p>
                          </w:txbxContent>
                        </v:textbox>
                      </v:rect>
                      <v:line id="_x0000_s1026" o:spid="_x0000_s1026" o:spt="20" style="position:absolute;left:6278;top:4248;height:468;width:0;" filled="f" stroked="t" coordsize="21600,21600" o:gfxdata="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Gnci/&#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rect id="_x0000_s1026" o:spid="_x0000_s1026" o:spt="1" style="position:absolute;left:5558;top:4716;height:312;width:1440;" filled="f" stroked="t" coordsize="21600,21600" o:gfxdata="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ZH1ke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提升机</w:t>
                              </w:r>
                            </w:p>
                          </w:txbxContent>
                        </v:textbox>
                      </v:rect>
                      <v:line id="_x0000_s1026" o:spid="_x0000_s1026" o:spt="20" style="position:absolute;left:6278;top:5028;height:780;width:0;" filled="f" stroked="t" coordsize="21600,21600" o:gfxdata="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tWsIbsAAADb&#10;AAAADwAAAAAAAAABACAAAAAiAAAAZHJzL2Rvd25yZXYueG1sUEsBAhQAFAAAAAgAh07iQDMvBZ47&#10;AAAAOQAAABAAAAAAAAAAAQAgAAAACgEAAGRycy9zaGFwZXhtbC54bWxQSwUGAAAAAAYABgBbAQAA&#10;tAMAAAAA&#10;">
                        <v:fill on="f" focussize="0,0"/>
                        <v:stroke color="#000000" joinstyle="round" endarrow="block" endarrowwidth="narrow"/>
                        <v:imagedata o:title=""/>
                        <o:lock v:ext="edit" aspectratio="f"/>
                      </v:line>
                      <v:line id="_x0000_s1026" o:spid="_x0000_s1026" o:spt="20" style="position:absolute;left:3578;top:1908;flip:y;height:468;width:0;" filled="f" stroked="t" coordsize="21600,21600" o:gfxdata="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3wIMvQAA&#10;ANsAAAAPAAAAAAAAAAEAIAAAACIAAABkcnMvZG93bnJldi54bWxQSwECFAAUAAAACACHTuJAMy8F&#10;njsAAAA5AAAAEAAAAAAAAAABACAAAAAMAQAAZHJzL3NoYXBleG1sLnhtbFBLBQYAAAAABgAGAFsB&#10;AAC2AwAAAAA=&#10;">
                        <v:fill on="f" focussize="0,0"/>
                        <v:stroke color="#000000" joinstyle="round" dashstyle="dash" endarrow="block" endarrowwidth="narrow"/>
                        <v:imagedata o:title=""/>
                        <o:lock v:ext="edit" aspectratio="f"/>
                      </v:line>
                      <v:rect id="_x0000_s1026" o:spid="_x0000_s1026" o:spt="1" style="position:absolute;left:3218;top:1596;height:312;width:720;" filled="f" stroked="f" coordsize="21600,21600" o:gfxdata="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HKJV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pPr>
                                <w:jc w:val="center"/>
                                <w:rPr>
                                  <w:rFonts w:hint="eastAsia"/>
                                </w:rPr>
                              </w:pPr>
                              <w:r>
                                <w:rPr>
                                  <w:rFonts w:hint="eastAsia"/>
                                </w:rPr>
                                <w:t>G1</w:t>
                              </w:r>
                            </w:p>
                          </w:txbxContent>
                        </v:textbox>
                      </v:rect>
                      <v:line id="_x0000_s1026" o:spid="_x0000_s1026" o:spt="20" style="position:absolute;left:4298;top:4092;flip:x;height:0;width:1260;" filled="f" stroked="t" coordsize="21600,21600" o:gfxdata="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Qc7T74A&#10;AADbAAAADwAAAAAAAAABACAAAAAiAAAAZHJzL2Rvd25yZXYueG1sUEsBAhQAFAAAAAgAh07iQDMv&#10;BZ47AAAAOQAAABAAAAAAAAAAAQAgAAAADQEAAGRycy9zaGFwZXhtbC54bWxQSwUGAAAAAAYABgBb&#10;AQAAtwMAAAAA&#10;">
                        <v:fill on="f" focussize="0,0"/>
                        <v:stroke color="#000000" joinstyle="round" dashstyle="dash" endarrow="block" endarrowwidth="narrow"/>
                        <v:imagedata o:title=""/>
                        <o:lock v:ext="edit" aspectratio="f"/>
                      </v:line>
                      <v:rect id="_x0000_s1026" o:spid="_x0000_s1026" o:spt="1" style="position:absolute;left:2858;top:3936;height:312;width:1440;" filled="f" stroked="t" coordsize="21600,21600" o:gfxdata="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NY9C+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inset="0mm,0mm,0mm,0mm">
                          <w:txbxContent>
                            <w:p>
                              <w:pPr>
                                <w:jc w:val="center"/>
                                <w:rPr>
                                  <w:rFonts w:hint="eastAsia"/>
                                </w:rPr>
                              </w:pPr>
                              <w:r>
                                <w:rPr>
                                  <w:rFonts w:hint="eastAsia"/>
                                </w:rPr>
                                <w:t>布袋除尘器</w:t>
                              </w:r>
                            </w:p>
                          </w:txbxContent>
                        </v:textbox>
                      </v:rect>
                      <v:line id="_x0000_s1026" o:spid="_x0000_s1026" o:spt="20" style="position:absolute;left:3578;top:3468;flip:y;height:468;width:0;" filled="f" stroked="t" coordsize="21600,21600" o:gfxdata="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mQCjvQAA&#10;ANsAAAAPAAAAAAAAAAEAIAAAACIAAABkcnMvZG93bnJldi54bWxQSwECFAAUAAAACACHTuJAMy8F&#10;njsAAAA5AAAAEAAAAAAAAAABACAAAAAMAQAAZHJzL3NoYXBleG1sLnhtbFBLBQYAAAAABgAGAFsB&#10;AAC2AwAAAAA=&#10;">
                        <v:fill on="f" focussize="0,0"/>
                        <v:stroke color="#000000" joinstyle="round" dashstyle="dash" endarrow="block" endarrowwidth="narrow"/>
                        <v:imagedata o:title=""/>
                        <o:lock v:ext="edit" aspectratio="f"/>
                      </v:line>
                      <v:rect id="_x0000_s1026" o:spid="_x0000_s1026" o:spt="1" style="position:absolute;left:3218;top:3156;height:312;width:720;" filled="f" stroked="f" coordsize="21600,21600" o:gfxdata="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1OiG/&#10;AAAA2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G2</w:t>
                              </w:r>
                            </w:p>
                          </w:txbxContent>
                        </v:textbox>
                      </v:rect>
                      <v:line id="_x0000_s1026" o:spid="_x0000_s1026" o:spt="20" style="position:absolute;left:4298;top:5964;flip:x;height:0;width:1260;" filled="f" stroked="t" coordsize="21600,21600" o:gfxdata="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SjFKugAAANsA&#10;AAAPAAAAAAAAAAEAIAAAACIAAABkcnMvZG93bnJldi54bWxQSwECFAAUAAAACACHTuJAMy8FnjsA&#10;AAA5AAAAEAAAAAAAAAABACAAAAAJAQAAZHJzL3NoYXBleG1sLnhtbFBLBQYAAAAABgAGAFsBAACz&#10;AwAAAAA=&#10;">
                        <v:fill on="f" focussize="0,0"/>
                        <v:stroke color="#000000" joinstyle="round" dashstyle="dash" endarrow="block" endarrowwidth="narrow"/>
                        <v:imagedata o:title=""/>
                        <o:lock v:ext="edit" aspectratio="f"/>
                      </v:line>
                      <v:rect id="_x0000_s1026" o:spid="_x0000_s1026" o:spt="1" style="position:absolute;left:2858;top:5808;height:312;width:1440;" filled="f" stroked="t" coordsize="21600,21600" o:gfxdata="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Ff4q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布袋除尘器</w:t>
                              </w:r>
                            </w:p>
                          </w:txbxContent>
                        </v:textbox>
                      </v:rect>
                      <v:line id="_x0000_s1026" o:spid="_x0000_s1026" o:spt="20" style="position:absolute;left:3578;top:5340;flip:y;height:468;width:0;" filled="f" stroked="t" coordsize="21600,21600" o:gfxdata="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jVAgL4A&#10;AADcAAAADwAAAAAAAAABACAAAAAiAAAAZHJzL2Rvd25yZXYueG1sUEsBAhQAFAAAAAgAh07iQDMv&#10;BZ47AAAAOQAAABAAAAAAAAAAAQAgAAAADQEAAGRycy9zaGFwZXhtbC54bWxQSwUGAAAAAAYABgBb&#10;AQAAtwMAAAAA&#10;">
                        <v:fill on="f" focussize="0,0"/>
                        <v:stroke color="#000000" joinstyle="round" dashstyle="dash" endarrow="block" endarrowwidth="narrow"/>
                        <v:imagedata o:title=""/>
                        <o:lock v:ext="edit" aspectratio="f"/>
                      </v:line>
                      <v:rect id="_x0000_s1026" o:spid="_x0000_s1026" o:spt="1" style="position:absolute;left:3218;top:5028;height:312;width:720;" filled="f" stroked="f" coordsize="21600,21600" o:gfxdata="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lOXL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jc w:val="center"/>
                                <w:rPr>
                                  <w:rFonts w:hint="eastAsia"/>
                                </w:rPr>
                              </w:pPr>
                              <w:r>
                                <w:rPr>
                                  <w:rFonts w:hint="eastAsia"/>
                                </w:rPr>
                                <w:t>G3</w:t>
                              </w:r>
                            </w:p>
                          </w:txbxContent>
                        </v:textbox>
                      </v:rect>
                      <v:line id="_x0000_s1026" o:spid="_x0000_s1026" o:spt="20" style="position:absolute;left:6998;top:5964;height:0;width:1620;" filled="f" stroked="t" coordsize="21600,21600" o:gfxdata="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zpTnS8AAAA&#10;3A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_x0000_s1026" o:spid="_x0000_s1026" o:spt="20" style="position:absolute;left:8618;top:4092;flip:y;height:1872;width:0;" filled="f" stroked="t" coordsize="21600,21600" o:gfxdata="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87Rsq5AAAA3A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_x0000_s1026" o:spid="_x0000_s1026" o:spt="20" style="position:absolute;left:6998;top:4092;flip:x;height:0;width:1620;" filled="f" stroked="t" coordsize="21600,21600" o:gfxdata="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PkgqugAAANwA&#10;AAAPAAAAAAAAAAEAIAAAACIAAABkcnMvZG93bnJldi54bWxQSwECFAAUAAAACACHTuJAMy8FnjsA&#10;AAA5AAAAEAAAAAAAAAABACAAAAAJAQAAZHJzL3NoYXBleG1sLnhtbFBLBQYAAAAABgAGAFsBAACz&#10;AwAAAAA=&#10;">
                        <v:fill on="f" focussize="0,0"/>
                        <v:stroke color="#000000" joinstyle="round" dashstyle="dash" endarrow="block" endarrowwidth="narrow"/>
                        <v:imagedata o:title=""/>
                        <o:lock v:ext="edit" aspectratio="f"/>
                      </v:line>
                      <v:rect id="_x0000_s1026" o:spid="_x0000_s1026" o:spt="1" style="position:absolute;left:7358;top:5652;height:312;width:720;" filled="f" stroked="f" coordsize="21600,21600" o:gfxdata="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4d7Gb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jc w:val="center"/>
                                <w:rPr>
                                  <w:rFonts w:hint="eastAsia"/>
                                </w:rPr>
                              </w:pPr>
                              <w:r>
                                <w:rPr>
                                  <w:rFonts w:hint="eastAsia"/>
                                </w:rPr>
                                <w:t>S4</w:t>
                              </w:r>
                            </w:p>
                          </w:txbxContent>
                        </v:textbox>
                      </v:rect>
                      <v:line id="_x0000_s1026" o:spid="_x0000_s1026" o:spt="20" style="position:absolute;left:1238;top:2532;flip:x;height:0;width:1620;" filled="f" stroked="t" coordsize="21600,21600" o:gfxdata="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m3XFugAAANwA&#10;AAAPAAAAAAAAAAEAIAAAACIAAABkcnMvZG93bnJldi54bWxQSwECFAAUAAAACACHTuJAMy8FnjsA&#10;AAA5AAAAEAAAAAAAAAABACAAAAAJAQAAZHJzL3NoYXBleG1sLnhtbFBLBQYAAAAABgAGAFsBAACz&#10;AwAAAAA=&#10;">
                        <v:fill on="f" focussize="0,0"/>
                        <v:stroke color="#000000" joinstyle="round" dashstyle="dash" endarrow="block" endarrowwidth="narrow"/>
                        <v:imagedata o:title=""/>
                        <o:lock v:ext="edit" aspectratio="f"/>
                      </v:line>
                      <v:line id="_x0000_s1026" o:spid="_x0000_s1026" o:spt="20" style="position:absolute;left:1238;top:4092;flip:x;height:0;width:1620;" filled="f" stroked="t" coordsize="21600,21600" o:gfxdata="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zSeuyugAAANwA&#10;AAAPAAAAAAAAAAEAIAAAACIAAABkcnMvZG93bnJldi54bWxQSwECFAAUAAAACACHTuJAMy8FnjsA&#10;AAA5AAAAEAAAAAAAAAABACAAAAAJAQAAZHJzL3NoYXBleG1sLnhtbFBLBQYAAAAABgAGAFsBAACz&#10;AwAAAAA=&#10;">
                        <v:fill on="f" focussize="0,0"/>
                        <v:stroke color="#000000" joinstyle="round" dashstyle="dash" endarrow="block" endarrowwidth="narrow"/>
                        <v:imagedata o:title=""/>
                        <o:lock v:ext="edit" aspectratio="f"/>
                      </v:line>
                      <v:line id="_x0000_s1026" o:spid="_x0000_s1026" o:spt="20" style="position:absolute;left:1238;top:5964;flip:x;height:0;width:1620;" filled="f" stroked="t" coordsize="21600,21600" o:gfxdata="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cBU4pugAAANwA&#10;AAAPAAAAAAAAAAEAIAAAACIAAABkcnMvZG93bnJldi54bWxQSwECFAAUAAAACACHTuJAMy8FnjsA&#10;AAA5AAAAEAAAAAAAAAABACAAAAAJAQAAZHJzL3NoYXBleG1sLnhtbFBLBQYAAAAABgAGAFsBAACz&#10;AwAAAAA=&#10;">
                        <v:fill on="f" focussize="0,0"/>
                        <v:stroke color="#000000" joinstyle="round" dashstyle="dash" endarrow="block" endarrowwidth="narrow"/>
                        <v:imagedata o:title=""/>
                        <o:lock v:ext="edit" aspectratio="f"/>
                      </v:line>
                      <v:rect id="_x0000_s1026" o:spid="_x0000_s1026" o:spt="1" style="position:absolute;left:1778;top:2220;height:312;width:720;" filled="f" stroked="f" coordsize="21600,21600" o:gfxdata="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LKcRy/&#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S1</w:t>
                              </w:r>
                            </w:p>
                          </w:txbxContent>
                        </v:textbox>
                      </v:rect>
                      <v:rect id="_x0000_s1026" o:spid="_x0000_s1026" o:spt="1" style="position:absolute;left:1778;top:3780;height:312;width:720;" filled="f" stroked="f" coordsize="21600,21600" o:gfxdata="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YbUh7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jc w:val="center"/>
                                <w:rPr>
                                  <w:rFonts w:hint="eastAsia"/>
                                </w:rPr>
                              </w:pPr>
                              <w:r>
                                <w:rPr>
                                  <w:rFonts w:hint="eastAsia"/>
                                </w:rPr>
                                <w:t>S2</w:t>
                              </w:r>
                            </w:p>
                          </w:txbxContent>
                        </v:textbox>
                      </v:rect>
                      <v:rect id="_x0000_s1026" o:spid="_x0000_s1026" o:spt="1" style="position:absolute;left:1778;top:5652;height:312;width:720;" filled="f" stroked="f" coordsize="21600,21600" o:gfxdata="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LQt6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S3</w:t>
                              </w:r>
                            </w:p>
                          </w:txbxContent>
                        </v:textbox>
                      </v:rect>
                      <v:line id="_x0000_s1026" o:spid="_x0000_s1026" o:spt="20" style="position:absolute;left:6998;top:7056;height:0;width:900;" filled="f" stroked="t" coordsize="21600,21600" o:gfxdata="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yOTOy8AAAA&#10;3AAAAA8AAAAAAAAAAQAgAAAAIgAAAGRycy9kb3ducmV2LnhtbFBLAQIUABQAAAAIAIdO4kAzLwWe&#10;OwAAADkAAAAQAAAAAAAAAAEAIAAAAAsBAABkcnMvc2hhcGV4bWwueG1sUEsFBgAAAAAGAAYAWwEA&#10;ALUDAAAAAA==&#10;">
                        <v:fill on="f" focussize="0,0"/>
                        <v:stroke color="#000000" joinstyle="round" dashstyle="dash" endarrow="block" endarrowwidth="narrow"/>
                        <v:imagedata o:title=""/>
                        <o:lock v:ext="edit" aspectratio="f"/>
                      </v:line>
                      <v:rect id="_x0000_s1026" o:spid="_x0000_s1026" o:spt="1" style="position:absolute;left:7898;top:6900;height:312;width:360;" filled="f" stroked="f" coordsize="21600,21600" o:gfxdata="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3rsaS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jc w:val="center"/>
                                <w:rPr>
                                  <w:rFonts w:hint="eastAsia"/>
                                </w:rPr>
                              </w:pPr>
                              <w:r>
                                <w:rPr>
                                  <w:rFonts w:hint="eastAsia"/>
                                </w:rPr>
                                <w:t>S5</w:t>
                              </w:r>
                            </w:p>
                          </w:txbxContent>
                        </v:textbox>
                      </v:rect>
                      <v:line id="_x0000_s1026" o:spid="_x0000_s1026" o:spt="20" style="position:absolute;left:5738;top:6120;height:468;width:0;" filled="f" stroked="t" coordsize="21600,21600" o:gfxdata="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OaSVvQAA&#10;ANwAAAAPAAAAAAAAAAEAIAAAACIAAABkcnMvZG93bnJldi54bWxQSwECFAAUAAAACACHTuJAMy8F&#10;njsAAAA5AAAAEAAAAAAAAAABACAAAAAMAQAAZHJzL3NoYXBleG1sLnhtbFBLBQYAAAAABgAGAFsB&#10;AAC2AwAAAAA=&#10;">
                        <v:fill on="f" focussize="0,0"/>
                        <v:stroke color="#000000" joinstyle="round" endarrowwidth="narrow"/>
                        <v:imagedata o:title=""/>
                        <o:lock v:ext="edit" aspectratio="f"/>
                      </v:line>
                      <v:line id="_x0000_s1026" o:spid="_x0000_s1026" o:spt="20" style="position:absolute;left:3938;top:6588;flip:x;height:0;width:1800;" filled="f" stroked="t" coordsize="21600,21600" o:gfxdata="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9MM+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_x0000_s1026" o:spid="_x0000_s1026" o:spt="20" style="position:absolute;left:3938;top:6588;height:312;width:0;" filled="f" stroked="t" coordsize="21600,21600" o:gfxdata="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b3pn74A&#10;AADc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v:rect id="_x0000_s1026" o:spid="_x0000_s1026" o:spt="1" style="position:absolute;left:2858;top:6900;height:312;width:1980;" filled="f" stroked="t" coordsize="21600,21600" o:gfxdata="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Qg76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textbox inset="0mm,0mm,0mm,0mm">
                          <w:txbxContent>
                            <w:p>
                              <w:pPr>
                                <w:jc w:val="center"/>
                                <w:rPr>
                                  <w:rFonts w:hint="eastAsia"/>
                                </w:rPr>
                              </w:pPr>
                              <w:r>
                                <w:rPr>
                                  <w:rFonts w:hint="eastAsia"/>
                                </w:rPr>
                                <w:t>高压磨粉机</w:t>
                              </w:r>
                            </w:p>
                          </w:txbxContent>
                        </v:textbox>
                      </v:rect>
                      <v:line id="_x0000_s1026" o:spid="_x0000_s1026" o:spt="20" style="position:absolute;left:4118;top:7212;height:624;width:0;" filled="f" stroked="t" coordsize="21600,21600" o:gfxdata="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wUKt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rect id="_x0000_s1026" o:spid="_x0000_s1026" o:spt="1" style="position:absolute;left:3578;top:7836;height:312;width:1080;" filled="f" stroked="t" coordsize="21600,21600" o:gfxdata="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4SKJ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提升机</w:t>
                              </w:r>
                            </w:p>
                          </w:txbxContent>
                        </v:textbox>
                      </v:rect>
                      <v:line id="_x0000_s1026" o:spid="_x0000_s1026" o:spt="20" style="position:absolute;left:4658;top:7992;height:0;width:900;" filled="f" stroked="t" coordsize="21600,21600" o:gfxdata="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195Qb4A&#10;AADc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v:line id="_x0000_s1026" o:spid="_x0000_s1026" o:spt="20" style="position:absolute;left:1238;top:2532;height:3432;width:0;" filled="f" stroked="t" coordsize="21600,21600" o:gfxdata="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qlWZ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6998;top:13140;height:0;width:1080;" filled="f" stroked="t" coordsize="21600,21600" o:gfxdata="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WDJLugAAANwA&#10;AAAPAAAAAAAAAAEAIAAAACIAAABkcnMvZG93bnJldi54bWxQSwECFAAUAAAACACHTuJAMy8FnjsA&#10;AAA5AAAAEAAAAAAAAAABACAAAAAJAQAAZHJzL3NoYXBleG1sLnhtbFBLBQYAAAAABgAGAFsBAACz&#10;AwAAAAA=&#10;">
                        <v:fill on="f" focussize="0,0"/>
                        <v:stroke color="#000000" joinstyle="round" startarrow="block" startarrowwidth="narrow"/>
                        <v:imagedata o:title=""/>
                        <o:lock v:ext="edit" aspectratio="f"/>
                      </v:line>
                      <v:line id="_x0000_s1026" o:spid="_x0000_s1026" o:spt="20" style="position:absolute;left:8078;top:12828;height:624;width:0;" filled="f" stroked="t" coordsize="21600,21600" o:gfxdata="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eMvu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8078;top:12828;flip:x;height:0;width:900;" filled="f" stroked="t" coordsize="21600,21600" o:gfxdata="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Xu72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rect id="_x0000_s1026" o:spid="_x0000_s1026" o:spt="1" style="position:absolute;left:8978;top:12672;height:312;width:540;" filled="f" stroked="f" coordsize="21600,21600" o:gfxdata="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jOI57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jc w:val="center"/>
                                <w:rPr>
                                  <w:rFonts w:hint="eastAsia"/>
                                </w:rPr>
                              </w:pPr>
                              <w:r>
                                <w:rPr>
                                  <w:rFonts w:hint="eastAsia"/>
                                </w:rPr>
                                <w:t>空气</w:t>
                              </w:r>
                            </w:p>
                          </w:txbxContent>
                        </v:textbox>
                      </v:rect>
                      <v:line id="_x0000_s1026" o:spid="_x0000_s1026" o:spt="20" style="position:absolute;left:8078;top:13452;flip:x;height:0;width:900;" filled="f" stroked="t" coordsize="21600,21600" o:gfxdata="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LpGN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rect id="_x0000_s1026" o:spid="_x0000_s1026" o:spt="1" style="position:absolute;left:8978;top:13296;height:312;width:720;" filled="f" stroked="f" coordsize="21600,21600" o:gfxdata="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EP3nL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jc w:val="center"/>
                                <w:rPr>
                                  <w:rFonts w:hint="eastAsia"/>
                                </w:rPr>
                              </w:pPr>
                              <w:r>
                                <w:rPr>
                                  <w:rFonts w:hint="eastAsia"/>
                                </w:rPr>
                                <w:t>天然气</w:t>
                              </w:r>
                            </w:p>
                          </w:txbxContent>
                        </v:textbox>
                      </v:rect>
                      <v:line id="_x0000_s1026" o:spid="_x0000_s1026" o:spt="20" style="position:absolute;left:4118;top:13140;flip:x;height:0;width:1440;" filled="f" stroked="t" coordsize="21600,21600" o:gfxdata="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TfvW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_x0000_s1026" o:spid="_x0000_s1026" o:spt="20" style="position:absolute;left:4118;top:12048;flip:y;height:1092;width:0;" filled="f" stroked="t" coordsize="21600,21600" o:gfxdata="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ntKw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_x0000_s1026" o:spid="_x0000_s1026" o:spt="20" style="position:absolute;left:4118;top:12048;height:0;width:1440;" filled="f" stroked="t" coordsize="21600,21600" o:gfxdata="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LCSSL4A&#10;AADc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v:rect id="_x0000_s1026" o:spid="_x0000_s1026" o:spt="1" style="position:absolute;left:4478;top:12828;height:312;width:720;" filled="f" stroked="f" coordsize="21600,21600" o:gfxdata="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ePGf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jc w:val="center"/>
                                <w:rPr>
                                  <w:rFonts w:hint="eastAsia"/>
                                </w:rPr>
                              </w:pPr>
                              <w:r>
                                <w:rPr>
                                  <w:rFonts w:hint="eastAsia"/>
                                </w:rPr>
                                <w:t>尾气</w:t>
                              </w:r>
                            </w:p>
                          </w:txbxContent>
                        </v:textbox>
                      </v:rect>
                      <v:line id="_x0000_s1026" o:spid="_x0000_s1026" o:spt="20" style="position:absolute;left:6818;top:11268;flip:y;height:624;width:0;" filled="f" stroked="t" coordsize="21600,21600" o:gfxdata="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7ZhNLsAAADc&#10;AAAADwAAAAAAAAABACAAAAAiAAAAZHJzL2Rvd25yZXYueG1sUEsBAhQAFAAAAAgAh07iQDMvBZ47&#10;AAAAOQAAABAAAAAAAAAAAQAgAAAACgEAAGRycy9zaGFwZXhtbC54bWxQSwUGAAAAAAYABgBbAQAA&#10;tAMAAAAA&#10;">
                        <v:fill on="f" focussize="0,0"/>
                        <v:stroke color="#000000" joinstyle="round" dashstyle="dash" endarrow="block" endarrowwidth="narrow"/>
                        <v:imagedata o:title=""/>
                        <o:lock v:ext="edit" aspectratio="f"/>
                      </v:line>
                      <v:rect id="_x0000_s1026" o:spid="_x0000_s1026" o:spt="1" style="position:absolute;left:6818;top:11424;height:312;width:720;" filled="f" stroked="f" coordsize="21600,21600" o:gfxdata="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F5XgG/&#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水蒸气</w:t>
                              </w:r>
                            </w:p>
                          </w:txbxContent>
                        </v:textbox>
                      </v:rect>
                      <v:line id="_x0000_s1026" o:spid="_x0000_s1026" o:spt="20" style="position:absolute;left:6818;top:12360;flip:y;height:624;width:0;" filled="f" stroked="t" coordsize="21600,21600" o:gfxdata="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WVQ3bsAAADc&#10;AAAADwAAAAAAAAABACAAAAAiAAAAZHJzL2Rvd25yZXYueG1sUEsBAhQAFAAAAAgAh07iQDMvBZ47&#10;AAAAOQAAABAAAAAAAAAAAQAgAAAACgEAAGRycy9zaGFwZXhtbC54bWxQSwUGAAAAAAYABgBbAQAA&#10;tAMAAAAA&#10;">
                        <v:fill on="f" focussize="0,0"/>
                        <v:stroke color="#000000" joinstyle="round" dashstyle="dash" endarrow="block" endarrowwidth="narrow"/>
                        <v:imagedata o:title=""/>
                        <o:lock v:ext="edit" aspectratio="f"/>
                      </v:line>
                      <v:rect id="_x0000_s1026" o:spid="_x0000_s1026" o:spt="1" style="position:absolute;left:6818;top:12516;height:312;width:720;" filled="f" stroked="f" coordsize="21600,21600" o:gfxdata="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rWxNq/&#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水蒸气</w:t>
                              </w:r>
                            </w:p>
                          </w:txbxContent>
                        </v:textbox>
                      </v:rect>
                      <v:line id="_x0000_s1026" o:spid="_x0000_s1026" o:spt="20" style="position:absolute;left:6998;top:12048;height:0;width:1620;" filled="f" stroked="t" coordsize="21600,21600" o:gfxdata="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qTVrS8AAAA&#10;3AAAAA8AAAAAAAAAAQAgAAAAIgAAAGRycy9kb3ducmV2LnhtbFBLAQIUABQAAAAIAIdO4kAzLwWe&#10;OwAAADkAAAAQAAAAAAAAAAEAIAAAAAsBAABkcnMvc2hhcGV4bWwueG1sUEsFBgAAAAAGAAYAWwEA&#10;ALUDAAAAAA==&#10;">
                        <v:fill on="f" focussize="0,0"/>
                        <v:stroke color="#000000" joinstyle="round" dashstyle="dash" endarrow="block" endarrowwidth="narrow"/>
                        <v:imagedata o:title=""/>
                        <o:lock v:ext="edit" aspectratio="f"/>
                      </v:line>
                      <v:rect id="_x0000_s1026" o:spid="_x0000_s1026" o:spt="1" style="position:absolute;left:8618;top:11892;height:312;width:540;" filled="f" stroked="f" coordsize="21600,21600" o:gfxdata="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TNrf+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jc w:val="center"/>
                                <w:rPr>
                                  <w:rFonts w:hint="eastAsia"/>
                                </w:rPr>
                              </w:pPr>
                              <w:r>
                                <w:rPr>
                                  <w:rFonts w:hint="eastAsia"/>
                                </w:rPr>
                                <w:t>尾气</w:t>
                              </w:r>
                            </w:p>
                          </w:txbxContent>
                        </v:textbox>
                      </v:rect>
                      <v:line id="_x0000_s1026" o:spid="_x0000_s1026" o:spt="20" style="position:absolute;left:4298;top:10644;flip:x;height:0;width:1440;" filled="f" stroked="t" coordsize="21600,21600" o:gfxdata="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joiQ7gAAADcAAAA&#10;DwAAAAAAAAABACAAAAAiAAAAZHJzL2Rvd25yZXYueG1sUEsBAhQAFAAAAAgAh07iQDMvBZ47AAAA&#10;OQAAABAAAAAAAAAAAQAgAAAABwEAAGRycy9zaGFwZXhtbC54bWxQSwUGAAAAAAYABgBbAQAAsQMA&#10;AAAA&#10;">
                        <v:fill on="f" focussize="0,0"/>
                        <v:stroke color="#000000" joinstyle="round" endarrowwidth="narrow"/>
                        <v:imagedata o:title=""/>
                        <o:lock v:ext="edit" aspectratio="f"/>
                      </v:line>
                      <v:rect id="_x0000_s1026" o:spid="_x0000_s1026" o:spt="1" style="position:absolute;left:3938;top:10488;height:312;width:360;" filled="f" stroked="f" coordsize="21600,21600" o:gfxdata="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tTlhO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jc w:val="center"/>
                                <w:rPr>
                                  <w:rFonts w:hint="eastAsia"/>
                                </w:rPr>
                              </w:pPr>
                              <w:r>
                                <w:rPr>
                                  <w:rFonts w:hint="eastAsia"/>
                                </w:rPr>
                                <w:t>水</w:t>
                              </w:r>
                            </w:p>
                          </w:txbxContent>
                        </v:textbox>
                      </v:rect>
                      <v:line id="_x0000_s1026" o:spid="_x0000_s1026" o:spt="20" style="position:absolute;left:6818;top:13296;height:624;width:0;" filled="f" stroked="t" coordsize="21600,21600" o:gfxdata="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veXLG/&#10;AAAA3AAAAA8AAAAAAAAAAQAgAAAAIgAAAGRycy9kb3ducmV2LnhtbFBLAQIUABQAAAAIAIdO4kAz&#10;LwWeOwAAADkAAAAQAAAAAAAAAAEAIAAAAA4BAABkcnMvc2hhcGV4bWwueG1sUEsFBgAAAAAGAAYA&#10;WwEAALgDAAAAAA==&#10;">
                        <v:fill on="f" focussize="0,0"/>
                        <v:stroke color="#000000" joinstyle="round" dashstyle="dash" endarrow="block" endarrowwidth="narrow"/>
                        <v:imagedata o:title=""/>
                        <o:lock v:ext="edit" aspectratio="f"/>
                      </v:line>
                      <v:line id="_x0000_s1026" o:spid="_x0000_s1026" o:spt="20" style="position:absolute;left:6818;top:13921;flip:y;height:13;width:2948;" filled="f" stroked="t" coordsize="21600,21600" o:gfxdata="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ZmnxrgAAADcAAAA&#10;DwAAAAAAAAABACAAAAAiAAAAZHJzL2Rvd25yZXYueG1sUEsBAhQAFAAAAAgAh07iQDMvBZ47AAAA&#10;OQAAABAAAAAAAAAAAQAgAAAABwEAAGRycy9zaGFwZXhtbC54bWxQSwUGAAAAAAYABgBbAQAAsQMA&#10;AAAA&#10;">
                        <v:fill on="f" focussize="0,0"/>
                        <v:stroke color="#000000" joinstyle="round" dashstyle="dash"/>
                        <v:imagedata o:title=""/>
                        <o:lock v:ext="edit" aspectratio="f"/>
                      </v:line>
                      <v:line id="_x0000_s1026" o:spid="_x0000_s1026" o:spt="20" style="position:absolute;left:9741;top:2545;flip:y;height:11388;width:0;" filled="f" stroked="t" coordsize="21600,21600" o:gfxdata="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16mIa8AAAA&#10;3A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_x0000_s1026" o:spid="_x0000_s1026" o:spt="20" style="position:absolute;left:6998;top:2532;flip:x;height:1;width:2730;" filled="f" stroked="t" coordsize="21600,21600" o:gfxdata="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f5ZmugAAANwA&#10;AAAPAAAAAAAAAAEAIAAAACIAAABkcnMvZG93bnJldi54bWxQSwECFAAUAAAACACHTuJAMy8FnjsA&#10;AAA5AAAAEAAAAAAAAAABACAAAAAJAQAAZHJzL3NoYXBleG1sLnhtbFBLBQYAAAAABgAGAFsBAACz&#10;AwAAAAA=&#10;">
                        <v:fill on="f" focussize="0,0"/>
                        <v:stroke color="#000000" joinstyle="round" dashstyle="dash" endarrow="block" endarrowwidth="narrow"/>
                        <v:imagedata o:title=""/>
                        <o:lock v:ext="edit" aspectratio="f"/>
                      </v:line>
                      <v:rect id="_x0000_s1026" o:spid="_x0000_s1026" o:spt="1" style="position:absolute;left:6818;top:13452;height:312;width:360;" filled="f" stroked="f" coordsize="21600,21600" o:gfxdata="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aNW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jc w:val="center"/>
                                <w:rPr>
                                  <w:rFonts w:hint="eastAsia"/>
                                </w:rPr>
                              </w:pPr>
                              <w:r>
                                <w:rPr>
                                  <w:rFonts w:hint="eastAsia"/>
                                </w:rPr>
                                <w:t>S9</w:t>
                              </w:r>
                            </w:p>
                          </w:txbxContent>
                        </v:textbox>
                      </v:rect>
                      <v:line id="_x0000_s1026" o:spid="_x0000_s1026" o:spt="20" style="position:absolute;left:6998;top:10943;flip:y;height:13;width:2567;" filled="f" stroked="t" coordsize="21600,21600" o:gfxdata="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mU3xbsAAADc&#10;AAAADwAAAAAAAAABACAAAAAiAAAAZHJzL2Rvd25yZXYueG1sUEsBAhQAFAAAAAgAh07iQDMvBZ47&#10;AAAAOQAAABAAAAAAAAAAAQAgAAAACgEAAGRycy9zaGFwZXhtbC54bWxQSwUGAAAAAAYABgBbAQAA&#10;tAMAAAAA&#10;">
                        <v:fill on="f" focussize="0,0"/>
                        <v:stroke color="#000000" joinstyle="round" dashstyle="dash" endarrowwidth="narrow"/>
                        <v:imagedata o:title=""/>
                        <o:lock v:ext="edit" aspectratio="f"/>
                      </v:line>
                      <v:rect id="_x0000_s1026" o:spid="_x0000_s1026" o:spt="1" style="position:absolute;left:8438;top:10644;height:312;width:360;" filled="f" stroked="f" coordsize="21600,21600" o:gfxdata="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WJ65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jc w:val="center"/>
                                <w:rPr>
                                  <w:rFonts w:hint="eastAsia"/>
                                </w:rPr>
                              </w:pPr>
                              <w:r>
                                <w:rPr>
                                  <w:rFonts w:hint="eastAsia"/>
                                </w:rPr>
                                <w:t>S8</w:t>
                              </w:r>
                            </w:p>
                          </w:txbxContent>
                        </v:textbox>
                      </v:rect>
                      <v:rect id="_x0000_s1026" o:spid="_x0000_s1026" o:spt="1" style="position:absolute;left:3758;top:15480;height:312;width:4860;" filled="f" stroked="f" coordsize="21600,21600" o:gfxdata="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FDsi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jc w:val="center"/>
                                <w:rPr>
                                  <w:rFonts w:hint="eastAsia" w:ascii="黑体" w:eastAsia="黑体"/>
                                  <w:sz w:val="24"/>
                                </w:rPr>
                              </w:pPr>
                              <w:r>
                                <w:rPr>
                                  <w:rFonts w:hint="eastAsia" w:ascii="黑体" w:eastAsia="黑体"/>
                                  <w:sz w:val="24"/>
                                </w:rPr>
                                <w:t>图</w:t>
                              </w:r>
                              <w:r>
                                <w:rPr>
                                  <w:rFonts w:hint="eastAsia" w:ascii="黑体" w:hAnsi="宋体" w:eastAsia="黑体"/>
                                  <w:bCs/>
                                  <w:sz w:val="24"/>
                                </w:rPr>
                                <w:t>1</w:t>
                              </w:r>
                              <w:r>
                                <w:rPr>
                                  <w:rFonts w:hint="eastAsia" w:ascii="黑体" w:hAnsi="宋体" w:eastAsia="黑体"/>
                                  <w:bCs/>
                                  <w:sz w:val="24"/>
                                  <w:lang w:val="en-US" w:eastAsia="zh-CN"/>
                                </w:rPr>
                                <w:t>-1</w:t>
                              </w:r>
                              <w:r>
                                <w:rPr>
                                  <w:rFonts w:hint="eastAsia" w:ascii="黑体" w:hAnsi="宋体" w:eastAsia="黑体"/>
                                  <w:bCs/>
                                  <w:sz w:val="24"/>
                                </w:rPr>
                                <w:t xml:space="preserve">   碱性砖生产线工艺流程图</w:t>
                              </w:r>
                            </w:p>
                          </w:txbxContent>
                        </v:textbox>
                      </v:rect>
                      <v:line id="_x0000_s1026" o:spid="_x0000_s1026" o:spt="20" style="position:absolute;left:6998;top:7992;flip:x;height:0;width:1080;" filled="f" stroked="t" coordsize="21600,21600" o:gfxdata="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52bfugAAANwA&#10;AAAPAAAAAAAAAAEAIAAAACIAAABkcnMvZG93bnJldi54bWxQSwECFAAUAAAACACHTuJAMy8FnjsA&#10;AAA5AAAAEAAAAAAAAAABACAAAAAJAQAAZHJzL3NoYXBleG1sLnhtbFBLBQYAAAAABgAGAFsBAACz&#10;AwAAAAA=&#10;">
                        <v:fill on="f" focussize="0,0"/>
                        <v:stroke color="#000000" joinstyle="round" endarrow="block" endarrowwidth="narrow"/>
                        <v:imagedata o:title=""/>
                        <o:lock v:ext="edit" aspectratio="f"/>
                      </v:line>
                      <v:rect id="_x0000_s1026" o:spid="_x0000_s1026" o:spt="1" style="position:absolute;left:8078;top:7836;height:312;width:1440;" filled="f" stroked="t" coordsize="21600,21600" o:gfxdata="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DjR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外购成品料</w:t>
                              </w:r>
                            </w:p>
                          </w:txbxContent>
                        </v:textbox>
                      </v:rect>
                      <v:line id="_x0000_s1026" o:spid="_x0000_s1026" o:spt="20" style="position:absolute;left:6998;top:10176;flip:x;height:0;width:900;" filled="f" stroked="t" coordsize="21600,21600" o:gfxdata="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NFc2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rect id="_x0000_s1026" o:spid="_x0000_s1026" o:spt="1" style="position:absolute;left:7898;top:10020;height:312;width:900;" filled="f" stroked="t" coordsize="21600,21600" o:gfxdata="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0vCTi5AAAA3AAA&#10;AA8AAAAAAAAAAQAgAAAAIgAAAGRycy9kb3ducmV2LnhtbFBLAQIUABQAAAAIAIdO4kAzLwWeOwAA&#10;ADkAAAAQAAAAAAAAAAEAIAAAAAgBAABkcnMvc2hhcGV4bWwueG1sUEsFBgAAAAAGAAYAWwEAALID&#10;AAAAAA==&#10;">
                        <v:fill on="f" focussize="0,0"/>
                        <v:stroke color="#000000" joinstyle="miter"/>
                        <v:imagedata o:title=""/>
                        <o:lock v:ext="edit" aspectratio="f"/>
                        <v:textbox inset="0mm,0mm,0mm,0mm">
                          <w:txbxContent>
                            <w:p>
                              <w:pPr>
                                <w:jc w:val="center"/>
                                <w:rPr>
                                  <w:rFonts w:hint="eastAsia"/>
                                </w:rPr>
                              </w:pPr>
                              <w:r>
                                <w:rPr>
                                  <w:rFonts w:hint="eastAsia"/>
                                </w:rPr>
                                <w:t>结合剂</w:t>
                              </w:r>
                            </w:p>
                          </w:txbxContent>
                        </v:textbox>
                      </v:rect>
                      <v:rect id="_x0000_s1026" o:spid="_x0000_s1026" o:spt="1" style="position:absolute;left:7538;top:11736;height:312;width:720;" filled="f" stroked="f" coordsize="21600,21600" o:gfxdata="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S26J2/&#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G6</w:t>
                              </w:r>
                            </w:p>
                          </w:txbxContent>
                        </v:textbox>
                      </v:rect>
                      <v:line id="_x0000_s1026" o:spid="_x0000_s1026" o:spt="20" style="position:absolute;left:1958;top:7056;flip:x y;height:0;width:900;" filled="f" stroked="t" coordsize="21600,21600" o:gfxdata="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Gm0GS5AAAA3AAA&#10;AA8AAAAAAAAAAQAgAAAAIgAAAGRycy9kb3ducmV2LnhtbFBLAQIUABQAAAAIAIdO4kAzLwWeOwAA&#10;ADkAAAAQAAAAAAAAAAEAIAAAAAgBAABkcnMvc2hhcGV4bWwueG1sUEsFBgAAAAAGAAYAWwEAALID&#10;AAAAAA==&#10;">
                        <v:fill on="f" focussize="0,0"/>
                        <v:stroke color="#000000" joinstyle="round" dashstyle="dash" endarrowwidth="narrow"/>
                        <v:imagedata o:title=""/>
                        <o:lock v:ext="edit" aspectratio="f"/>
                      </v:line>
                      <v:rect id="_x0000_s1026" o:spid="_x0000_s1026" o:spt="1" style="position:absolute;left:878;top:7836;height:312;width:1620;" filled="f" stroked="t" coordsize="21600,21600" o:gfxdata="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Ze6265AAAA3AAA&#10;AA8AAAAAAAAAAQAgAAAAIgAAAGRycy9kb3ducmV2LnhtbFBLAQIUABQAAAAIAIdO4kAzLwWeOwAA&#10;ADkAAAAQAAAAAAAAAAEAIAAAAAgBAABkcnMvc2hhcGV4bWwueG1sUEsFBgAAAAAGAAYAWwEAALID&#10;AAAAAA==&#10;">
                        <v:fill on="f" focussize="0,0"/>
                        <v:stroke color="#000000" joinstyle="miter"/>
                        <v:imagedata o:title=""/>
                        <o:lock v:ext="edit" aspectratio="f"/>
                        <v:textbox inset="0mm,0mm,0mm,0mm">
                          <w:txbxContent>
                            <w:p>
                              <w:pPr>
                                <w:jc w:val="center"/>
                                <w:rPr>
                                  <w:rFonts w:hint="eastAsia"/>
                                </w:rPr>
                              </w:pPr>
                              <w:r>
                                <w:rPr>
                                  <w:rFonts w:hint="eastAsia"/>
                                </w:rPr>
                                <w:t>布袋除尘器</w:t>
                              </w:r>
                            </w:p>
                          </w:txbxContent>
                        </v:textbox>
                      </v:rect>
                      <v:line id="_x0000_s1026" o:spid="_x0000_s1026" o:spt="20" style="position:absolute;left:1958;top:7056;height:780;width:0;" filled="f" stroked="t" coordsize="21600,21600" o:gfxdata="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V2KDq8AAAA&#10;3AAAAA8AAAAAAAAAAQAgAAAAIgAAAGRycy9kb3ducmV2LnhtbFBLAQIUABQAAAAIAIdO4kAzLwWe&#10;OwAAADkAAAAQAAAAAAAAAAEAIAAAAAsBAABkcnMvc2hhcGV4bWwueG1sUEsFBgAAAAAGAAYAWwEA&#10;ALUDAAAAAA==&#10;">
                        <v:fill on="f" focussize="0,0"/>
                        <v:stroke color="#000000" joinstyle="round" dashstyle="dash" endarrow="block" endarrowwidth="narrow"/>
                        <v:imagedata o:title=""/>
                        <o:lock v:ext="edit" aspectratio="f"/>
                      </v:line>
                      <v:line id="_x0000_s1026" o:spid="_x0000_s1026" o:spt="20" style="position:absolute;left:4478;top:10176;flip:x;height:0;width:1080;" filled="f" stroked="t" coordsize="21600,21600" o:gfxdata="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3UXZugAAANwA&#10;AAAPAAAAAAAAAAEAIAAAACIAAABkcnMvZG93bnJldi54bWxQSwECFAAUAAAACACHTuJAMy8FnjsA&#10;AAA5AAAAEAAAAAAAAAABACAAAAAJAQAAZHJzL3NoYXBleG1sLnhtbFBLBQYAAAAABgAGAFsBAACz&#10;AwAAAAA=&#10;">
                        <v:fill on="f" focussize="0,0"/>
                        <v:stroke color="#000000" joinstyle="round" dashstyle="dash" endarrow="block" endarrowwidth="narrow"/>
                        <v:imagedata o:title=""/>
                        <o:lock v:ext="edit" aspectratio="f"/>
                      </v:line>
                      <v:rect id="_x0000_s1026" o:spid="_x0000_s1026" o:spt="1" style="position:absolute;left:3038;top:10020;height:312;width:1440;" filled="f" stroked="t" coordsize="21600,21600" o:gfxdata="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t3Ma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布袋除尘器</w:t>
                              </w:r>
                            </w:p>
                          </w:txbxContent>
                        </v:textbox>
                      </v:rect>
                      <v:line id="_x0000_s1026" o:spid="_x0000_s1026" o:spt="20" style="position:absolute;left:3758;top:9708;flip:x y;height:312;width:0;" filled="f" stroked="t" coordsize="21600,21600" o:gfxdata="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5PSBC5AAAA3AAA&#10;AA8AAAAAAAAAAQAgAAAAIgAAAGRycy9kb3ducmV2LnhtbFBLAQIUABQAAAAIAIdO4kAzLwWeOwAA&#10;ADkAAAAQAAAAAAAAAAEAIAAAAAgBAABkcnMvc2hhcGV4bWwueG1sUEsFBgAAAAAGAAYAWwEAALID&#10;AAAAAA==&#10;">
                        <v:fill on="f" focussize="0,0"/>
                        <v:stroke color="#000000" joinstyle="round" dashstyle="dash" endarrowwidth="narrow"/>
                        <v:imagedata o:title=""/>
                        <o:lock v:ext="edit" aspectratio="f"/>
                      </v:line>
                      <v:line id="_x0000_s1026" o:spid="_x0000_s1026" o:spt="20" style="position:absolute;left:1238;top:7368;flip:y;height:468;width:0;" filled="f" stroked="t" coordsize="21600,21600" o:gfxdata="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A/brrsAAADc&#10;AAAADwAAAAAAAAABACAAAAAiAAAAZHJzL2Rvd25yZXYueG1sUEsBAhQAFAAAAAgAh07iQDMvBZ47&#10;AAAAOQAAABAAAAAAAAAAAQAgAAAACgEAAGRycy9zaGFwZXhtbC54bWxQSwUGAAAAAAYABgBbAQAA&#10;tAMAAAAA&#10;">
                        <v:fill on="f" focussize="0,0"/>
                        <v:stroke color="#000000" joinstyle="round" dashstyle="dash" endarrow="block" endarrowwidth="narrow"/>
                        <v:imagedata o:title=""/>
                        <o:lock v:ext="edit" aspectratio="f"/>
                      </v:line>
                      <v:rect id="_x0000_s1026" o:spid="_x0000_s1026" o:spt="1" style="position:absolute;left:878;top:7056;height:312;width:720;" filled="f" stroked="f" coordsize="21600,21600" o:gfxdata="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rA5J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G4</w:t>
                              </w:r>
                            </w:p>
                          </w:txbxContent>
                        </v:textbox>
                      </v:rect>
                      <v:line id="_x0000_s1026" o:spid="_x0000_s1026" o:spt="20" style="position:absolute;left:2138;top:10176;flip:x;height:0;width:900;" filled="f" stroked="t" coordsize="21600,21600" o:gfxdata="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c6ke8AAAA&#10;3AAAAA8AAAAAAAAAAQAgAAAAIgAAAGRycy9kb3ducmV2LnhtbFBLAQIUABQAAAAIAIdO4kAzLwWe&#10;OwAAADkAAAAQAAAAAAAAAAEAIAAAAAsBAABkcnMvc2hhcGV4bWwueG1sUEsFBgAAAAAGAAYAWwEA&#10;ALUDAAAAAA==&#10;">
                        <v:fill on="f" focussize="0,0"/>
                        <v:stroke color="#000000" joinstyle="round" dashstyle="dash" endarrow="block" endarrowwidth="narrow"/>
                        <v:imagedata o:title=""/>
                        <o:lock v:ext="edit" aspectratio="f"/>
                      </v:line>
                      <v:rect id="_x0000_s1026" o:spid="_x0000_s1026" o:spt="1" style="position:absolute;left:1778;top:10020;height:312;width:360;" filled="f" stroked="f" coordsize="21600,21600" o:gfxdata="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W9+Q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jc w:val="center"/>
                                <w:rPr>
                                  <w:rFonts w:hint="eastAsia"/>
                                </w:rPr>
                              </w:pPr>
                              <w:r>
                                <w:rPr>
                                  <w:rFonts w:hint="eastAsia"/>
                                </w:rPr>
                                <w:t>G5</w:t>
                              </w:r>
                            </w:p>
                          </w:txbxContent>
                        </v:textbox>
                      </v:rect>
                      <v:line id="_x0000_s1026" o:spid="_x0000_s1026" o:spt="20" style="position:absolute;left:6818;top:9708;height:312;width:0;" filled="f" stroked="t" coordsize="21600,21600" o:gfxdata="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qcdl74A&#10;AADc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v:line id="_x0000_s1026" o:spid="_x0000_s1026" o:spt="20" style="position:absolute;left:2498;top:7992;height:0;width:1080;" filled="f" stroked="t" coordsize="21600,21600" o:gfxdata="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4xt8vQAA&#10;ANwAAAAPAAAAAAAAAAEAIAAAACIAAABkcnMvZG93bnJldi54bWxQSwECFAAUAAAACACHTuJAMy8F&#10;njsAAAA5AAAAEAAAAAAAAAABACAAAAAMAQAAZHJzL3NoYXBleG1sLnhtbFBLBQYAAAAABgAGAFsB&#10;AAC2AwAAAAA=&#10;">
                        <v:fill on="f" focussize="0,0"/>
                        <v:stroke color="#000000" joinstyle="round" dashstyle="dash" endarrow="block" endarrowwidth="narrow"/>
                        <v:imagedata o:title=""/>
                        <o:lock v:ext="edit" aspectratio="f"/>
                      </v:line>
                      <v:line id="_x0000_s1026" o:spid="_x0000_s1026" o:spt="20" style="position:absolute;left:3758;top:9708;height:0;width:1980;" filled="f" stroked="t" coordsize="21600,21600" o:gfxdata="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r35ovQAA&#10;ANw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_x0000_s1026" o:spid="_x0000_s1026" o:spt="20" style="position:absolute;left:5738;top:9708;height:312;width:0;" filled="f" stroked="t" coordsize="21600,21600" o:gfxdata="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9GJpO8AAAA&#10;3AAAAA8AAAAAAAAAAQAgAAAAIgAAAGRycy9kb3ducmV2LnhtbFBLAQIUABQAAAAIAIdO4kAzLwWe&#10;OwAAADkAAAAQAAAAAAAAAAEAIAAAAAsBAABkcnMvc2hhcGV4bWwueG1sUEsFBgAAAAAGAAYAWwEA&#10;ALUDAAAAAA==&#10;">
                        <v:fill on="f" focussize="0,0"/>
                        <v:stroke color="#000000" joinstyle="round" dashstyle="dash" endarrow="block" endarrowwidth="narrow"/>
                        <v:imagedata o:title=""/>
                        <o:lock v:ext="edit" aspectratio="f"/>
                      </v:line>
                      <v:line id="_x0000_s1026" o:spid="_x0000_s1026" o:spt="20" style="position:absolute;left:9616;top:9695;flip:x y;height:1248;width:3;" filled="f" stroked="t" coordsize="21600,21600" o:gfxdata="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F12QvQAA&#10;ANw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_x0000_s1026" o:spid="_x0000_s1026" o:spt="20" style="position:absolute;left:6818;top:9709;flip:x y;height:13;width:2810;" filled="f" stroked="t" coordsize="21600,21600" o:gfxdata="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xcPnvQAA&#10;ANw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rect id="_x0000_s1026" o:spid="_x0000_s1026" o:spt="1" style="position:absolute;left:2678;top:7680;height:312;width:720;" filled="f" stroked="f" coordsize="21600,21600" o:gfxdata="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obmNL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jc w:val="center"/>
                                <w:rPr>
                                  <w:rFonts w:hint="eastAsia"/>
                                </w:rPr>
                              </w:pPr>
                              <w:r>
                                <w:rPr>
                                  <w:rFonts w:hint="eastAsia"/>
                                </w:rPr>
                                <w:t>S6</w:t>
                              </w:r>
                            </w:p>
                          </w:txbxContent>
                        </v:textbox>
                      </v:rect>
                      <v:line id="_x0000_s1026" o:spid="_x0000_s1026" o:spt="20" style="position:absolute;left:5738;top:13296;height:468;width:0;" filled="f" stroked="t" coordsize="21600,21600" o:gfxdata="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QtEKvQAA&#10;ANwAAAAPAAAAAAAAAAEAIAAAACIAAABkcnMvZG93bnJldi54bWxQSwECFAAUAAAACACHTuJAMy8F&#10;njsAAAA5AAAAEAAAAAAAAAABACAAAAAMAQAAZHJzL3NoYXBleG1sLnhtbFBLBQYAAAAABgAGAFsB&#10;AAC2AwAAAAA=&#10;">
                        <v:fill on="f" focussize="0,0"/>
                        <v:stroke color="#000000" joinstyle="round" dashstyle="dash" endarrowwidth="narrow"/>
                        <v:imagedata o:title=""/>
                        <o:lock v:ext="edit" aspectratio="f"/>
                      </v:line>
                      <v:line id="_x0000_s1026" o:spid="_x0000_s1026" o:spt="20" style="position:absolute;left:4298;top:13764;flip:x;height:0;width:1440;" filled="f" stroked="t" coordsize="21600,21600" o:gfxdata="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wV8mrsAAADc&#10;AAAADwAAAAAAAAABACAAAAAiAAAAZHJzL2Rvd25yZXYueG1sUEsBAhQAFAAAAAgAh07iQDMvBZ47&#10;AAAAOQAAABAAAAAAAAAAAQAgAAAACgEAAGRycy9zaGFwZXhtbC54bWxQSwUGAAAAAAYABgBbAQAA&#10;tAMAAAAA&#10;">
                        <v:fill on="f" focussize="0,0"/>
                        <v:stroke color="#000000" joinstyle="round" dashstyle="dash" endarrow="block" endarrowwidth="narrow"/>
                        <v:imagedata o:title=""/>
                        <o:lock v:ext="edit" aspectratio="f"/>
                      </v:line>
                      <v:rect id="_x0000_s1026" o:spid="_x0000_s1026" o:spt="1" style="position:absolute;left:3578;top:13608;height:312;width:720;" filled="f" stroked="f" coordsize="21600,21600" o:gfxdata="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kCKu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jc w:val="center"/>
                                <w:rPr>
                                  <w:rFonts w:hint="eastAsia"/>
                                </w:rPr>
                              </w:pPr>
                              <w:r>
                                <w:rPr>
                                  <w:rFonts w:hint="eastAsia"/>
                                </w:rPr>
                                <w:t>烟气</w:t>
                              </w:r>
                            </w:p>
                          </w:txbxContent>
                        </v:textbox>
                      </v:rect>
                      <v:rect id="_x0000_s1026" o:spid="_x0000_s1026" o:spt="1" style="position:absolute;left:4658;top:13452;height:312;width:720;" filled="f" stroked="f" coordsize="21600,21600" o:gfxdata="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0MLy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G7</w:t>
                              </w:r>
                            </w:p>
                          </w:txbxContent>
                        </v:textbox>
                      </v:rect>
                      <v:line id="_x0000_s1026" o:spid="_x0000_s1026" o:spt="20" style="position:absolute;left:1241;top:4872;height:0;width:4320;" filled="f" stroked="t" coordsize="21600,21600" o:gfxdata="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1Wncb&#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rect id="_x0000_s1026" o:spid="_x0000_s1026" o:spt="1" style="position:absolute;left:4478;top:9396;height:312;width:540;" filled="f" stroked="f" coordsize="21600,21600" o:gfxdata="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khTM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jc w:val="center"/>
                                <w:rPr>
                                  <w:rFonts w:hint="eastAsia"/>
                                </w:rPr>
                              </w:pPr>
                              <w:r>
                                <w:rPr>
                                  <w:rFonts w:hint="eastAsia"/>
                                </w:rPr>
                                <w:t>S7</w:t>
                              </w:r>
                            </w:p>
                          </w:txbxContent>
                        </v:textbox>
                      </v:rect>
                      <v:line id="_x0000_s1026" o:spid="_x0000_s1026" o:spt="20" style="position:absolute;left:5738;top:10329;flip:y;height:312;width:0;" filled="f" stroked="t" coordsize="21600,21600" o:gfxdata="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9aTzK8AAAA&#10;3A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group>
                  </w:pict>
                </mc:Fallback>
              </mc:AlternateContent>
            </w: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jc w:val="center"/>
              <w:rPr>
                <w:rFonts w:ascii="Times New Roman" w:hAnsi="Times New Roman" w:eastAsia="宋体"/>
                <w:b/>
                <w:bCs/>
                <w:sz w:val="24"/>
                <w:szCs w:val="22"/>
                <w:highlight w:val="none"/>
              </w:rPr>
            </w:pPr>
          </w:p>
          <w:p>
            <w:pPr>
              <w:spacing w:line="360" w:lineRule="auto"/>
              <w:ind w:firstLine="480" w:firstLineChars="200"/>
              <w:rPr>
                <w:rFonts w:ascii="Times New Roman" w:hAnsi="Times New Roman" w:eastAsia="宋体"/>
                <w:sz w:val="24"/>
                <w:szCs w:val="22"/>
                <w:highlight w:val="none"/>
              </w:rPr>
            </w:pPr>
          </w:p>
          <w:p>
            <w:pPr>
              <w:spacing w:line="360" w:lineRule="auto"/>
              <w:ind w:firstLine="480" w:firstLineChars="200"/>
              <w:rPr>
                <w:rFonts w:ascii="Times New Roman" w:hAnsi="Times New Roman" w:eastAsia="宋体"/>
                <w:sz w:val="24"/>
                <w:szCs w:val="22"/>
                <w:highlight w:val="none"/>
              </w:rPr>
            </w:pPr>
            <w:r>
              <w:rPr>
                <w:rFonts w:ascii="Times New Roman" w:hAnsi="Times New Roman" w:eastAsia="宋体"/>
                <w:sz w:val="24"/>
                <w:szCs w:val="22"/>
                <w:highlight w:val="none"/>
              </w:rPr>
              <w:t>工艺流程简介：</w:t>
            </w:r>
          </w:p>
          <w:p>
            <w:pPr>
              <w:keepNext w:val="0"/>
              <w:keepLines w:val="0"/>
              <w:suppressLineNumbers w:val="0"/>
              <w:spacing w:before="0" w:beforeAutospacing="0" w:after="0" w:afterAutospacing="0" w:line="480" w:lineRule="exact"/>
              <w:ind w:left="0" w:right="0" w:firstLine="480" w:firstLineChars="200"/>
              <w:rPr>
                <w:rFonts w:hint="eastAsia" w:ascii="Times New Roman" w:hAnsi="Times New Roman" w:eastAsia="宋体"/>
                <w:sz w:val="24"/>
                <w:szCs w:val="24"/>
              </w:rPr>
            </w:pPr>
            <w:r>
              <w:rPr>
                <w:rFonts w:hint="eastAsia" w:ascii="Times New Roman" w:hAnsi="Times New Roman" w:eastAsia="宋体"/>
                <w:sz w:val="24"/>
                <w:szCs w:val="24"/>
              </w:rPr>
              <w:t>一期碱性砖所</w:t>
            </w:r>
            <w:r>
              <w:rPr>
                <w:rFonts w:hint="default" w:ascii="Times New Roman" w:hAnsi="Times New Roman" w:eastAsia="宋体"/>
                <w:sz w:val="24"/>
                <w:szCs w:val="24"/>
              </w:rPr>
              <w:t>用</w:t>
            </w:r>
            <w:r>
              <w:rPr>
                <w:rFonts w:hint="eastAsia" w:ascii="Times New Roman" w:hAnsi="Times New Roman" w:eastAsia="宋体"/>
                <w:sz w:val="24"/>
                <w:szCs w:val="24"/>
              </w:rPr>
              <w:t>原料主要为</w:t>
            </w:r>
            <w:r>
              <w:rPr>
                <w:rFonts w:hint="default" w:ascii="Times New Roman" w:hAnsi="Times New Roman" w:eastAsia="宋体"/>
                <w:sz w:val="24"/>
                <w:szCs w:val="24"/>
              </w:rPr>
              <w:t>高铁镁砂、死烧镁砂、电熔镁砂、板状氧化铝、电熔尖晶石以及结合剂</w:t>
            </w:r>
            <w:r>
              <w:rPr>
                <w:rFonts w:hint="eastAsia" w:ascii="Times New Roman" w:hAnsi="Times New Roman" w:eastAsia="宋体"/>
                <w:sz w:val="24"/>
                <w:szCs w:val="24"/>
              </w:rPr>
              <w:t>等</w:t>
            </w:r>
            <w:r>
              <w:rPr>
                <w:rFonts w:hint="default" w:ascii="Times New Roman" w:hAnsi="Times New Roman" w:eastAsia="宋体"/>
                <w:sz w:val="24"/>
                <w:szCs w:val="24"/>
              </w:rPr>
              <w:t>。</w:t>
            </w:r>
          </w:p>
          <w:p>
            <w:pPr>
              <w:keepNext w:val="0"/>
              <w:keepLines w:val="0"/>
              <w:suppressLineNumbers w:val="0"/>
              <w:spacing w:before="0" w:beforeAutospacing="0" w:after="0" w:afterAutospacing="0" w:line="480" w:lineRule="exact"/>
              <w:ind w:left="0" w:right="0" w:firstLine="480" w:firstLineChars="200"/>
              <w:rPr>
                <w:rFonts w:hint="eastAsia" w:ascii="Times New Roman" w:hAnsi="Times New Roman" w:eastAsia="宋体"/>
                <w:sz w:val="24"/>
                <w:szCs w:val="24"/>
              </w:rPr>
            </w:pPr>
            <w:r>
              <w:rPr>
                <w:rFonts w:hint="eastAsia" w:ascii="Times New Roman" w:hAnsi="Times New Roman" w:eastAsia="宋体"/>
                <w:sz w:val="24"/>
                <w:szCs w:val="24"/>
              </w:rPr>
              <w:t>该</w:t>
            </w:r>
            <w:r>
              <w:rPr>
                <w:rFonts w:hint="default" w:ascii="Times New Roman" w:hAnsi="Times New Roman" w:eastAsia="宋体"/>
                <w:sz w:val="24"/>
                <w:szCs w:val="24"/>
              </w:rPr>
              <w:t>生产线由破粉碎、原料入仓、配料、混合、成型、干燥、烧成、检验包装等工序组成，其工艺流程如下</w:t>
            </w:r>
            <w:r>
              <w:rPr>
                <w:rFonts w:hint="eastAsia" w:ascii="Times New Roman" w:hAnsi="Times New Roman" w:eastAsia="宋体"/>
                <w:sz w:val="24"/>
                <w:szCs w:val="24"/>
              </w:rPr>
              <w:t>：</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sz w:val="24"/>
                <w:szCs w:val="24"/>
              </w:rPr>
            </w:pPr>
            <w:r>
              <w:rPr>
                <w:rFonts w:hint="default" w:ascii="Times New Roman" w:hAnsi="Times New Roman" w:eastAsia="宋体"/>
                <w:b/>
                <w:sz w:val="24"/>
                <w:szCs w:val="24"/>
              </w:rPr>
              <w:t>原料存放</w:t>
            </w:r>
            <w:r>
              <w:rPr>
                <w:rFonts w:hint="eastAsia" w:ascii="Times New Roman" w:hAnsi="Times New Roman" w:eastAsia="宋体"/>
                <w:sz w:val="24"/>
                <w:szCs w:val="24"/>
              </w:rPr>
              <w:t>：生产线</w:t>
            </w:r>
            <w:r>
              <w:rPr>
                <w:rFonts w:hint="default" w:ascii="Times New Roman" w:hAnsi="Times New Roman" w:eastAsia="宋体"/>
                <w:sz w:val="24"/>
                <w:szCs w:val="24"/>
              </w:rPr>
              <w:t>建设原料库一座，用于贮存进厂原料。原料的进厂采用</w:t>
            </w:r>
            <w:r>
              <w:rPr>
                <w:rFonts w:hint="eastAsia" w:ascii="Times New Roman" w:hAnsi="Times New Roman" w:eastAsia="宋体"/>
                <w:sz w:val="24"/>
                <w:szCs w:val="24"/>
              </w:rPr>
              <w:t>水运加</w:t>
            </w:r>
            <w:r>
              <w:rPr>
                <w:rFonts w:hint="default" w:ascii="Times New Roman" w:hAnsi="Times New Roman" w:eastAsia="宋体"/>
                <w:sz w:val="24"/>
                <w:szCs w:val="24"/>
              </w:rPr>
              <w:t>汽运的方式，使用时用装载机倒运。原料库面积为</w:t>
            </w:r>
            <w:r>
              <w:rPr>
                <w:rFonts w:hint="eastAsia" w:ascii="Times New Roman" w:hAnsi="Times New Roman" w:eastAsia="宋体"/>
                <w:sz w:val="24"/>
                <w:szCs w:val="24"/>
              </w:rPr>
              <w:t>3600</w:t>
            </w:r>
            <w:r>
              <w:rPr>
                <w:rFonts w:hint="default" w:ascii="Times New Roman" w:hAnsi="Times New Roman" w:eastAsia="宋体"/>
                <w:sz w:val="24"/>
                <w:szCs w:val="24"/>
              </w:rPr>
              <w:t>m</w:t>
            </w:r>
            <w:r>
              <w:rPr>
                <w:rFonts w:hint="default" w:ascii="Times New Roman" w:hAnsi="Times New Roman" w:eastAsia="宋体"/>
                <w:sz w:val="24"/>
                <w:szCs w:val="24"/>
                <w:vertAlign w:val="superscript"/>
              </w:rPr>
              <w:t>2</w:t>
            </w:r>
            <w:r>
              <w:rPr>
                <w:rFonts w:hint="default" w:ascii="Times New Roman" w:hAnsi="Times New Roman" w:eastAsia="宋体"/>
                <w:sz w:val="24"/>
                <w:szCs w:val="24"/>
              </w:rPr>
              <w:t>，可存放约一个月</w:t>
            </w:r>
            <w:r>
              <w:rPr>
                <w:rFonts w:hint="eastAsia" w:ascii="Times New Roman" w:hAnsi="Times New Roman" w:eastAsia="宋体"/>
                <w:sz w:val="24"/>
                <w:szCs w:val="24"/>
              </w:rPr>
              <w:t>半</w:t>
            </w:r>
            <w:r>
              <w:rPr>
                <w:rFonts w:hint="default" w:ascii="Times New Roman" w:hAnsi="Times New Roman" w:eastAsia="宋体"/>
                <w:sz w:val="24"/>
                <w:szCs w:val="24"/>
              </w:rPr>
              <w:t>的原料。生产时用装载机将原料倒运入</w:t>
            </w:r>
            <w:r>
              <w:rPr>
                <w:rFonts w:hint="eastAsia" w:ascii="Times New Roman" w:hAnsi="Times New Roman" w:eastAsia="宋体"/>
                <w:sz w:val="24"/>
                <w:szCs w:val="24"/>
                <w:lang w:val="en-US" w:eastAsia="zh-CN"/>
              </w:rPr>
              <w:t>立式</w:t>
            </w:r>
            <w:r>
              <w:rPr>
                <w:rFonts w:hint="default" w:ascii="Times New Roman" w:hAnsi="Times New Roman" w:eastAsia="宋体"/>
                <w:sz w:val="24"/>
                <w:szCs w:val="24"/>
              </w:rPr>
              <w:t>破碎机内</w:t>
            </w:r>
            <w:r>
              <w:rPr>
                <w:rFonts w:hint="eastAsia" w:ascii="Times New Roman" w:hAnsi="Times New Roman" w:eastAsia="宋体"/>
                <w:sz w:val="24"/>
                <w:szCs w:val="24"/>
              </w:rPr>
              <w:t>进行破粉碎；部分外购的成品原料通过叉车倒运至配料仓</w:t>
            </w:r>
            <w:r>
              <w:rPr>
                <w:rFonts w:hint="default" w:ascii="Times New Roman" w:hAnsi="Times New Roman" w:eastAsia="宋体"/>
                <w:sz w:val="24"/>
                <w:szCs w:val="24"/>
              </w:rPr>
              <w:t>，</w:t>
            </w:r>
            <w:r>
              <w:rPr>
                <w:rFonts w:hint="eastAsia" w:ascii="Times New Roman" w:hAnsi="Times New Roman" w:eastAsia="宋体"/>
                <w:sz w:val="24"/>
                <w:szCs w:val="24"/>
              </w:rPr>
              <w:t>通过3</w:t>
            </w:r>
            <w:r>
              <w:rPr>
                <w:rFonts w:hint="default" w:ascii="Times New Roman" w:hAnsi="Times New Roman" w:eastAsia="宋体"/>
                <w:sz w:val="24"/>
                <w:szCs w:val="24"/>
              </w:rPr>
              <w:t>T电动葫芦倒运入配料仓；</w:t>
            </w:r>
            <w:r>
              <w:rPr>
                <w:rFonts w:hint="eastAsia" w:ascii="Times New Roman" w:hAnsi="Times New Roman" w:eastAsia="宋体"/>
                <w:sz w:val="24"/>
                <w:szCs w:val="24"/>
              </w:rPr>
              <w:t>结合剂制备后用泵送入配料厂房，通过计量筒加入混合机内。</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sz w:val="24"/>
                <w:szCs w:val="24"/>
              </w:rPr>
            </w:pPr>
            <w:r>
              <w:rPr>
                <w:rFonts w:hint="default" w:ascii="Times New Roman" w:hAnsi="Times New Roman" w:eastAsia="宋体"/>
                <w:b/>
                <w:sz w:val="24"/>
                <w:szCs w:val="24"/>
              </w:rPr>
              <w:t>粗碎</w:t>
            </w:r>
            <w:r>
              <w:rPr>
                <w:rFonts w:hint="eastAsia" w:ascii="Times New Roman" w:hAnsi="Times New Roman" w:eastAsia="宋体"/>
                <w:sz w:val="24"/>
                <w:szCs w:val="24"/>
              </w:rPr>
              <w:t>：</w:t>
            </w:r>
            <w:r>
              <w:rPr>
                <w:rFonts w:hint="default" w:ascii="Times New Roman" w:hAnsi="Times New Roman" w:eastAsia="宋体"/>
                <w:sz w:val="24"/>
                <w:szCs w:val="24"/>
              </w:rPr>
              <w:t>设置在原料库内，共选用</w:t>
            </w:r>
            <w:r>
              <w:rPr>
                <w:rFonts w:hint="eastAsia" w:ascii="Times New Roman" w:hAnsi="Times New Roman" w:eastAsia="宋体"/>
                <w:sz w:val="24"/>
                <w:szCs w:val="24"/>
                <w:lang w:val="en-US" w:eastAsia="zh-CN"/>
              </w:rPr>
              <w:t>2</w:t>
            </w:r>
            <w:r>
              <w:rPr>
                <w:rFonts w:hint="default" w:ascii="Times New Roman" w:hAnsi="Times New Roman" w:eastAsia="宋体"/>
                <w:sz w:val="24"/>
                <w:szCs w:val="24"/>
              </w:rPr>
              <w:t>台PEX250×</w:t>
            </w:r>
            <w:r>
              <w:rPr>
                <w:rFonts w:hint="eastAsia" w:ascii="Times New Roman" w:hAnsi="Times New Roman" w:eastAsia="宋体"/>
                <w:sz w:val="24"/>
                <w:szCs w:val="24"/>
              </w:rPr>
              <w:t>75</w:t>
            </w:r>
            <w:r>
              <w:rPr>
                <w:rFonts w:hint="default" w:ascii="Times New Roman" w:hAnsi="Times New Roman" w:eastAsia="宋体"/>
                <w:sz w:val="24"/>
                <w:szCs w:val="24"/>
              </w:rPr>
              <w:t>0颚式破碎机，该破碎机破碎比大，生产能力高，可以将</w:t>
            </w:r>
            <w:r>
              <w:rPr>
                <w:rFonts w:hint="eastAsia" w:ascii="Times New Roman" w:hAnsi="Times New Roman" w:eastAsia="宋体"/>
                <w:sz w:val="24"/>
                <w:szCs w:val="24"/>
              </w:rPr>
              <w:t>15</w:t>
            </w:r>
            <w:r>
              <w:rPr>
                <w:rFonts w:hint="default" w:ascii="Times New Roman" w:hAnsi="Times New Roman" w:eastAsia="宋体"/>
                <w:sz w:val="24"/>
                <w:szCs w:val="24"/>
              </w:rPr>
              <w:t>0mm的物料破碎至35mm以下。</w:t>
            </w:r>
          </w:p>
          <w:p>
            <w:pPr>
              <w:keepNext w:val="0"/>
              <w:keepLines w:val="0"/>
              <w:suppressLineNumbers w:val="0"/>
              <w:spacing w:before="0" w:beforeAutospacing="0" w:after="0" w:afterAutospacing="0" w:line="480" w:lineRule="exact"/>
              <w:ind w:left="0" w:right="0" w:firstLine="480" w:firstLineChars="200"/>
              <w:rPr>
                <w:rFonts w:hint="default" w:ascii="Times New Roman" w:hAnsi="Times New Roman" w:eastAsia="宋体"/>
                <w:sz w:val="24"/>
                <w:szCs w:val="24"/>
              </w:rPr>
            </w:pPr>
            <w:r>
              <w:rPr>
                <w:rFonts w:hint="default" w:ascii="Times New Roman" w:hAnsi="Times New Roman" w:eastAsia="宋体"/>
                <w:sz w:val="24"/>
                <w:szCs w:val="24"/>
              </w:rPr>
              <w:t>破碎后的物料用D350提升机将物料提升至中碎料仓内，用GZ5电磁振动给料机均匀地为圆锥破碎机供料。</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sz w:val="24"/>
                <w:szCs w:val="24"/>
              </w:rPr>
            </w:pPr>
            <w:r>
              <w:rPr>
                <w:rFonts w:hint="default" w:ascii="Times New Roman" w:hAnsi="Times New Roman" w:eastAsia="宋体"/>
                <w:b/>
                <w:sz w:val="24"/>
                <w:szCs w:val="24"/>
              </w:rPr>
              <w:t>中碎</w:t>
            </w:r>
            <w:r>
              <w:rPr>
                <w:rFonts w:hint="eastAsia" w:ascii="Times New Roman" w:hAnsi="Times New Roman" w:eastAsia="宋体"/>
                <w:sz w:val="24"/>
                <w:szCs w:val="24"/>
              </w:rPr>
              <w:t>：</w:t>
            </w:r>
            <w:r>
              <w:rPr>
                <w:rFonts w:hint="default" w:ascii="Times New Roman" w:hAnsi="Times New Roman" w:eastAsia="宋体"/>
                <w:sz w:val="24"/>
                <w:szCs w:val="24"/>
              </w:rPr>
              <w:t>中碎选用</w:t>
            </w:r>
            <w:r>
              <w:rPr>
                <w:rFonts w:hint="eastAsia" w:ascii="Times New Roman" w:hAnsi="Times New Roman" w:eastAsia="宋体"/>
                <w:sz w:val="24"/>
                <w:szCs w:val="24"/>
                <w:lang w:val="en-US" w:eastAsia="zh-CN"/>
              </w:rPr>
              <w:t>2</w:t>
            </w:r>
            <w:r>
              <w:rPr>
                <w:rFonts w:hint="default" w:ascii="Times New Roman" w:hAnsi="Times New Roman" w:eastAsia="宋体"/>
                <w:sz w:val="24"/>
                <w:szCs w:val="24"/>
              </w:rPr>
              <w:t>台PDY1200短头圆锥破碎机，破碎后的物料用D350提升机提升至</w:t>
            </w:r>
            <w:r>
              <w:rPr>
                <w:rFonts w:hint="eastAsia" w:ascii="Times New Roman" w:hAnsi="Times New Roman" w:eastAsia="宋体"/>
                <w:sz w:val="24"/>
                <w:szCs w:val="24"/>
              </w:rPr>
              <w:t>3</w:t>
            </w:r>
            <w:r>
              <w:rPr>
                <w:rFonts w:hint="default" w:ascii="Times New Roman" w:hAnsi="Times New Roman" w:eastAsia="宋体"/>
                <w:sz w:val="24"/>
                <w:szCs w:val="24"/>
              </w:rPr>
              <w:t>DZSF1224型单层直线振动筛，振动筛的筛上物返至回圆锥破碎机，形成闭路作业；筛下物</w:t>
            </w:r>
            <w:r>
              <w:rPr>
                <w:rFonts w:hint="eastAsia" w:ascii="Times New Roman" w:hAnsi="Times New Roman" w:eastAsia="宋体"/>
                <w:sz w:val="24"/>
                <w:szCs w:val="24"/>
              </w:rPr>
              <w:t>经磁选机除铁后直接进</w:t>
            </w:r>
            <w:r>
              <w:rPr>
                <w:rFonts w:hint="default" w:ascii="Times New Roman" w:hAnsi="Times New Roman" w:eastAsia="宋体"/>
                <w:sz w:val="24"/>
                <w:szCs w:val="24"/>
              </w:rPr>
              <w:t>配料仓。</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sz w:val="24"/>
                <w:szCs w:val="24"/>
              </w:rPr>
            </w:pPr>
            <w:r>
              <w:rPr>
                <w:rFonts w:hint="default" w:ascii="Times New Roman" w:hAnsi="Times New Roman" w:eastAsia="宋体"/>
                <w:b/>
                <w:sz w:val="24"/>
                <w:szCs w:val="24"/>
              </w:rPr>
              <w:t>筛分入仓</w:t>
            </w:r>
            <w:r>
              <w:rPr>
                <w:rFonts w:hint="eastAsia" w:ascii="Times New Roman" w:hAnsi="Times New Roman" w:eastAsia="宋体"/>
                <w:sz w:val="24"/>
                <w:szCs w:val="24"/>
              </w:rPr>
              <w:t>：</w:t>
            </w:r>
            <w:r>
              <w:rPr>
                <w:rFonts w:hint="default" w:ascii="Times New Roman" w:hAnsi="Times New Roman" w:eastAsia="宋体"/>
                <w:sz w:val="24"/>
                <w:szCs w:val="24"/>
              </w:rPr>
              <w:t>原料的分级选用</w:t>
            </w:r>
            <w:r>
              <w:rPr>
                <w:rFonts w:hint="eastAsia" w:ascii="Times New Roman" w:hAnsi="Times New Roman" w:eastAsia="宋体"/>
                <w:sz w:val="24"/>
                <w:szCs w:val="24"/>
                <w:lang w:val="en-US" w:eastAsia="zh-CN"/>
              </w:rPr>
              <w:t>2</w:t>
            </w:r>
            <w:r>
              <w:rPr>
                <w:rFonts w:hint="default" w:ascii="Times New Roman" w:hAnsi="Times New Roman" w:eastAsia="宋体"/>
                <w:sz w:val="24"/>
                <w:szCs w:val="24"/>
              </w:rPr>
              <w:t>台</w:t>
            </w:r>
            <w:r>
              <w:rPr>
                <w:rFonts w:hint="eastAsia" w:ascii="Times New Roman" w:hAnsi="Times New Roman" w:eastAsia="宋体"/>
                <w:sz w:val="24"/>
                <w:szCs w:val="24"/>
              </w:rPr>
              <w:t>3</w:t>
            </w:r>
            <w:r>
              <w:rPr>
                <w:rFonts w:hint="default" w:ascii="Times New Roman" w:hAnsi="Times New Roman" w:eastAsia="宋体"/>
                <w:sz w:val="24"/>
                <w:szCs w:val="24"/>
              </w:rPr>
              <w:t>DZSF1224型</w:t>
            </w:r>
            <w:r>
              <w:rPr>
                <w:rFonts w:hint="eastAsia" w:ascii="Times New Roman" w:hAnsi="Times New Roman" w:eastAsia="宋体"/>
                <w:sz w:val="24"/>
                <w:szCs w:val="24"/>
              </w:rPr>
              <w:t>三</w:t>
            </w:r>
            <w:r>
              <w:rPr>
                <w:rFonts w:hint="default" w:ascii="Times New Roman" w:hAnsi="Times New Roman" w:eastAsia="宋体"/>
                <w:sz w:val="24"/>
                <w:szCs w:val="24"/>
              </w:rPr>
              <w:t>层直线振动筛，经筛分后各粒级物料</w:t>
            </w:r>
            <w:r>
              <w:rPr>
                <w:rFonts w:hint="eastAsia" w:ascii="Times New Roman" w:hAnsi="Times New Roman" w:eastAsia="宋体"/>
                <w:sz w:val="24"/>
                <w:szCs w:val="24"/>
              </w:rPr>
              <w:t>分别进入磁选机除铁，然后入</w:t>
            </w:r>
            <w:r>
              <w:rPr>
                <w:rFonts w:hint="default" w:ascii="Times New Roman" w:hAnsi="Times New Roman" w:eastAsia="宋体"/>
                <w:sz w:val="24"/>
                <w:szCs w:val="24"/>
              </w:rPr>
              <w:t>配料仓内。筛上物返至回圆锥破碎机，形成闭路作业</w:t>
            </w:r>
            <w:r>
              <w:rPr>
                <w:rFonts w:hint="eastAsia" w:ascii="Times New Roman" w:hAnsi="Times New Roman" w:eastAsia="宋体"/>
                <w:sz w:val="24"/>
                <w:szCs w:val="24"/>
              </w:rPr>
              <w:t>，</w:t>
            </w:r>
            <w:r>
              <w:rPr>
                <w:rFonts w:hint="default" w:ascii="Times New Roman" w:hAnsi="Times New Roman" w:eastAsia="宋体"/>
                <w:sz w:val="24"/>
                <w:szCs w:val="24"/>
              </w:rPr>
              <w:t>在</w:t>
            </w:r>
            <w:r>
              <w:rPr>
                <w:rFonts w:hint="eastAsia" w:ascii="Times New Roman" w:hAnsi="Times New Roman" w:eastAsia="宋体"/>
                <w:sz w:val="24"/>
                <w:szCs w:val="24"/>
              </w:rPr>
              <w:t>1～3号振动筛返回的溜管安装侧三通份料阀，</w:t>
            </w:r>
            <w:r>
              <w:rPr>
                <w:rFonts w:hint="default" w:ascii="Times New Roman" w:hAnsi="Times New Roman" w:eastAsia="宋体"/>
                <w:sz w:val="24"/>
                <w:szCs w:val="24"/>
              </w:rPr>
              <w:t>可</w:t>
            </w:r>
            <w:r>
              <w:rPr>
                <w:rFonts w:hint="eastAsia" w:ascii="Times New Roman" w:hAnsi="Times New Roman" w:eastAsia="宋体"/>
                <w:sz w:val="24"/>
                <w:szCs w:val="24"/>
              </w:rPr>
              <w:t>根据需要</w:t>
            </w:r>
            <w:r>
              <w:rPr>
                <w:rFonts w:hint="default" w:ascii="Times New Roman" w:hAnsi="Times New Roman" w:eastAsia="宋体"/>
                <w:sz w:val="24"/>
                <w:szCs w:val="24"/>
              </w:rPr>
              <w:t>将</w:t>
            </w:r>
            <w:r>
              <w:rPr>
                <w:rFonts w:hint="eastAsia" w:ascii="Times New Roman" w:hAnsi="Times New Roman" w:eastAsia="宋体"/>
                <w:sz w:val="24"/>
                <w:szCs w:val="24"/>
              </w:rPr>
              <w:t>一部分返回料卸至皮带，送至雷蒙</w:t>
            </w:r>
            <w:r>
              <w:rPr>
                <w:rFonts w:hint="default" w:ascii="Times New Roman" w:hAnsi="Times New Roman" w:eastAsia="宋体"/>
                <w:sz w:val="24"/>
                <w:szCs w:val="24"/>
              </w:rPr>
              <w:t>磨机</w:t>
            </w:r>
            <w:r>
              <w:rPr>
                <w:rFonts w:hint="eastAsia" w:ascii="Times New Roman" w:hAnsi="Times New Roman" w:eastAsia="宋体"/>
                <w:sz w:val="24"/>
                <w:szCs w:val="24"/>
              </w:rPr>
              <w:t>料仓</w:t>
            </w:r>
            <w:r>
              <w:rPr>
                <w:rFonts w:hint="default" w:ascii="Times New Roman" w:hAnsi="Times New Roman" w:eastAsia="宋体"/>
                <w:sz w:val="24"/>
                <w:szCs w:val="24"/>
              </w:rPr>
              <w:t>内，用于制作细粉料。</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sz w:val="24"/>
                <w:szCs w:val="24"/>
              </w:rPr>
            </w:pPr>
            <w:r>
              <w:rPr>
                <w:rFonts w:hint="default" w:ascii="Times New Roman" w:hAnsi="Times New Roman" w:eastAsia="宋体"/>
                <w:b/>
                <w:sz w:val="24"/>
                <w:szCs w:val="24"/>
              </w:rPr>
              <w:t>细粉的制备</w:t>
            </w:r>
            <w:r>
              <w:rPr>
                <w:rFonts w:hint="eastAsia" w:ascii="Times New Roman" w:hAnsi="Times New Roman" w:eastAsia="宋体"/>
                <w:b/>
                <w:sz w:val="24"/>
                <w:szCs w:val="24"/>
              </w:rPr>
              <w:t>：</w:t>
            </w:r>
            <w:r>
              <w:rPr>
                <w:rFonts w:hint="default" w:ascii="Times New Roman" w:hAnsi="Times New Roman" w:eastAsia="宋体"/>
                <w:sz w:val="24"/>
                <w:szCs w:val="24"/>
              </w:rPr>
              <w:t>选用</w:t>
            </w:r>
            <w:r>
              <w:rPr>
                <w:rFonts w:hint="eastAsia" w:ascii="Times New Roman" w:hAnsi="Times New Roman" w:eastAsia="宋体"/>
                <w:sz w:val="24"/>
                <w:szCs w:val="24"/>
                <w:lang w:val="en-US" w:eastAsia="zh-CN"/>
              </w:rPr>
              <w:t>1</w:t>
            </w:r>
            <w:r>
              <w:rPr>
                <w:rFonts w:hint="default" w:ascii="Times New Roman" w:hAnsi="Times New Roman" w:eastAsia="宋体"/>
                <w:sz w:val="24"/>
                <w:szCs w:val="24"/>
              </w:rPr>
              <w:t>台</w:t>
            </w:r>
            <w:r>
              <w:rPr>
                <w:rFonts w:hint="eastAsia" w:ascii="Times New Roman" w:hAnsi="Times New Roman" w:eastAsia="宋体"/>
                <w:sz w:val="24"/>
                <w:szCs w:val="24"/>
              </w:rPr>
              <w:t>YGM5R4121高压磨粉机</w:t>
            </w:r>
            <w:r>
              <w:rPr>
                <w:rFonts w:hint="default" w:ascii="Times New Roman" w:hAnsi="Times New Roman" w:eastAsia="宋体"/>
                <w:sz w:val="24"/>
                <w:szCs w:val="24"/>
              </w:rPr>
              <w:t>用来制备细粉。</w:t>
            </w:r>
            <w:r>
              <w:rPr>
                <w:rFonts w:hint="eastAsia" w:ascii="Times New Roman" w:hAnsi="Times New Roman" w:eastAsia="宋体"/>
                <w:sz w:val="24"/>
                <w:szCs w:val="24"/>
              </w:rPr>
              <w:t>制备的细粉用D160提升机</w:t>
            </w:r>
            <w:r>
              <w:rPr>
                <w:rFonts w:hint="default" w:ascii="Times New Roman" w:hAnsi="Times New Roman" w:eastAsia="宋体"/>
                <w:sz w:val="24"/>
                <w:szCs w:val="24"/>
              </w:rPr>
              <w:t>送</w:t>
            </w:r>
            <w:r>
              <w:rPr>
                <w:rFonts w:hint="eastAsia" w:ascii="Times New Roman" w:hAnsi="Times New Roman" w:eastAsia="宋体"/>
                <w:sz w:val="24"/>
                <w:szCs w:val="24"/>
              </w:rPr>
              <w:t>至</w:t>
            </w:r>
            <w:r>
              <w:rPr>
                <w:rFonts w:hint="default" w:ascii="Times New Roman" w:hAnsi="Times New Roman" w:eastAsia="宋体"/>
                <w:sz w:val="24"/>
                <w:szCs w:val="24"/>
              </w:rPr>
              <w:t>配料仓</w:t>
            </w:r>
            <w:r>
              <w:rPr>
                <w:rFonts w:hint="eastAsia" w:ascii="Times New Roman" w:hAnsi="Times New Roman" w:eastAsia="宋体"/>
                <w:sz w:val="24"/>
                <w:szCs w:val="24"/>
              </w:rPr>
              <w:t>内</w:t>
            </w:r>
            <w:r>
              <w:rPr>
                <w:rFonts w:hint="default" w:ascii="Times New Roman" w:hAnsi="Times New Roman" w:eastAsia="宋体"/>
                <w:sz w:val="24"/>
                <w:szCs w:val="24"/>
              </w:rPr>
              <w:t>。</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sz w:val="24"/>
                <w:szCs w:val="24"/>
              </w:rPr>
            </w:pPr>
            <w:r>
              <w:rPr>
                <w:rFonts w:hint="eastAsia" w:ascii="Times New Roman" w:hAnsi="Times New Roman" w:eastAsia="宋体"/>
                <w:b/>
                <w:sz w:val="24"/>
                <w:szCs w:val="24"/>
              </w:rPr>
              <w:t>外加剂</w:t>
            </w:r>
            <w:r>
              <w:rPr>
                <w:rFonts w:hint="default" w:ascii="Times New Roman" w:hAnsi="Times New Roman" w:eastAsia="宋体"/>
                <w:b/>
                <w:sz w:val="24"/>
                <w:szCs w:val="24"/>
              </w:rPr>
              <w:t>的入仓</w:t>
            </w:r>
            <w:r>
              <w:rPr>
                <w:rFonts w:hint="eastAsia" w:ascii="Times New Roman" w:hAnsi="Times New Roman" w:eastAsia="宋体"/>
                <w:sz w:val="24"/>
                <w:szCs w:val="24"/>
              </w:rPr>
              <w:t>：外购的成品原料</w:t>
            </w:r>
            <w:r>
              <w:rPr>
                <w:rFonts w:hint="default" w:ascii="Times New Roman" w:hAnsi="Times New Roman" w:eastAsia="宋体"/>
                <w:sz w:val="24"/>
                <w:szCs w:val="24"/>
              </w:rPr>
              <w:t>存入于原料库内，用时</w:t>
            </w:r>
            <w:r>
              <w:rPr>
                <w:rFonts w:hint="eastAsia" w:ascii="Times New Roman" w:hAnsi="Times New Roman" w:eastAsia="宋体"/>
                <w:sz w:val="24"/>
                <w:szCs w:val="24"/>
              </w:rPr>
              <w:t>用装载机或叉车</w:t>
            </w:r>
            <w:r>
              <w:rPr>
                <w:rFonts w:hint="default" w:ascii="Times New Roman" w:hAnsi="Times New Roman" w:eastAsia="宋体"/>
                <w:sz w:val="24"/>
                <w:szCs w:val="24"/>
              </w:rPr>
              <w:t>倒运至配料间</w:t>
            </w:r>
            <w:r>
              <w:rPr>
                <w:rFonts w:hint="eastAsia" w:ascii="Times New Roman" w:hAnsi="Times New Roman" w:eastAsia="宋体"/>
                <w:sz w:val="24"/>
                <w:szCs w:val="24"/>
              </w:rPr>
              <w:t>吊装孔下方</w:t>
            </w:r>
            <w:r>
              <w:rPr>
                <w:rFonts w:hint="default" w:ascii="Times New Roman" w:hAnsi="Times New Roman" w:eastAsia="宋体"/>
                <w:sz w:val="24"/>
                <w:szCs w:val="24"/>
              </w:rPr>
              <w:t>，然后用3T电动葫芦提升至配料仓内。</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b/>
                <w:sz w:val="24"/>
                <w:szCs w:val="24"/>
              </w:rPr>
            </w:pPr>
            <w:r>
              <w:rPr>
                <w:rFonts w:hint="default" w:ascii="Times New Roman" w:hAnsi="Times New Roman" w:eastAsia="宋体"/>
                <w:b/>
                <w:sz w:val="24"/>
                <w:szCs w:val="24"/>
              </w:rPr>
              <w:t>原料的除铁</w:t>
            </w:r>
            <w:r>
              <w:rPr>
                <w:rFonts w:hint="eastAsia" w:ascii="Times New Roman" w:hAnsi="Times New Roman" w:eastAsia="宋体"/>
                <w:b/>
                <w:sz w:val="24"/>
                <w:szCs w:val="24"/>
              </w:rPr>
              <w:t>：</w:t>
            </w:r>
            <w:r>
              <w:rPr>
                <w:rFonts w:hint="default" w:ascii="Times New Roman" w:hAnsi="Times New Roman" w:eastAsia="宋体"/>
                <w:sz w:val="24"/>
                <w:szCs w:val="24"/>
              </w:rPr>
              <w:t>破碎的</w:t>
            </w:r>
            <w:r>
              <w:rPr>
                <w:rFonts w:hint="eastAsia" w:ascii="Times New Roman" w:hAnsi="Times New Roman" w:eastAsia="宋体"/>
                <w:sz w:val="24"/>
                <w:szCs w:val="24"/>
              </w:rPr>
              <w:t>过程</w:t>
            </w:r>
            <w:r>
              <w:rPr>
                <w:rFonts w:hint="default" w:ascii="Times New Roman" w:hAnsi="Times New Roman" w:eastAsia="宋体"/>
                <w:sz w:val="24"/>
                <w:szCs w:val="24"/>
              </w:rPr>
              <w:t>会带进机械铁，</w:t>
            </w:r>
            <w:r>
              <w:rPr>
                <w:rFonts w:hint="eastAsia" w:ascii="Times New Roman" w:hAnsi="Times New Roman" w:eastAsia="宋体"/>
                <w:sz w:val="24"/>
                <w:szCs w:val="24"/>
              </w:rPr>
              <w:t>因此在每条破粉碎生产线内设置三台KCXY-2×60B型磁选机用于</w:t>
            </w:r>
            <w:r>
              <w:rPr>
                <w:rFonts w:hint="default" w:ascii="Times New Roman" w:hAnsi="Times New Roman" w:eastAsia="宋体"/>
                <w:sz w:val="24"/>
                <w:szCs w:val="24"/>
              </w:rPr>
              <w:t>除掉</w:t>
            </w:r>
            <w:r>
              <w:rPr>
                <w:rFonts w:hint="eastAsia" w:ascii="Times New Roman" w:hAnsi="Times New Roman" w:eastAsia="宋体"/>
                <w:sz w:val="24"/>
                <w:szCs w:val="24"/>
              </w:rPr>
              <w:t>破碎带入</w:t>
            </w:r>
            <w:r>
              <w:rPr>
                <w:rFonts w:hint="default" w:ascii="Times New Roman" w:hAnsi="Times New Roman" w:eastAsia="宋体"/>
                <w:sz w:val="24"/>
                <w:szCs w:val="24"/>
              </w:rPr>
              <w:t>的机械铁。</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sz w:val="24"/>
                <w:szCs w:val="24"/>
              </w:rPr>
            </w:pPr>
            <w:r>
              <w:rPr>
                <w:rFonts w:hint="default" w:ascii="Times New Roman" w:hAnsi="Times New Roman" w:eastAsia="宋体"/>
                <w:b/>
                <w:sz w:val="24"/>
                <w:szCs w:val="24"/>
              </w:rPr>
              <w:t>配料</w:t>
            </w:r>
            <w:r>
              <w:rPr>
                <w:rFonts w:hint="eastAsia" w:ascii="Times New Roman" w:hAnsi="Times New Roman" w:eastAsia="宋体"/>
                <w:b/>
                <w:sz w:val="24"/>
                <w:szCs w:val="24"/>
              </w:rPr>
              <w:t>：</w:t>
            </w:r>
            <w:r>
              <w:rPr>
                <w:rFonts w:hint="default" w:ascii="Times New Roman" w:hAnsi="Times New Roman" w:eastAsia="宋体"/>
                <w:sz w:val="24"/>
                <w:szCs w:val="24"/>
              </w:rPr>
              <w:t>共设置</w:t>
            </w:r>
            <w:r>
              <w:rPr>
                <w:rFonts w:hint="eastAsia" w:ascii="Times New Roman" w:hAnsi="Times New Roman" w:eastAsia="宋体"/>
                <w:sz w:val="24"/>
                <w:szCs w:val="24"/>
                <w:lang w:val="en-US" w:eastAsia="zh-CN"/>
              </w:rPr>
              <w:t>46</w:t>
            </w:r>
            <w:r>
              <w:rPr>
                <w:rFonts w:hint="default" w:ascii="Times New Roman" w:hAnsi="Times New Roman" w:eastAsia="宋体"/>
                <w:sz w:val="24"/>
                <w:szCs w:val="24"/>
              </w:rPr>
              <w:t>个配料仓，双排布置，单仓有效容积为</w:t>
            </w:r>
            <w:r>
              <w:rPr>
                <w:rFonts w:hint="eastAsia" w:ascii="Times New Roman" w:hAnsi="Times New Roman" w:eastAsia="宋体"/>
                <w:sz w:val="24"/>
                <w:szCs w:val="24"/>
              </w:rPr>
              <w:t>9.5</w:t>
            </w:r>
            <w:r>
              <w:rPr>
                <w:rFonts w:hint="default" w:ascii="Times New Roman" w:hAnsi="Times New Roman" w:eastAsia="宋体"/>
                <w:sz w:val="24"/>
                <w:szCs w:val="24"/>
              </w:rPr>
              <w:t>m</w:t>
            </w:r>
            <w:r>
              <w:rPr>
                <w:rFonts w:hint="default" w:ascii="Times New Roman" w:hAnsi="Times New Roman" w:eastAsia="宋体"/>
                <w:sz w:val="24"/>
                <w:szCs w:val="24"/>
                <w:vertAlign w:val="superscript"/>
              </w:rPr>
              <w:t>3</w:t>
            </w:r>
            <w:r>
              <w:rPr>
                <w:rFonts w:hint="default" w:ascii="Times New Roman" w:hAnsi="Times New Roman" w:eastAsia="宋体"/>
                <w:sz w:val="24"/>
                <w:szCs w:val="24"/>
              </w:rPr>
              <w:t>。配料设备选用</w:t>
            </w:r>
            <w:r>
              <w:rPr>
                <w:rFonts w:hint="eastAsia" w:ascii="Times New Roman" w:hAnsi="Times New Roman" w:eastAsia="宋体"/>
                <w:sz w:val="24"/>
                <w:szCs w:val="24"/>
              </w:rPr>
              <w:t>4</w:t>
            </w:r>
            <w:r>
              <w:rPr>
                <w:rFonts w:hint="default" w:ascii="Times New Roman" w:hAnsi="Times New Roman" w:eastAsia="宋体"/>
                <w:sz w:val="24"/>
                <w:szCs w:val="24"/>
              </w:rPr>
              <w:t>台DDWK-1000</w:t>
            </w:r>
            <w:r>
              <w:rPr>
                <w:rFonts w:hint="eastAsia" w:ascii="Times New Roman" w:hAnsi="Times New Roman" w:eastAsia="宋体"/>
                <w:sz w:val="24"/>
                <w:szCs w:val="24"/>
              </w:rPr>
              <w:t>双</w:t>
            </w:r>
            <w:r>
              <w:rPr>
                <w:rFonts w:hint="default" w:ascii="Times New Roman" w:hAnsi="Times New Roman" w:eastAsia="宋体"/>
                <w:sz w:val="24"/>
                <w:szCs w:val="24"/>
              </w:rPr>
              <w:t>斗自动配料车。</w:t>
            </w:r>
            <w:r>
              <w:rPr>
                <w:rFonts w:hint="eastAsia" w:ascii="Times New Roman" w:hAnsi="Times New Roman" w:eastAsia="宋体"/>
                <w:sz w:val="24"/>
                <w:szCs w:val="24"/>
              </w:rPr>
              <w:t>每台配料车可单独完成一个配料。</w:t>
            </w:r>
            <w:r>
              <w:rPr>
                <w:rFonts w:hint="default" w:ascii="Times New Roman" w:hAnsi="Times New Roman" w:eastAsia="宋体"/>
                <w:sz w:val="24"/>
                <w:szCs w:val="24"/>
              </w:rPr>
              <w:t>配好的</w:t>
            </w:r>
            <w:r>
              <w:rPr>
                <w:rFonts w:hint="eastAsia" w:ascii="Times New Roman" w:hAnsi="Times New Roman" w:eastAsia="宋体"/>
                <w:sz w:val="24"/>
                <w:szCs w:val="24"/>
              </w:rPr>
              <w:t>物料经溜管进入混合机内</w:t>
            </w:r>
            <w:r>
              <w:rPr>
                <w:rFonts w:hint="default" w:ascii="Times New Roman" w:hAnsi="Times New Roman" w:eastAsia="宋体"/>
                <w:sz w:val="24"/>
                <w:szCs w:val="24"/>
              </w:rPr>
              <w:t>混合。</w:t>
            </w:r>
          </w:p>
          <w:p>
            <w:pPr>
              <w:keepNext w:val="0"/>
              <w:keepLines w:val="0"/>
              <w:suppressLineNumbers w:val="0"/>
              <w:spacing w:before="0" w:beforeAutospacing="0" w:after="0" w:afterAutospacing="0" w:line="480" w:lineRule="exact"/>
              <w:ind w:left="0" w:right="0" w:firstLine="472" w:firstLineChars="196"/>
              <w:rPr>
                <w:rFonts w:hint="default" w:ascii="Times New Roman" w:hAnsi="Times New Roman" w:eastAsia="宋体"/>
                <w:sz w:val="24"/>
                <w:szCs w:val="24"/>
              </w:rPr>
            </w:pPr>
            <w:r>
              <w:rPr>
                <w:rFonts w:hint="default" w:ascii="Times New Roman" w:hAnsi="Times New Roman" w:eastAsia="宋体"/>
                <w:b/>
                <w:sz w:val="24"/>
                <w:szCs w:val="24"/>
              </w:rPr>
              <w:t>混合</w:t>
            </w:r>
            <w:r>
              <w:rPr>
                <w:rFonts w:hint="eastAsia" w:ascii="Times New Roman" w:hAnsi="Times New Roman" w:eastAsia="宋体"/>
                <w:sz w:val="24"/>
                <w:szCs w:val="24"/>
              </w:rPr>
              <w:t>：</w:t>
            </w:r>
            <w:r>
              <w:rPr>
                <w:rFonts w:hint="default" w:ascii="Times New Roman" w:hAnsi="Times New Roman" w:eastAsia="宋体"/>
                <w:sz w:val="24"/>
                <w:szCs w:val="24"/>
              </w:rPr>
              <w:t>混合设备选用</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台SXG2458型无死角高效强制混合机</w:t>
            </w:r>
            <w:r>
              <w:rPr>
                <w:rFonts w:hint="default" w:ascii="Times New Roman" w:hAnsi="Times New Roman" w:eastAsia="宋体"/>
                <w:sz w:val="24"/>
                <w:szCs w:val="24"/>
              </w:rPr>
              <w:t>。每次混料量</w:t>
            </w:r>
            <w:r>
              <w:rPr>
                <w:rFonts w:hint="eastAsia" w:ascii="Times New Roman" w:hAnsi="Times New Roman" w:eastAsia="宋体"/>
                <w:sz w:val="24"/>
                <w:szCs w:val="24"/>
              </w:rPr>
              <w:t>为1.0</w:t>
            </w:r>
            <w:r>
              <w:rPr>
                <w:rFonts w:hint="default" w:ascii="Times New Roman" w:hAnsi="Times New Roman" w:eastAsia="宋体"/>
                <w:sz w:val="24"/>
                <w:szCs w:val="24"/>
              </w:rPr>
              <w:t>吨。</w:t>
            </w:r>
            <w:r>
              <w:rPr>
                <w:rFonts w:hint="eastAsia" w:ascii="Times New Roman" w:hAnsi="Times New Roman" w:eastAsia="宋体"/>
                <w:sz w:val="24"/>
                <w:szCs w:val="24"/>
              </w:rPr>
              <w:t>该设备混合效率高，物料在机内混合均匀，混合质量好，不成团，颗粒不易再粉碎，电耗低，整机密封，环境污染小，噪音小，具有轻型、高效、节能等特点，混合物料密实，可以</w:t>
            </w:r>
            <w:r>
              <w:rPr>
                <w:rFonts w:hint="default" w:ascii="Times New Roman" w:hAnsi="Times New Roman" w:eastAsia="宋体"/>
                <w:sz w:val="24"/>
                <w:szCs w:val="24"/>
              </w:rPr>
              <w:t>获得良好的混合效果。混合后的泥料</w:t>
            </w:r>
            <w:r>
              <w:rPr>
                <w:rFonts w:hint="eastAsia" w:ascii="Times New Roman" w:hAnsi="Times New Roman" w:eastAsia="宋体"/>
                <w:sz w:val="24"/>
                <w:szCs w:val="24"/>
              </w:rPr>
              <w:t>卸</w:t>
            </w:r>
            <w:r>
              <w:rPr>
                <w:rFonts w:hint="default" w:ascii="Times New Roman" w:hAnsi="Times New Roman" w:eastAsia="宋体"/>
                <w:sz w:val="24"/>
                <w:szCs w:val="24"/>
              </w:rPr>
              <w:t>入泥料罐</w:t>
            </w:r>
            <w:r>
              <w:rPr>
                <w:rFonts w:hint="eastAsia" w:ascii="Times New Roman" w:hAnsi="Times New Roman" w:eastAsia="宋体"/>
                <w:sz w:val="24"/>
                <w:szCs w:val="24"/>
              </w:rPr>
              <w:t>中，</w:t>
            </w:r>
            <w:r>
              <w:rPr>
                <w:rFonts w:hint="default" w:ascii="Times New Roman" w:hAnsi="Times New Roman" w:eastAsia="宋体"/>
                <w:sz w:val="24"/>
                <w:szCs w:val="24"/>
              </w:rPr>
              <w:t>用2吨电动平板车送至成型</w:t>
            </w:r>
            <w:r>
              <w:rPr>
                <w:rFonts w:hint="eastAsia"/>
                <w:sz w:val="24"/>
                <w:szCs w:val="24"/>
                <w:lang w:val="en-US" w:eastAsia="zh-CN"/>
              </w:rPr>
              <w:t>工序</w:t>
            </w:r>
            <w:r>
              <w:rPr>
                <w:rFonts w:hint="default" w:ascii="Times New Roman" w:hAnsi="Times New Roman" w:eastAsia="宋体"/>
                <w:sz w:val="24"/>
                <w:szCs w:val="24"/>
              </w:rPr>
              <w:t>。结合剂</w:t>
            </w:r>
            <w:r>
              <w:rPr>
                <w:rFonts w:hint="eastAsia" w:ascii="Times New Roman" w:hAnsi="Times New Roman" w:eastAsia="宋体"/>
                <w:sz w:val="24"/>
                <w:szCs w:val="24"/>
              </w:rPr>
              <w:t>经配制后用电子液体定量秤直接加入</w:t>
            </w:r>
            <w:r>
              <w:rPr>
                <w:rFonts w:hint="default" w:ascii="Times New Roman" w:hAnsi="Times New Roman" w:eastAsia="宋体"/>
                <w:sz w:val="24"/>
                <w:szCs w:val="24"/>
              </w:rPr>
              <w:t>混合机</w:t>
            </w:r>
            <w:r>
              <w:rPr>
                <w:rFonts w:hint="eastAsia" w:ascii="Times New Roman" w:hAnsi="Times New Roman" w:eastAsia="宋体"/>
                <w:sz w:val="24"/>
                <w:szCs w:val="24"/>
              </w:rPr>
              <w:t>内</w:t>
            </w:r>
            <w:r>
              <w:rPr>
                <w:rFonts w:hint="default" w:ascii="Times New Roman" w:hAnsi="Times New Roman" w:eastAsia="宋体"/>
                <w:sz w:val="24"/>
                <w:szCs w:val="24"/>
              </w:rPr>
              <w:t>。</w:t>
            </w:r>
          </w:p>
          <w:p>
            <w:pPr>
              <w:keepNext w:val="0"/>
              <w:keepLines w:val="0"/>
              <w:suppressLineNumbers w:val="0"/>
              <w:spacing w:before="0" w:beforeAutospacing="0" w:after="0" w:afterAutospacing="0" w:line="480" w:lineRule="exact"/>
              <w:ind w:left="0" w:right="0" w:firstLine="472" w:firstLineChars="196"/>
              <w:rPr>
                <w:rFonts w:hint="eastAsia" w:ascii="Times New Roman" w:hAnsi="Times New Roman" w:eastAsia="宋体"/>
                <w:sz w:val="24"/>
                <w:szCs w:val="24"/>
              </w:rPr>
            </w:pPr>
            <w:r>
              <w:rPr>
                <w:rFonts w:hint="default" w:ascii="Times New Roman" w:hAnsi="Times New Roman" w:eastAsia="宋体"/>
                <w:b/>
                <w:sz w:val="24"/>
                <w:szCs w:val="24"/>
              </w:rPr>
              <w:t>成型</w:t>
            </w:r>
            <w:r>
              <w:rPr>
                <w:rFonts w:hint="eastAsia" w:ascii="Times New Roman" w:hAnsi="Times New Roman" w:eastAsia="宋体"/>
                <w:sz w:val="24"/>
                <w:szCs w:val="24"/>
              </w:rPr>
              <w:t>：</w:t>
            </w:r>
            <w:r>
              <w:rPr>
                <w:rFonts w:hint="default" w:ascii="Times New Roman" w:hAnsi="Times New Roman" w:eastAsia="宋体"/>
                <w:sz w:val="24"/>
                <w:szCs w:val="24"/>
              </w:rPr>
              <w:t>在成型厂房内设</w:t>
            </w:r>
            <w:r>
              <w:rPr>
                <w:rFonts w:hint="eastAsia" w:ascii="Times New Roman" w:hAnsi="Times New Roman" w:eastAsia="宋体"/>
                <w:sz w:val="24"/>
                <w:szCs w:val="24"/>
              </w:rPr>
              <w:t>1台16/3.2吨电动双梁桥式起重机</w:t>
            </w:r>
            <w:r>
              <w:rPr>
                <w:rFonts w:hint="default" w:ascii="Times New Roman" w:hAnsi="Times New Roman" w:eastAsia="宋体"/>
                <w:sz w:val="24"/>
                <w:szCs w:val="24"/>
              </w:rPr>
              <w:t>负责</w:t>
            </w:r>
            <w:r>
              <w:rPr>
                <w:rFonts w:hint="eastAsia" w:ascii="Times New Roman" w:hAnsi="Times New Roman" w:eastAsia="宋体"/>
                <w:sz w:val="24"/>
                <w:szCs w:val="24"/>
              </w:rPr>
              <w:t>设</w:t>
            </w:r>
            <w:r>
              <w:rPr>
                <w:rFonts w:hint="default" w:ascii="Times New Roman" w:hAnsi="Times New Roman" w:eastAsia="宋体"/>
                <w:sz w:val="24"/>
                <w:szCs w:val="24"/>
              </w:rPr>
              <w:t>备检修和废砖废料调运。成型</w:t>
            </w:r>
            <w:r>
              <w:rPr>
                <w:rFonts w:hint="eastAsia" w:ascii="Times New Roman" w:hAnsi="Times New Roman" w:eastAsia="宋体"/>
                <w:sz w:val="24"/>
                <w:szCs w:val="24"/>
              </w:rPr>
              <w:t>设备</w:t>
            </w:r>
            <w:r>
              <w:rPr>
                <w:rFonts w:hint="default" w:ascii="Times New Roman" w:hAnsi="Times New Roman" w:eastAsia="宋体"/>
                <w:sz w:val="24"/>
                <w:szCs w:val="24"/>
              </w:rPr>
              <w:t>选用</w:t>
            </w:r>
            <w:r>
              <w:rPr>
                <w:rFonts w:hint="eastAsia"/>
                <w:sz w:val="24"/>
                <w:szCs w:val="24"/>
                <w:lang w:val="en-US" w:eastAsia="zh-CN"/>
              </w:rPr>
              <w:t>3</w:t>
            </w:r>
            <w:r>
              <w:rPr>
                <w:rFonts w:hint="eastAsia" w:ascii="Times New Roman" w:hAnsi="Times New Roman" w:eastAsia="宋体"/>
                <w:sz w:val="24"/>
                <w:szCs w:val="24"/>
              </w:rPr>
              <w:t>台HPFⅢ2500型双面加压自动压砖机和1台HC2500双面加压自动压机</w:t>
            </w:r>
            <w:r>
              <w:rPr>
                <w:rFonts w:hint="default" w:ascii="Times New Roman" w:hAnsi="Times New Roman" w:eastAsia="宋体"/>
                <w:sz w:val="24"/>
                <w:szCs w:val="24"/>
              </w:rPr>
              <w:t>。</w:t>
            </w:r>
            <w:r>
              <w:rPr>
                <w:rFonts w:hint="eastAsia" w:ascii="Times New Roman" w:hAnsi="Times New Roman" w:eastAsia="宋体"/>
                <w:sz w:val="24"/>
                <w:szCs w:val="24"/>
              </w:rPr>
              <w:t>成型后的砖坯用机械手直接码放在窑车上，然后用电拖车倒运入干燥窑内干燥。</w:t>
            </w:r>
          </w:p>
          <w:p>
            <w:pPr>
              <w:keepNext w:val="0"/>
              <w:keepLines w:val="0"/>
              <w:suppressLineNumbers w:val="0"/>
              <w:spacing w:before="0" w:beforeAutospacing="0" w:after="0" w:afterAutospacing="0" w:line="480" w:lineRule="exact"/>
              <w:ind w:left="0" w:right="0" w:firstLine="472" w:firstLineChars="196"/>
              <w:rPr>
                <w:rFonts w:hint="eastAsia" w:ascii="Times New Roman" w:hAnsi="Times New Roman" w:eastAsia="宋体"/>
                <w:sz w:val="24"/>
                <w:szCs w:val="24"/>
              </w:rPr>
            </w:pPr>
            <w:r>
              <w:rPr>
                <w:rFonts w:hint="eastAsia" w:ascii="Times New Roman" w:hAnsi="Times New Roman" w:eastAsia="宋体"/>
                <w:b/>
                <w:sz w:val="24"/>
                <w:szCs w:val="24"/>
              </w:rPr>
              <w:t>干燥：</w:t>
            </w:r>
            <w:r>
              <w:rPr>
                <w:rFonts w:hint="eastAsia" w:ascii="Times New Roman" w:hAnsi="Times New Roman" w:eastAsia="宋体"/>
                <w:sz w:val="24"/>
                <w:szCs w:val="24"/>
              </w:rPr>
              <w:t>共设计2条</w:t>
            </w:r>
            <w:r>
              <w:rPr>
                <w:rFonts w:hint="eastAsia"/>
                <w:sz w:val="24"/>
                <w:szCs w:val="24"/>
                <w:lang w:val="en-US" w:eastAsia="zh-CN"/>
              </w:rPr>
              <w:t>63</w:t>
            </w:r>
            <w:r>
              <w:rPr>
                <w:rFonts w:hint="eastAsia" w:ascii="Times New Roman" w:hAnsi="Times New Roman" w:eastAsia="宋体"/>
                <w:sz w:val="24"/>
                <w:szCs w:val="24"/>
              </w:rPr>
              <w:t>m长隧道式干燥窑，采用烧成窑余热作为热源。可使干燥后的砖坯水分控制在1.5%左右，以保证烧成的成品率。</w:t>
            </w:r>
          </w:p>
          <w:p>
            <w:pPr>
              <w:keepNext w:val="0"/>
              <w:keepLines w:val="0"/>
              <w:suppressLineNumbers w:val="0"/>
              <w:spacing w:before="0" w:beforeAutospacing="0" w:after="0" w:afterAutospacing="0" w:line="480" w:lineRule="exact"/>
              <w:ind w:left="0" w:right="0" w:firstLine="472" w:firstLineChars="196"/>
              <w:rPr>
                <w:rFonts w:hint="eastAsia" w:ascii="Times New Roman" w:hAnsi="Times New Roman" w:eastAsia="宋体"/>
                <w:sz w:val="24"/>
                <w:szCs w:val="24"/>
              </w:rPr>
            </w:pPr>
            <w:r>
              <w:rPr>
                <w:rFonts w:hint="eastAsia" w:ascii="Times New Roman" w:hAnsi="Times New Roman" w:eastAsia="宋体"/>
                <w:b/>
                <w:sz w:val="24"/>
                <w:szCs w:val="24"/>
              </w:rPr>
              <w:t>烧成：</w:t>
            </w:r>
            <w:r>
              <w:rPr>
                <w:rFonts w:hint="eastAsia" w:ascii="Times New Roman" w:hAnsi="Times New Roman" w:eastAsia="宋体"/>
                <w:sz w:val="24"/>
                <w:szCs w:val="24"/>
              </w:rPr>
              <w:t>根据产量要求，设计2座</w:t>
            </w:r>
            <w:r>
              <w:rPr>
                <w:rFonts w:hint="eastAsia"/>
                <w:sz w:val="24"/>
                <w:szCs w:val="24"/>
                <w:lang w:val="en-US" w:eastAsia="zh-CN"/>
              </w:rPr>
              <w:t>128.1</w:t>
            </w:r>
            <w:r>
              <w:rPr>
                <w:rFonts w:hint="eastAsia" w:ascii="Times New Roman" w:hAnsi="Times New Roman" w:eastAsia="宋体"/>
                <w:sz w:val="24"/>
                <w:szCs w:val="24"/>
              </w:rPr>
              <w:t>m长隧道式烧成窑，用于制品的烧成。窑设计烧成温度为1800℃，正常使用温度为1740℃，使用的燃料为天然气。</w:t>
            </w:r>
          </w:p>
          <w:p>
            <w:pPr>
              <w:spacing w:line="360" w:lineRule="auto"/>
              <w:ind w:firstLine="482" w:firstLineChars="200"/>
              <w:rPr>
                <w:rFonts w:ascii="Times New Roman" w:hAnsi="Times New Roman" w:eastAsia="宋体"/>
                <w:sz w:val="24"/>
                <w:szCs w:val="22"/>
                <w:highlight w:val="none"/>
              </w:rPr>
            </w:pPr>
            <w:r>
              <w:rPr>
                <w:rFonts w:hint="eastAsia" w:ascii="Times New Roman" w:hAnsi="Times New Roman" w:eastAsia="宋体"/>
                <w:b/>
                <w:bCs/>
                <w:sz w:val="24"/>
                <w:szCs w:val="24"/>
              </w:rPr>
              <w:t>包装入库</w:t>
            </w:r>
            <w:r>
              <w:rPr>
                <w:rFonts w:hint="eastAsia" w:ascii="Times New Roman" w:hAnsi="Times New Roman" w:eastAsia="宋体"/>
                <w:bCs/>
                <w:sz w:val="24"/>
                <w:szCs w:val="24"/>
              </w:rPr>
              <w:t>：烧成后的成品砖在卸车道卸下，包装后用叉车送入成品库。</w:t>
            </w:r>
          </w:p>
          <w:p>
            <w:pPr>
              <w:spacing w:line="360" w:lineRule="auto"/>
              <w:ind w:firstLine="480" w:firstLineChars="200"/>
              <w:rPr>
                <w:rFonts w:ascii="Times New Roman" w:hAnsi="Times New Roman" w:eastAsia="宋体"/>
                <w:sz w:val="24"/>
                <w:highlight w:val="none"/>
              </w:rPr>
            </w:pPr>
            <w:r>
              <w:rPr>
                <w:rFonts w:ascii="Times New Roman" w:hAnsi="Times New Roman" w:eastAsia="宋体"/>
                <w:sz w:val="24"/>
                <w:highlight w:val="none"/>
              </w:rPr>
              <w:t>（2）现有污染情况分析</w:t>
            </w:r>
          </w:p>
          <w:p>
            <w:pPr>
              <w:spacing w:line="360" w:lineRule="auto"/>
              <w:ind w:firstLine="480" w:firstLineChars="200"/>
              <w:rPr>
                <w:rFonts w:ascii="Times New Roman" w:hAnsi="Times New Roman" w:eastAsia="宋体"/>
                <w:sz w:val="24"/>
                <w:szCs w:val="22"/>
                <w:highlight w:val="none"/>
              </w:rPr>
            </w:pPr>
            <w:r>
              <w:rPr>
                <w:rFonts w:ascii="Times New Roman" w:hAnsi="Times New Roman" w:eastAsia="宋体"/>
                <w:sz w:val="24"/>
                <w:szCs w:val="22"/>
                <w:highlight w:val="none"/>
              </w:rPr>
              <w:t>①废气</w:t>
            </w:r>
          </w:p>
          <w:p>
            <w:pPr>
              <w:spacing w:line="460" w:lineRule="exact"/>
              <w:ind w:firstLine="480" w:firstLineChars="200"/>
              <w:rPr>
                <w:rFonts w:hint="eastAsia" w:ascii="Times New Roman" w:hAnsi="Times New Roman" w:eastAsia="宋体"/>
                <w:sz w:val="24"/>
                <w:szCs w:val="24"/>
              </w:rPr>
            </w:pPr>
            <w:r>
              <w:rPr>
                <w:rFonts w:hint="eastAsia"/>
                <w:sz w:val="24"/>
                <w:szCs w:val="24"/>
                <w:lang w:val="en-US" w:eastAsia="zh-CN"/>
              </w:rPr>
              <w:t>现有</w:t>
            </w:r>
            <w:r>
              <w:rPr>
                <w:rFonts w:hint="eastAsia" w:ascii="Times New Roman" w:hAnsi="Times New Roman" w:eastAsia="宋体"/>
                <w:sz w:val="24"/>
                <w:szCs w:val="24"/>
              </w:rPr>
              <w:t>项目生产过程中产生的废气污染源主要为碱性砖生产线生产过程中排放的废气；原料堆场产生的呈无组织排放废气；食堂油烟废气及原料运输扬尘。</w:t>
            </w:r>
          </w:p>
          <w:p>
            <w:pPr>
              <w:keepNext/>
              <w:keepLines/>
              <w:adjustRightInd w:val="0"/>
              <w:snapToGrid w:val="0"/>
              <w:spacing w:line="460" w:lineRule="exact"/>
              <w:jc w:val="left"/>
              <w:outlineLvl w:val="2"/>
              <w:rPr>
                <w:rFonts w:hint="eastAsia" w:ascii="Times New Roman" w:hAnsi="Times New Roman" w:eastAsia="宋体"/>
                <w:snapToGrid w:val="0"/>
                <w:kern w:val="20"/>
                <w:sz w:val="24"/>
                <w:szCs w:val="32"/>
              </w:rPr>
            </w:pPr>
            <w:r>
              <w:rPr>
                <w:rFonts w:hint="eastAsia" w:ascii="Times New Roman" w:hAnsi="Times New Roman" w:eastAsia="宋体"/>
                <w:snapToGrid w:val="0"/>
                <w:kern w:val="20"/>
                <w:sz w:val="24"/>
                <w:szCs w:val="32"/>
              </w:rPr>
              <w:t>1</w:t>
            </w:r>
            <w:r>
              <w:rPr>
                <w:rFonts w:hint="eastAsia" w:ascii="Times New Roman" w:hAnsi="Times New Roman" w:eastAsia="宋体"/>
                <w:snapToGrid w:val="0"/>
                <w:kern w:val="20"/>
                <w:sz w:val="24"/>
                <w:szCs w:val="32"/>
                <w:lang w:eastAsia="zh-CN"/>
              </w:rPr>
              <w:t>、</w:t>
            </w:r>
            <w:r>
              <w:rPr>
                <w:rFonts w:hint="eastAsia" w:ascii="Times New Roman" w:hAnsi="Times New Roman" w:eastAsia="宋体"/>
                <w:snapToGrid w:val="0"/>
                <w:kern w:val="20"/>
                <w:sz w:val="24"/>
                <w:szCs w:val="32"/>
              </w:rPr>
              <w:t>天然气燃烧污染物概况</w:t>
            </w:r>
          </w:p>
          <w:p>
            <w:pPr>
              <w:spacing w:line="46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热工炉窑的燃料为天然气，天然气燃烧的主要尾气的污染物为SO</w:t>
            </w:r>
            <w:r>
              <w:rPr>
                <w:rFonts w:hint="eastAsia" w:ascii="Times New Roman" w:hAnsi="Times New Roman" w:eastAsia="宋体"/>
                <w:bCs/>
                <w:sz w:val="24"/>
                <w:szCs w:val="24"/>
                <w:vertAlign w:val="subscript"/>
              </w:rPr>
              <w:t>2</w:t>
            </w:r>
            <w:r>
              <w:rPr>
                <w:rFonts w:hint="eastAsia" w:ascii="Times New Roman" w:hAnsi="Times New Roman" w:eastAsia="宋体"/>
                <w:bCs/>
                <w:sz w:val="24"/>
                <w:szCs w:val="24"/>
              </w:rPr>
              <w:t>、</w:t>
            </w:r>
            <w:r>
              <w:rPr>
                <w:rFonts w:ascii="Times New Roman" w:hAnsi="Times New Roman" w:eastAsia="宋体"/>
                <w:bCs/>
                <w:sz w:val="24"/>
                <w:szCs w:val="24"/>
              </w:rPr>
              <w:t>NOx</w:t>
            </w:r>
            <w:r>
              <w:rPr>
                <w:rFonts w:hint="eastAsia" w:ascii="Times New Roman" w:hAnsi="Times New Roman" w:eastAsia="宋体"/>
                <w:bCs/>
                <w:sz w:val="24"/>
                <w:szCs w:val="24"/>
              </w:rPr>
              <w:t>。</w:t>
            </w:r>
          </w:p>
          <w:p>
            <w:pPr>
              <w:spacing w:line="460" w:lineRule="exact"/>
              <w:ind w:firstLine="480" w:firstLineChars="200"/>
              <w:rPr>
                <w:rFonts w:ascii="Times New Roman" w:hAnsi="Times New Roman" w:eastAsia="宋体"/>
                <w:bCs/>
                <w:sz w:val="24"/>
                <w:szCs w:val="24"/>
              </w:rPr>
            </w:pPr>
            <w:r>
              <w:rPr>
                <w:rFonts w:ascii="Times New Roman" w:hAnsi="Times New Roman" w:eastAsia="宋体"/>
                <w:bCs/>
                <w:sz w:val="24"/>
                <w:szCs w:val="24"/>
              </w:rPr>
              <w:t>SO</w:t>
            </w:r>
            <w:r>
              <w:rPr>
                <w:rFonts w:ascii="Times New Roman" w:hAnsi="Times New Roman" w:eastAsia="宋体"/>
                <w:bCs/>
                <w:sz w:val="24"/>
                <w:szCs w:val="24"/>
                <w:vertAlign w:val="subscript"/>
              </w:rPr>
              <w:t>2</w:t>
            </w:r>
            <w:r>
              <w:rPr>
                <w:rFonts w:ascii="Times New Roman" w:hAnsi="Times New Roman" w:eastAsia="宋体"/>
                <w:bCs/>
                <w:sz w:val="24"/>
                <w:szCs w:val="24"/>
              </w:rPr>
              <w:t>采用公式估算得到，NOx采用类比得到。</w:t>
            </w:r>
          </w:p>
          <w:p>
            <w:pPr>
              <w:spacing w:line="460" w:lineRule="exact"/>
              <w:ind w:firstLine="480" w:firstLineChars="200"/>
              <w:rPr>
                <w:rFonts w:ascii="Times New Roman" w:hAnsi="Times New Roman" w:eastAsia="宋体"/>
                <w:bCs/>
                <w:sz w:val="24"/>
                <w:szCs w:val="24"/>
              </w:rPr>
            </w:pPr>
            <w:r>
              <w:rPr>
                <w:rFonts w:ascii="Times New Roman" w:hAnsi="Times New Roman" w:eastAsia="宋体"/>
                <w:bCs/>
                <w:sz w:val="24"/>
                <w:szCs w:val="24"/>
              </w:rPr>
              <w:t>SO</w:t>
            </w:r>
            <w:r>
              <w:rPr>
                <w:rFonts w:ascii="Times New Roman" w:hAnsi="Times New Roman" w:eastAsia="宋体"/>
                <w:bCs/>
                <w:sz w:val="24"/>
                <w:szCs w:val="24"/>
                <w:vertAlign w:val="subscript"/>
              </w:rPr>
              <w:t>2</w:t>
            </w:r>
            <w:r>
              <w:rPr>
                <w:rFonts w:ascii="Times New Roman" w:hAnsi="Times New Roman" w:eastAsia="宋体"/>
                <w:bCs/>
                <w:sz w:val="24"/>
                <w:szCs w:val="24"/>
              </w:rPr>
              <w:t>排放量计算公式如下：</w:t>
            </w:r>
          </w:p>
          <w:p>
            <w:pPr>
              <w:spacing w:line="460" w:lineRule="exact"/>
              <w:ind w:firstLine="480" w:firstLineChars="200"/>
              <w:rPr>
                <w:rFonts w:ascii="Times New Roman" w:hAnsi="Times New Roman" w:eastAsia="宋体"/>
                <w:bCs/>
                <w:sz w:val="24"/>
                <w:szCs w:val="24"/>
              </w:rPr>
            </w:pPr>
            <w:r>
              <w:rPr>
                <w:rFonts w:ascii="Times New Roman" w:hAnsi="Times New Roman" w:eastAsia="宋体"/>
                <w:bCs/>
                <w:sz w:val="24"/>
                <w:szCs w:val="24"/>
              </w:rPr>
              <w:t>G</w:t>
            </w:r>
            <w:r>
              <w:rPr>
                <w:rFonts w:ascii="Times New Roman" w:hAnsi="Times New Roman" w:eastAsia="宋体"/>
                <w:bCs/>
                <w:sz w:val="24"/>
                <w:szCs w:val="24"/>
                <w:vertAlign w:val="subscript"/>
              </w:rPr>
              <w:t>SO2</w:t>
            </w:r>
            <w:r>
              <w:rPr>
                <w:rFonts w:ascii="Times New Roman" w:hAnsi="Times New Roman" w:eastAsia="宋体"/>
                <w:bCs/>
                <w:sz w:val="24"/>
                <w:szCs w:val="24"/>
              </w:rPr>
              <w:t>=2.857×V×C</w:t>
            </w:r>
            <w:r>
              <w:rPr>
                <w:rFonts w:ascii="Times New Roman" w:hAnsi="Times New Roman" w:eastAsia="宋体"/>
                <w:bCs/>
                <w:sz w:val="24"/>
                <w:szCs w:val="24"/>
                <w:vertAlign w:val="subscript"/>
              </w:rPr>
              <w:t>H2S</w:t>
            </w:r>
          </w:p>
          <w:p>
            <w:pPr>
              <w:spacing w:line="460" w:lineRule="exact"/>
              <w:ind w:firstLine="480" w:firstLineChars="200"/>
              <w:rPr>
                <w:rFonts w:ascii="Times New Roman" w:hAnsi="Times New Roman" w:eastAsia="宋体"/>
                <w:bCs/>
                <w:sz w:val="24"/>
                <w:szCs w:val="24"/>
              </w:rPr>
            </w:pPr>
            <w:r>
              <w:rPr>
                <w:rFonts w:ascii="Times New Roman" w:hAnsi="Times New Roman" w:eastAsia="宋体"/>
                <w:bCs/>
                <w:sz w:val="24"/>
                <w:szCs w:val="24"/>
              </w:rPr>
              <w:t>G</w:t>
            </w:r>
            <w:r>
              <w:rPr>
                <w:rFonts w:ascii="Times New Roman" w:hAnsi="Times New Roman" w:eastAsia="宋体"/>
                <w:bCs/>
                <w:sz w:val="24"/>
                <w:szCs w:val="24"/>
                <w:vertAlign w:val="subscript"/>
              </w:rPr>
              <w:t>SO2</w:t>
            </w:r>
            <w:r>
              <w:rPr>
                <w:rFonts w:ascii="Times New Roman" w:hAnsi="Times New Roman" w:eastAsia="宋体"/>
                <w:bCs/>
                <w:sz w:val="24"/>
                <w:szCs w:val="24"/>
              </w:rPr>
              <w:t>——SO</w:t>
            </w:r>
            <w:r>
              <w:rPr>
                <w:rFonts w:ascii="Times New Roman" w:hAnsi="Times New Roman" w:eastAsia="宋体"/>
                <w:bCs/>
                <w:sz w:val="24"/>
                <w:szCs w:val="24"/>
                <w:vertAlign w:val="subscript"/>
              </w:rPr>
              <w:t>2</w:t>
            </w:r>
            <w:r>
              <w:rPr>
                <w:rFonts w:ascii="Times New Roman" w:hAnsi="Times New Roman" w:eastAsia="宋体"/>
                <w:bCs/>
                <w:sz w:val="24"/>
                <w:szCs w:val="24"/>
              </w:rPr>
              <w:t>排放量，kg；</w:t>
            </w:r>
          </w:p>
          <w:p>
            <w:pPr>
              <w:spacing w:line="460" w:lineRule="exact"/>
              <w:ind w:firstLine="480" w:firstLineChars="200"/>
              <w:rPr>
                <w:rFonts w:ascii="Times New Roman" w:hAnsi="Times New Roman" w:eastAsia="宋体"/>
                <w:bCs/>
                <w:sz w:val="24"/>
                <w:szCs w:val="24"/>
              </w:rPr>
            </w:pPr>
            <w:r>
              <w:rPr>
                <w:rFonts w:ascii="Times New Roman" w:hAnsi="Times New Roman" w:eastAsia="宋体"/>
                <w:bCs/>
                <w:sz w:val="24"/>
                <w:szCs w:val="24"/>
              </w:rPr>
              <w:t>V——燃气耗量，m</w:t>
            </w:r>
            <w:r>
              <w:rPr>
                <w:rFonts w:ascii="Times New Roman" w:hAnsi="Times New Roman" w:eastAsia="宋体"/>
                <w:bCs/>
                <w:sz w:val="24"/>
                <w:szCs w:val="24"/>
                <w:vertAlign w:val="superscript"/>
              </w:rPr>
              <w:t>3</w:t>
            </w:r>
            <w:r>
              <w:rPr>
                <w:rFonts w:ascii="Times New Roman" w:hAnsi="Times New Roman" w:eastAsia="宋体"/>
                <w:bCs/>
                <w:sz w:val="24"/>
                <w:szCs w:val="24"/>
              </w:rPr>
              <w:t>；</w:t>
            </w:r>
          </w:p>
          <w:p>
            <w:pPr>
              <w:spacing w:line="460" w:lineRule="exact"/>
              <w:ind w:firstLine="480" w:firstLineChars="200"/>
              <w:rPr>
                <w:rFonts w:hint="eastAsia" w:ascii="Times New Roman" w:hAnsi="Times New Roman" w:eastAsia="宋体"/>
                <w:bCs/>
                <w:sz w:val="24"/>
                <w:szCs w:val="24"/>
              </w:rPr>
            </w:pPr>
            <w:r>
              <w:rPr>
                <w:rFonts w:ascii="Times New Roman" w:hAnsi="Times New Roman" w:eastAsia="宋体"/>
                <w:bCs/>
                <w:sz w:val="24"/>
                <w:szCs w:val="24"/>
              </w:rPr>
              <w:t>C</w:t>
            </w:r>
            <w:r>
              <w:rPr>
                <w:rFonts w:ascii="Times New Roman" w:hAnsi="Times New Roman" w:eastAsia="宋体"/>
                <w:bCs/>
                <w:sz w:val="24"/>
                <w:szCs w:val="24"/>
                <w:vertAlign w:val="subscript"/>
              </w:rPr>
              <w:t>H2S</w:t>
            </w:r>
            <w:r>
              <w:rPr>
                <w:rFonts w:ascii="Times New Roman" w:hAnsi="Times New Roman" w:eastAsia="宋体"/>
                <w:bCs/>
                <w:sz w:val="24"/>
                <w:szCs w:val="24"/>
              </w:rPr>
              <w:t>——燃气中H</w:t>
            </w:r>
            <w:r>
              <w:rPr>
                <w:rFonts w:ascii="Times New Roman" w:hAnsi="Times New Roman" w:eastAsia="宋体"/>
                <w:bCs/>
                <w:sz w:val="24"/>
                <w:szCs w:val="24"/>
                <w:vertAlign w:val="subscript"/>
              </w:rPr>
              <w:t>2</w:t>
            </w:r>
            <w:r>
              <w:rPr>
                <w:rFonts w:ascii="Times New Roman" w:hAnsi="Times New Roman" w:eastAsia="宋体"/>
                <w:bCs/>
                <w:sz w:val="24"/>
                <w:szCs w:val="24"/>
              </w:rPr>
              <w:t>S体积含量，%。</w:t>
            </w:r>
            <w:r>
              <w:rPr>
                <w:rFonts w:hint="eastAsia" w:ascii="Times New Roman" w:hAnsi="Times New Roman" w:eastAsia="宋体"/>
                <w:bCs/>
                <w:sz w:val="24"/>
                <w:szCs w:val="24"/>
              </w:rPr>
              <w:t>天然气成分分析结果（参见表1-10）。</w:t>
            </w:r>
          </w:p>
          <w:p>
            <w:pPr>
              <w:spacing w:line="400" w:lineRule="exact"/>
              <w:jc w:val="center"/>
              <w:rPr>
                <w:rFonts w:ascii="Times New Roman" w:hAnsi="Times New Roman" w:eastAsia="宋体"/>
                <w:b/>
                <w:bCs/>
                <w:sz w:val="24"/>
                <w:szCs w:val="22"/>
              </w:rPr>
            </w:pPr>
            <w:r>
              <w:rPr>
                <w:rFonts w:ascii="Times New Roman" w:hAnsi="Times New Roman" w:eastAsia="宋体"/>
                <w:b/>
                <w:bCs/>
                <w:sz w:val="24"/>
                <w:szCs w:val="22"/>
              </w:rPr>
              <w:t>表</w:t>
            </w:r>
            <w:r>
              <w:rPr>
                <w:rFonts w:hint="eastAsia" w:ascii="Times New Roman" w:hAnsi="Times New Roman" w:eastAsia="宋体"/>
                <w:b/>
                <w:bCs/>
                <w:sz w:val="24"/>
                <w:szCs w:val="22"/>
              </w:rPr>
              <w:t>1-</w:t>
            </w:r>
            <w:r>
              <w:rPr>
                <w:rFonts w:hint="eastAsia" w:ascii="Times New Roman" w:hAnsi="Times New Roman" w:eastAsia="宋体"/>
                <w:b/>
                <w:bCs/>
                <w:sz w:val="24"/>
                <w:szCs w:val="22"/>
                <w:lang w:val="en-US" w:eastAsia="zh-CN"/>
              </w:rPr>
              <w:t>6</w:t>
            </w:r>
            <w:r>
              <w:rPr>
                <w:rFonts w:hint="eastAsia" w:ascii="Times New Roman" w:hAnsi="Times New Roman" w:eastAsia="宋体"/>
                <w:b/>
                <w:bCs/>
                <w:sz w:val="24"/>
                <w:szCs w:val="22"/>
              </w:rPr>
              <w:t xml:space="preserve">  </w:t>
            </w:r>
            <w:r>
              <w:rPr>
                <w:rFonts w:ascii="Times New Roman" w:hAnsi="Times New Roman" w:eastAsia="宋体"/>
                <w:b/>
                <w:bCs/>
                <w:sz w:val="24"/>
                <w:szCs w:val="22"/>
              </w:rPr>
              <w:t>天然气成分</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863"/>
              <w:gridCol w:w="692"/>
              <w:gridCol w:w="795"/>
              <w:gridCol w:w="861"/>
              <w:gridCol w:w="762"/>
              <w:gridCol w:w="833"/>
              <w:gridCol w:w="833"/>
              <w:gridCol w:w="833"/>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660"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成分</w:t>
                  </w:r>
                </w:p>
              </w:tc>
              <w:tc>
                <w:tcPr>
                  <w:tcW w:w="520"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CH</w:t>
                  </w:r>
                  <w:r>
                    <w:rPr>
                      <w:rFonts w:ascii="Times New Roman" w:hAnsi="Times New Roman" w:eastAsia="宋体"/>
                      <w:szCs w:val="21"/>
                      <w:vertAlign w:val="subscript"/>
                    </w:rPr>
                    <w:t>4</w:t>
                  </w:r>
                </w:p>
              </w:tc>
              <w:tc>
                <w:tcPr>
                  <w:tcW w:w="417"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C</w:t>
                  </w:r>
                  <w:r>
                    <w:rPr>
                      <w:rFonts w:ascii="Times New Roman" w:hAnsi="Times New Roman" w:eastAsia="宋体"/>
                      <w:szCs w:val="21"/>
                      <w:vertAlign w:val="subscript"/>
                    </w:rPr>
                    <w:t>2</w:t>
                  </w:r>
                  <w:r>
                    <w:rPr>
                      <w:rFonts w:ascii="Times New Roman" w:hAnsi="Times New Roman" w:eastAsia="宋体"/>
                      <w:szCs w:val="21"/>
                    </w:rPr>
                    <w:t>H</w:t>
                  </w:r>
                  <w:r>
                    <w:rPr>
                      <w:rFonts w:ascii="Times New Roman" w:hAnsi="Times New Roman" w:eastAsia="宋体"/>
                      <w:szCs w:val="21"/>
                      <w:vertAlign w:val="subscript"/>
                    </w:rPr>
                    <w:t>6</w:t>
                  </w:r>
                </w:p>
              </w:tc>
              <w:tc>
                <w:tcPr>
                  <w:tcW w:w="479"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C</w:t>
                  </w:r>
                  <w:r>
                    <w:rPr>
                      <w:rFonts w:ascii="Times New Roman" w:hAnsi="Times New Roman" w:eastAsia="宋体"/>
                      <w:szCs w:val="21"/>
                      <w:vertAlign w:val="subscript"/>
                    </w:rPr>
                    <w:t>3</w:t>
                  </w:r>
                  <w:r>
                    <w:rPr>
                      <w:rFonts w:ascii="Times New Roman" w:hAnsi="Times New Roman" w:eastAsia="宋体"/>
                      <w:szCs w:val="21"/>
                    </w:rPr>
                    <w:t>H</w:t>
                  </w:r>
                  <w:r>
                    <w:rPr>
                      <w:rFonts w:ascii="Times New Roman" w:hAnsi="Times New Roman" w:eastAsia="宋体"/>
                      <w:szCs w:val="21"/>
                      <w:vertAlign w:val="subscript"/>
                    </w:rPr>
                    <w:t>8</w:t>
                  </w:r>
                </w:p>
              </w:tc>
              <w:tc>
                <w:tcPr>
                  <w:tcW w:w="519"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C</w:t>
                  </w:r>
                  <w:r>
                    <w:rPr>
                      <w:rFonts w:ascii="Times New Roman" w:hAnsi="Times New Roman" w:eastAsia="宋体"/>
                      <w:szCs w:val="21"/>
                      <w:vertAlign w:val="subscript"/>
                    </w:rPr>
                    <w:t>4</w:t>
                  </w:r>
                  <w:r>
                    <w:rPr>
                      <w:rFonts w:ascii="Times New Roman" w:hAnsi="Times New Roman" w:eastAsia="宋体"/>
                      <w:szCs w:val="21"/>
                    </w:rPr>
                    <w:t>H</w:t>
                  </w:r>
                  <w:r>
                    <w:rPr>
                      <w:rFonts w:ascii="Times New Roman" w:hAnsi="Times New Roman" w:eastAsia="宋体"/>
                      <w:szCs w:val="21"/>
                      <w:vertAlign w:val="subscript"/>
                    </w:rPr>
                    <w:t>10</w:t>
                  </w:r>
                </w:p>
              </w:tc>
              <w:tc>
                <w:tcPr>
                  <w:tcW w:w="459"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C</w:t>
                  </w:r>
                  <w:r>
                    <w:rPr>
                      <w:rFonts w:ascii="Times New Roman" w:hAnsi="Times New Roman" w:eastAsia="宋体"/>
                      <w:szCs w:val="21"/>
                      <w:vertAlign w:val="subscript"/>
                    </w:rPr>
                    <w:t>5</w:t>
                  </w:r>
                  <w:r>
                    <w:rPr>
                      <w:rFonts w:ascii="Times New Roman" w:hAnsi="Times New Roman" w:eastAsia="宋体"/>
                      <w:szCs w:val="21"/>
                    </w:rPr>
                    <w:t>H</w:t>
                  </w:r>
                  <w:r>
                    <w:rPr>
                      <w:rFonts w:ascii="Times New Roman" w:hAnsi="Times New Roman" w:eastAsia="宋体"/>
                      <w:szCs w:val="21"/>
                      <w:vertAlign w:val="subscript"/>
                    </w:rPr>
                    <w:t>12</w:t>
                  </w:r>
                </w:p>
              </w:tc>
              <w:tc>
                <w:tcPr>
                  <w:tcW w:w="502"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C</w:t>
                  </w:r>
                  <w:r>
                    <w:rPr>
                      <w:rFonts w:ascii="Times New Roman" w:hAnsi="Times New Roman" w:eastAsia="宋体"/>
                      <w:szCs w:val="21"/>
                      <w:vertAlign w:val="subscript"/>
                    </w:rPr>
                    <w:t>6</w:t>
                  </w:r>
                  <w:r>
                    <w:rPr>
                      <w:rFonts w:ascii="Times New Roman" w:hAnsi="Times New Roman" w:eastAsia="宋体"/>
                      <w:szCs w:val="21"/>
                      <w:vertAlign w:val="superscript"/>
                    </w:rPr>
                    <w:t>+</w:t>
                  </w:r>
                </w:p>
              </w:tc>
              <w:tc>
                <w:tcPr>
                  <w:tcW w:w="502"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CO</w:t>
                  </w:r>
                  <w:r>
                    <w:rPr>
                      <w:rFonts w:ascii="Times New Roman" w:hAnsi="Times New Roman" w:eastAsia="宋体"/>
                      <w:szCs w:val="21"/>
                      <w:vertAlign w:val="subscript"/>
                    </w:rPr>
                    <w:t>2</w:t>
                  </w:r>
                </w:p>
              </w:tc>
              <w:tc>
                <w:tcPr>
                  <w:tcW w:w="502"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N</w:t>
                  </w:r>
                  <w:r>
                    <w:rPr>
                      <w:rFonts w:ascii="Times New Roman" w:hAnsi="Times New Roman" w:eastAsia="宋体"/>
                      <w:szCs w:val="21"/>
                      <w:vertAlign w:val="subscript"/>
                    </w:rPr>
                    <w:t>2</w:t>
                  </w:r>
                </w:p>
              </w:tc>
              <w:tc>
                <w:tcPr>
                  <w:tcW w:w="440"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H</w:t>
                  </w:r>
                  <w:r>
                    <w:rPr>
                      <w:rFonts w:ascii="Times New Roman" w:hAnsi="Times New Roman" w:eastAsia="宋体"/>
                      <w:szCs w:val="21"/>
                      <w:vertAlign w:val="subscript"/>
                    </w:rPr>
                    <w:t>2</w:t>
                  </w:r>
                  <w:r>
                    <w:rPr>
                      <w:rFonts w:ascii="Times New Roman" w:hAnsi="Times New Roman" w:eastAsia="宋体"/>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660"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含量(%)</w:t>
                  </w:r>
                </w:p>
              </w:tc>
              <w:tc>
                <w:tcPr>
                  <w:tcW w:w="520"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96.226</w:t>
                  </w:r>
                </w:p>
              </w:tc>
              <w:tc>
                <w:tcPr>
                  <w:tcW w:w="417"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1.77</w:t>
                  </w:r>
                </w:p>
              </w:tc>
              <w:tc>
                <w:tcPr>
                  <w:tcW w:w="479"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0.3</w:t>
                  </w:r>
                </w:p>
              </w:tc>
              <w:tc>
                <w:tcPr>
                  <w:tcW w:w="519"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0.137</w:t>
                  </w:r>
                </w:p>
              </w:tc>
              <w:tc>
                <w:tcPr>
                  <w:tcW w:w="459"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0.076</w:t>
                  </w:r>
                </w:p>
              </w:tc>
              <w:tc>
                <w:tcPr>
                  <w:tcW w:w="502"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0.081</w:t>
                  </w:r>
                </w:p>
              </w:tc>
              <w:tc>
                <w:tcPr>
                  <w:tcW w:w="502"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0.473</w:t>
                  </w:r>
                </w:p>
              </w:tc>
              <w:tc>
                <w:tcPr>
                  <w:tcW w:w="502"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0.967</w:t>
                  </w:r>
                </w:p>
              </w:tc>
              <w:tc>
                <w:tcPr>
                  <w:tcW w:w="440" w:type="pct"/>
                  <w:noWrap w:val="0"/>
                  <w:vAlign w:val="center"/>
                </w:tcPr>
                <w:p>
                  <w:pPr>
                    <w:spacing w:line="280" w:lineRule="exact"/>
                    <w:jc w:val="center"/>
                    <w:rPr>
                      <w:rFonts w:ascii="Times New Roman" w:hAnsi="Times New Roman" w:eastAsia="宋体"/>
                      <w:szCs w:val="21"/>
                    </w:rPr>
                  </w:pPr>
                  <w:r>
                    <w:rPr>
                      <w:rFonts w:ascii="Times New Roman" w:hAnsi="Times New Roman" w:eastAsia="宋体"/>
                      <w:szCs w:val="21"/>
                    </w:rPr>
                    <w:t>0.002</w:t>
                  </w:r>
                </w:p>
              </w:tc>
            </w:tr>
          </w:tbl>
          <w:p>
            <w:pPr>
              <w:pStyle w:val="52"/>
              <w:spacing w:line="240" w:lineRule="exact"/>
              <w:ind w:firstLine="420"/>
              <w:rPr>
                <w:rFonts w:hint="eastAsia" w:ascii="Times New Roman" w:hAnsi="Times New Roman" w:eastAsia="宋体"/>
                <w:sz w:val="21"/>
                <w:szCs w:val="21"/>
              </w:rPr>
            </w:pPr>
            <w:r>
              <w:rPr>
                <w:rFonts w:hint="eastAsia" w:ascii="Times New Roman" w:hAnsi="Times New Roman" w:eastAsia="宋体"/>
                <w:sz w:val="21"/>
                <w:szCs w:val="21"/>
              </w:rPr>
              <w:t>注：天然气</w:t>
            </w:r>
            <w:r>
              <w:rPr>
                <w:rFonts w:ascii="Times New Roman" w:hAnsi="Times New Roman" w:eastAsia="宋体"/>
                <w:sz w:val="21"/>
                <w:szCs w:val="21"/>
              </w:rPr>
              <w:t>密度为0.7503Kg/m</w:t>
            </w:r>
            <w:r>
              <w:rPr>
                <w:rFonts w:ascii="Times New Roman" w:hAnsi="Times New Roman" w:eastAsia="宋体"/>
                <w:sz w:val="21"/>
                <w:szCs w:val="21"/>
                <w:vertAlign w:val="superscript"/>
              </w:rPr>
              <w:t>3</w:t>
            </w:r>
            <w:r>
              <w:rPr>
                <w:rFonts w:ascii="Times New Roman" w:hAnsi="Times New Roman" w:eastAsia="宋体"/>
                <w:sz w:val="21"/>
                <w:szCs w:val="21"/>
              </w:rPr>
              <w:t>，热值为36000KJ/Nm</w:t>
            </w:r>
            <w:r>
              <w:rPr>
                <w:rFonts w:ascii="Times New Roman" w:hAnsi="Times New Roman" w:eastAsia="宋体"/>
                <w:sz w:val="21"/>
                <w:szCs w:val="21"/>
                <w:vertAlign w:val="superscript"/>
              </w:rPr>
              <w:t>3</w:t>
            </w:r>
            <w:r>
              <w:rPr>
                <w:rFonts w:ascii="Times New Roman" w:hAnsi="Times New Roman" w:eastAsia="宋体"/>
                <w:sz w:val="21"/>
                <w:szCs w:val="21"/>
              </w:rPr>
              <w:t>。</w:t>
            </w:r>
          </w:p>
          <w:p>
            <w:pPr>
              <w:pStyle w:val="52"/>
              <w:spacing w:line="440" w:lineRule="exact"/>
              <w:jc w:val="both"/>
              <w:rPr>
                <w:rFonts w:hint="eastAsia" w:ascii="Times New Roman" w:hAnsi="Times New Roman" w:eastAsia="宋体"/>
              </w:rPr>
            </w:pPr>
            <w:r>
              <w:rPr>
                <w:rFonts w:hint="eastAsia"/>
                <w:lang w:val="en-US" w:eastAsia="zh-CN"/>
              </w:rPr>
              <w:t>现有</w:t>
            </w:r>
            <w:r>
              <w:rPr>
                <w:rFonts w:hint="eastAsia" w:ascii="Times New Roman" w:hAnsi="Times New Roman" w:eastAsia="宋体"/>
              </w:rPr>
              <w:t>项目天然气总耗量为</w:t>
            </w:r>
            <w:r>
              <w:rPr>
                <w:rFonts w:hint="eastAsia"/>
                <w:lang w:val="en-US" w:eastAsia="zh-CN"/>
              </w:rPr>
              <w:t>530</w:t>
            </w:r>
            <w:r>
              <w:rPr>
                <w:rFonts w:hint="eastAsia" w:ascii="Times New Roman" w:hAnsi="Times New Roman" w:eastAsia="宋体"/>
              </w:rPr>
              <w:t>万m</w:t>
            </w:r>
            <w:r>
              <w:rPr>
                <w:rFonts w:hint="eastAsia" w:ascii="Times New Roman" w:hAnsi="Times New Roman" w:eastAsia="宋体"/>
                <w:vertAlign w:val="superscript"/>
              </w:rPr>
              <w:t>3</w:t>
            </w:r>
            <w:r>
              <w:rPr>
                <w:rFonts w:hint="eastAsia" w:ascii="Times New Roman" w:hAnsi="Times New Roman" w:eastAsia="宋体"/>
              </w:rPr>
              <w:t>/a，根据</w:t>
            </w:r>
            <w:r>
              <w:rPr>
                <w:rFonts w:hint="eastAsia"/>
                <w:lang w:val="en-US" w:eastAsia="zh-CN"/>
              </w:rPr>
              <w:t>安徽海螺暹罗耐火材料有限公司15万t/a耐火材料项目后评价影响报告书</w:t>
            </w:r>
            <w:r>
              <w:rPr>
                <w:rFonts w:hint="eastAsia" w:ascii="Times New Roman" w:hAnsi="Times New Roman" w:eastAsia="宋体"/>
              </w:rPr>
              <w:t>，可</w:t>
            </w:r>
            <w:r>
              <w:rPr>
                <w:rFonts w:hint="eastAsia"/>
                <w:lang w:val="en-US" w:eastAsia="zh-CN"/>
              </w:rPr>
              <w:t>知</w:t>
            </w:r>
            <w:r>
              <w:rPr>
                <w:rFonts w:hint="eastAsia" w:ascii="Times New Roman" w:hAnsi="Times New Roman" w:eastAsia="宋体"/>
              </w:rPr>
              <w:t>SO</w:t>
            </w:r>
            <w:r>
              <w:rPr>
                <w:rFonts w:hint="eastAsia" w:ascii="Times New Roman" w:hAnsi="Times New Roman" w:eastAsia="宋体"/>
                <w:vertAlign w:val="subscript"/>
              </w:rPr>
              <w:t>2</w:t>
            </w:r>
            <w:r>
              <w:rPr>
                <w:rFonts w:hint="eastAsia" w:ascii="Times New Roman" w:hAnsi="Times New Roman" w:eastAsia="宋体"/>
              </w:rPr>
              <w:t>排放量约为</w:t>
            </w:r>
            <w:r>
              <w:rPr>
                <w:rFonts w:hint="eastAsia"/>
                <w:lang w:val="en-US" w:eastAsia="zh-CN"/>
              </w:rPr>
              <w:t>3.48</w:t>
            </w:r>
            <w:r>
              <w:rPr>
                <w:rFonts w:hint="eastAsia" w:ascii="Times New Roman" w:hAnsi="Times New Roman" w:eastAsia="宋体"/>
              </w:rPr>
              <w:t>t/a</w:t>
            </w:r>
            <w:r>
              <w:rPr>
                <w:rFonts w:hint="eastAsia"/>
                <w:lang w:eastAsia="zh-CN"/>
              </w:rPr>
              <w:t>，</w:t>
            </w:r>
            <w:r>
              <w:rPr>
                <w:rFonts w:ascii="Times New Roman" w:hAnsi="Times New Roman" w:eastAsia="宋体"/>
              </w:rPr>
              <w:t>NOx</w:t>
            </w:r>
            <w:r>
              <w:rPr>
                <w:rFonts w:hint="eastAsia" w:ascii="Times New Roman" w:hAnsi="Times New Roman" w:eastAsia="宋体"/>
              </w:rPr>
              <w:t>排放量约为</w:t>
            </w:r>
            <w:r>
              <w:rPr>
                <w:rFonts w:hint="eastAsia"/>
                <w:lang w:val="en-US" w:eastAsia="zh-CN"/>
              </w:rPr>
              <w:t>104</w:t>
            </w:r>
            <w:r>
              <w:rPr>
                <w:rFonts w:hint="eastAsia" w:ascii="Times New Roman" w:hAnsi="Times New Roman" w:eastAsia="宋体"/>
              </w:rPr>
              <w:t>t/a</w:t>
            </w:r>
            <w:r>
              <w:rPr>
                <w:rFonts w:hint="eastAsia"/>
                <w:lang w:eastAsia="zh-CN"/>
              </w:rPr>
              <w:t>，</w:t>
            </w:r>
            <w:r>
              <w:rPr>
                <w:rFonts w:hint="eastAsia"/>
                <w:lang w:val="en-US" w:eastAsia="zh-CN"/>
              </w:rPr>
              <w:t>烟尘</w:t>
            </w:r>
            <w:r>
              <w:rPr>
                <w:rFonts w:hint="eastAsia" w:ascii="Times New Roman" w:hAnsi="Times New Roman" w:eastAsia="宋体"/>
              </w:rPr>
              <w:t>排放量约为</w:t>
            </w:r>
            <w:r>
              <w:rPr>
                <w:rFonts w:hint="eastAsia"/>
                <w:lang w:val="en-US" w:eastAsia="zh-CN"/>
              </w:rPr>
              <w:t>4.38</w:t>
            </w:r>
            <w:r>
              <w:rPr>
                <w:rFonts w:hint="eastAsia" w:ascii="Times New Roman" w:hAnsi="Times New Roman" w:eastAsia="宋体"/>
              </w:rPr>
              <w:t>t/a</w:t>
            </w:r>
            <w:r>
              <w:rPr>
                <w:rFonts w:ascii="Times New Roman" w:hAnsi="Times New Roman" w:eastAsia="宋体"/>
              </w:rPr>
              <w:t>。</w:t>
            </w:r>
          </w:p>
          <w:p>
            <w:pPr>
              <w:keepNext/>
              <w:keepLines/>
              <w:adjustRightInd w:val="0"/>
              <w:snapToGrid w:val="0"/>
              <w:spacing w:line="440" w:lineRule="exact"/>
              <w:jc w:val="left"/>
              <w:outlineLvl w:val="2"/>
              <w:rPr>
                <w:rFonts w:hint="eastAsia" w:ascii="Times New Roman" w:hAnsi="Times New Roman" w:eastAsia="宋体"/>
                <w:snapToGrid w:val="0"/>
                <w:kern w:val="20"/>
                <w:sz w:val="24"/>
                <w:szCs w:val="32"/>
              </w:rPr>
            </w:pPr>
            <w:r>
              <w:rPr>
                <w:rFonts w:hint="eastAsia" w:ascii="Times New Roman" w:hAnsi="Times New Roman" w:eastAsia="宋体"/>
                <w:snapToGrid w:val="0"/>
                <w:kern w:val="20"/>
                <w:sz w:val="24"/>
                <w:szCs w:val="32"/>
              </w:rPr>
              <w:t>2</w:t>
            </w:r>
            <w:r>
              <w:rPr>
                <w:rFonts w:hint="eastAsia" w:ascii="Times New Roman" w:hAnsi="Times New Roman" w:eastAsia="宋体"/>
                <w:snapToGrid w:val="0"/>
                <w:kern w:val="20"/>
                <w:sz w:val="24"/>
                <w:szCs w:val="32"/>
                <w:lang w:eastAsia="zh-CN"/>
              </w:rPr>
              <w:t>、</w:t>
            </w:r>
            <w:r>
              <w:rPr>
                <w:rFonts w:hint="eastAsia" w:ascii="Times New Roman" w:hAnsi="Times New Roman" w:eastAsia="宋体"/>
                <w:snapToGrid w:val="0"/>
                <w:kern w:val="20"/>
                <w:sz w:val="24"/>
                <w:szCs w:val="32"/>
              </w:rPr>
              <w:t>碱性砖生产线</w:t>
            </w:r>
            <w:r>
              <w:rPr>
                <w:rFonts w:hint="eastAsia" w:ascii="Times New Roman" w:hAnsi="Times New Roman" w:eastAsia="宋体"/>
                <w:sz w:val="24"/>
                <w:szCs w:val="24"/>
              </w:rPr>
              <w:t>废气污染源及其防治措施</w:t>
            </w:r>
          </w:p>
          <w:p>
            <w:pPr>
              <w:spacing w:line="440" w:lineRule="exact"/>
              <w:ind w:firstLine="540" w:firstLineChars="225"/>
              <w:rPr>
                <w:rFonts w:hint="eastAsia" w:ascii="Times New Roman" w:hAnsi="Times New Roman" w:eastAsia="宋体"/>
                <w:sz w:val="24"/>
                <w:szCs w:val="24"/>
              </w:rPr>
            </w:pPr>
            <w:r>
              <w:rPr>
                <w:rFonts w:hint="eastAsia"/>
                <w:sz w:val="24"/>
                <w:szCs w:val="24"/>
                <w:lang w:val="en-US" w:eastAsia="zh-CN"/>
              </w:rPr>
              <w:t>现有</w:t>
            </w:r>
            <w:r>
              <w:rPr>
                <w:rFonts w:hint="eastAsia" w:ascii="Times New Roman" w:hAnsi="Times New Roman" w:eastAsia="宋体"/>
                <w:sz w:val="24"/>
                <w:szCs w:val="24"/>
              </w:rPr>
              <w:t>项目碱性砖生产线主要废气污染源为鄂式破碎机、圆锥破碎机、直线振动筛、高压磨粉机生产过程中产生的粉尘污染物，混合过程中产生的粉尘污染物，烧成及干燥过程中排放的尾气。</w:t>
            </w:r>
          </w:p>
          <w:p>
            <w:pPr>
              <w:spacing w:line="44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G1：鄂式破碎机在生产过程中粉尘污染物产生速率约为8.33kg/h，产生浓度约为1666mg/m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，粉尘通过布袋除尘器处理后排放，布袋除尘器除尘效率约为95%，因此粉尘排放速率约为0.42kg/h，布袋除尘器风量约为5000m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/h，因此粉尘排放浓度约为84mg/m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，废气通过高20m，内径30cm的1#排气筒排放。</w:t>
            </w:r>
          </w:p>
          <w:p>
            <w:pPr>
              <w:spacing w:line="44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G2：圆锥破碎机在生产过程中粉尘污染物产生速率约为8.33kg/h，产生浓度约为1666mg/m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，粉尘通过布袋除尘器处理后排放，布袋除尘器除尘效率约为95%，因此粉尘排放速率约为0.42kg/h，布袋除尘器风量约为5000m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/h，因此粉尘排放浓度约为84mg/m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，废气通过</w:t>
            </w:r>
            <w:r>
              <w:rPr>
                <w:rFonts w:hint="eastAsia"/>
                <w:sz w:val="24"/>
                <w:szCs w:val="24"/>
                <w:lang w:val="en-US" w:eastAsia="zh-CN"/>
              </w:rPr>
              <w:t>不低于15m</w:t>
            </w:r>
            <w:r>
              <w:rPr>
                <w:rFonts w:hint="eastAsia" w:ascii="Times New Roman" w:hAnsi="Times New Roman" w:eastAsia="宋体"/>
                <w:sz w:val="24"/>
                <w:szCs w:val="24"/>
              </w:rPr>
              <w:t>排气筒排放。</w:t>
            </w:r>
          </w:p>
          <w:p>
            <w:pPr>
              <w:spacing w:line="44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G3：直线振动筛在生产过程中粉尘污染物产生速率约为8.33kg/h，产生浓度约为1666mg/m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，粉尘通过布袋除尘器处理后排放，布袋除尘器除尘效率约为95%，因此粉尘排放速率约为0.42kg/h，布袋除尘器风量约为5000m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/h，因此粉尘排放浓度约为84mg/m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，废气通过</w:t>
            </w:r>
            <w:r>
              <w:rPr>
                <w:rFonts w:hint="eastAsia"/>
                <w:sz w:val="24"/>
                <w:szCs w:val="24"/>
                <w:lang w:val="en-US" w:eastAsia="zh-CN"/>
              </w:rPr>
              <w:t>不低于15m</w:t>
            </w:r>
            <w:r>
              <w:rPr>
                <w:rFonts w:hint="eastAsia" w:ascii="Times New Roman" w:hAnsi="Times New Roman" w:eastAsia="宋体"/>
                <w:sz w:val="24"/>
                <w:szCs w:val="24"/>
              </w:rPr>
              <w:t>排气筒排放。</w:t>
            </w:r>
          </w:p>
          <w:p>
            <w:pPr>
              <w:spacing w:line="44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G4：高压磨粉机在生产过程中粉尘污染物产生速率约为8.33kg/h，产生浓度约为1666mg/m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，粉尘通过布袋除尘器处理后排放，布袋除尘器除尘效率约为95%，因此粉尘排放速率约为0.42kg/h，布袋除尘器风量约为5000m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/h，因此粉尘排放浓度约为84mg/m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，废气通过高20m，内径30cm的</w:t>
            </w:r>
            <w:r>
              <w:rPr>
                <w:rFonts w:hint="eastAsia"/>
                <w:sz w:val="24"/>
                <w:szCs w:val="24"/>
                <w:lang w:val="en-US" w:eastAsia="zh-CN"/>
              </w:rPr>
              <w:t>不低于15m</w:t>
            </w:r>
            <w:r>
              <w:rPr>
                <w:rFonts w:hint="eastAsia" w:ascii="Times New Roman" w:hAnsi="Times New Roman" w:eastAsia="宋体"/>
                <w:sz w:val="24"/>
                <w:szCs w:val="24"/>
              </w:rPr>
              <w:t>排气筒排放。</w:t>
            </w:r>
          </w:p>
          <w:p>
            <w:pPr>
              <w:spacing w:line="44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G5：混合过程中粉尘污染物产生速率约为8.33kg/h，产生浓度约为1666mg/m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，粉尘通过布袋除尘器处理后排放，布袋除尘器除尘效率约为95%，因此粉尘排放速率约为0.42kg/h，布袋除尘器风量约为5000m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/h，因此粉尘排放浓度约为84mg/m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，废气通过</w:t>
            </w:r>
            <w:r>
              <w:rPr>
                <w:rFonts w:hint="eastAsia"/>
                <w:sz w:val="24"/>
                <w:szCs w:val="24"/>
                <w:lang w:val="en-US" w:eastAsia="zh-CN"/>
              </w:rPr>
              <w:t>不低于15m</w:t>
            </w:r>
            <w:r>
              <w:rPr>
                <w:rFonts w:hint="eastAsia" w:ascii="Times New Roman" w:hAnsi="Times New Roman" w:eastAsia="宋体"/>
                <w:sz w:val="24"/>
                <w:szCs w:val="24"/>
              </w:rPr>
              <w:t>排气筒排放。</w:t>
            </w:r>
          </w:p>
          <w:p>
            <w:pPr>
              <w:spacing w:line="44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G6：干燥过程中利用的热量来源于烧成后的余热，干燥后排放的废气量约为3167Nm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/h，由于拟建项目燃料使用的是天然气，燃烧过程中气态污染物含量少，废气通过高30m，内径1m排气筒排放。</w:t>
            </w:r>
          </w:p>
          <w:p>
            <w:pPr>
              <w:spacing w:line="44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G7：烧成后排放的废气量约为1333Nm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/h，粉尘浓度约为10mg/m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，排放速率约为0.013kg/h，废气通过高</w:t>
            </w:r>
            <w:r>
              <w:rPr>
                <w:rFonts w:hint="eastAsia"/>
                <w:sz w:val="24"/>
                <w:szCs w:val="24"/>
                <w:lang w:val="en-US" w:eastAsia="zh-CN"/>
              </w:rPr>
              <w:t>45</w:t>
            </w:r>
            <w:r>
              <w:rPr>
                <w:rFonts w:hint="eastAsia" w:ascii="Times New Roman" w:hAnsi="Times New Roman" w:eastAsia="宋体"/>
                <w:sz w:val="24"/>
                <w:szCs w:val="24"/>
              </w:rPr>
              <w:t>m，内径1</w:t>
            </w:r>
            <w:r>
              <w:rPr>
                <w:rFonts w:hint="eastAsia"/>
                <w:sz w:val="24"/>
                <w:szCs w:val="24"/>
                <w:lang w:val="en-US" w:eastAsia="zh-CN"/>
              </w:rPr>
              <w:t>.3</w:t>
            </w:r>
            <w:r>
              <w:rPr>
                <w:rFonts w:hint="eastAsia" w:ascii="Times New Roman" w:hAnsi="Times New Roman" w:eastAsia="宋体"/>
                <w:sz w:val="24"/>
                <w:szCs w:val="24"/>
              </w:rPr>
              <w:t>m排气筒排放。</w:t>
            </w:r>
          </w:p>
          <w:p>
            <w:pPr>
              <w:spacing w:line="440" w:lineRule="exact"/>
              <w:ind w:firstLine="540" w:firstLineChars="225"/>
              <w:rPr>
                <w:rFonts w:hint="eastAsia" w:ascii="Times New Roman" w:hAnsi="Times New Roman" w:eastAsia="宋体"/>
                <w:sz w:val="24"/>
                <w:szCs w:val="24"/>
                <w:highlight w:val="none"/>
              </w:rPr>
            </w:pPr>
            <w:r>
              <w:rPr>
                <w:rFonts w:hint="eastAsia"/>
                <w:sz w:val="24"/>
                <w:szCs w:val="24"/>
                <w:lang w:val="en-US" w:eastAsia="zh-CN"/>
              </w:rPr>
              <w:t>现有</w:t>
            </w:r>
            <w:r>
              <w:rPr>
                <w:rFonts w:hint="eastAsia" w:ascii="Times New Roman" w:hAnsi="Times New Roman" w:eastAsia="宋体"/>
                <w:sz w:val="24"/>
                <w:szCs w:val="24"/>
              </w:rPr>
              <w:t>项目碱性砖生产线废气在采取以上措施后，废气排放可满足《</w:t>
            </w:r>
            <w:r>
              <w:rPr>
                <w:rFonts w:hint="eastAsia" w:ascii="Times New Roman" w:hAnsi="Times New Roman" w:eastAsia="宋体"/>
                <w:bCs/>
                <w:sz w:val="24"/>
                <w:szCs w:val="24"/>
              </w:rPr>
              <w:t>大气污染物综合排放标准</w:t>
            </w:r>
            <w:r>
              <w:rPr>
                <w:rFonts w:hint="eastAsia" w:ascii="Times New Roman" w:hAnsi="Times New Roman" w:eastAsia="宋体"/>
                <w:sz w:val="24"/>
                <w:szCs w:val="24"/>
              </w:rPr>
              <w:t>》（GB16297-1996）表2中粉尘排放限值及《</w:t>
            </w:r>
            <w:r>
              <w:rPr>
                <w:rFonts w:hint="eastAsia" w:ascii="Times New Roman" w:hAnsi="Times New Roman" w:eastAsia="宋体"/>
                <w:bCs/>
                <w:sz w:val="24"/>
                <w:szCs w:val="24"/>
              </w:rPr>
              <w:t>工业炉窑大气污染物排放标准</w:t>
            </w:r>
            <w:r>
              <w:rPr>
                <w:rFonts w:hint="eastAsia" w:ascii="Times New Roman" w:hAnsi="Times New Roman" w:eastAsia="宋体"/>
                <w:sz w:val="24"/>
                <w:szCs w:val="24"/>
              </w:rPr>
              <w:t>》（</w:t>
            </w:r>
            <w:r>
              <w:rPr>
                <w:rFonts w:hint="eastAsia" w:ascii="Times New Roman" w:hAnsi="Times New Roman" w:eastAsia="宋体"/>
                <w:bCs/>
                <w:sz w:val="24"/>
                <w:szCs w:val="24"/>
              </w:rPr>
              <w:t>GB9078-1996</w:t>
            </w:r>
            <w:r>
              <w:rPr>
                <w:rFonts w:hint="eastAsia" w:ascii="Times New Roman" w:hAnsi="Times New Roman" w:eastAsia="宋体"/>
                <w:sz w:val="24"/>
                <w:szCs w:val="24"/>
              </w:rPr>
              <w:t>）中相关要求。</w:t>
            </w:r>
            <w:r>
              <w:rPr>
                <w:rFonts w:hint="eastAsia"/>
                <w:sz w:val="24"/>
                <w:szCs w:val="24"/>
                <w:lang w:val="en-US" w:eastAsia="zh-CN"/>
              </w:rPr>
              <w:t>现有</w:t>
            </w:r>
            <w:r>
              <w:rPr>
                <w:rFonts w:hint="eastAsia" w:ascii="Times New Roman" w:hAnsi="Times New Roman" w:eastAsia="宋体"/>
                <w:sz w:val="24"/>
                <w:szCs w:val="24"/>
              </w:rPr>
              <w:t>项目碱性砖生产线废气污染源</w:t>
            </w:r>
            <w:r>
              <w:rPr>
                <w:rFonts w:hint="eastAsia" w:ascii="Times New Roman" w:hAnsi="Times New Roman" w:eastAsia="宋体"/>
                <w:sz w:val="24"/>
                <w:szCs w:val="24"/>
                <w:highlight w:val="none"/>
              </w:rPr>
              <w:t>及其防治措施见</w:t>
            </w:r>
            <w:r>
              <w:rPr>
                <w:rFonts w:hint="eastAsia" w:ascii="Times New Roman" w:hAnsi="Times New Roman" w:eastAsia="宋体"/>
                <w:sz w:val="24"/>
                <w:szCs w:val="24"/>
                <w:highlight w:val="none"/>
                <w:lang w:eastAsia="zh-CN"/>
              </w:rPr>
              <w:t>下表</w:t>
            </w:r>
            <w:r>
              <w:rPr>
                <w:rFonts w:hint="eastAsia" w:ascii="Times New Roman" w:hAnsi="Times New Roman" w:eastAsia="宋体"/>
                <w:sz w:val="24"/>
                <w:szCs w:val="24"/>
                <w:highlight w:val="none"/>
              </w:rPr>
              <w:t>所示。</w:t>
            </w:r>
          </w:p>
          <w:p>
            <w:pPr>
              <w:spacing w:line="360" w:lineRule="exact"/>
              <w:jc w:val="center"/>
              <w:rPr>
                <w:rFonts w:hint="eastAsia" w:ascii="Times New Roman" w:hAnsi="Times New Roman" w:eastAsia="宋体"/>
                <w:b/>
                <w:bCs/>
                <w:snapToGrid w:val="0"/>
                <w:sz w:val="24"/>
                <w:szCs w:val="24"/>
                <w:highlight w:val="none"/>
              </w:rPr>
            </w:pPr>
            <w:r>
              <w:rPr>
                <w:rFonts w:hint="eastAsia" w:ascii="Times New Roman" w:hAnsi="Times New Roman" w:eastAsia="宋体"/>
                <w:b/>
                <w:bCs/>
                <w:snapToGrid w:val="0"/>
                <w:sz w:val="24"/>
                <w:szCs w:val="24"/>
                <w:highlight w:val="none"/>
              </w:rPr>
              <w:t>表1</w:t>
            </w:r>
            <w:r>
              <w:rPr>
                <w:rFonts w:hint="eastAsia" w:ascii="Times New Roman" w:hAnsi="Times New Roman" w:eastAsia="宋体"/>
                <w:b/>
                <w:bCs/>
                <w:snapToGrid w:val="0"/>
                <w:sz w:val="24"/>
                <w:szCs w:val="24"/>
                <w:highlight w:val="none"/>
                <w:lang w:val="en-US" w:eastAsia="zh-CN"/>
              </w:rPr>
              <w:t xml:space="preserve">-7 </w:t>
            </w:r>
            <w:r>
              <w:rPr>
                <w:rFonts w:hint="eastAsia" w:ascii="Times New Roman" w:hAnsi="Times New Roman" w:eastAsia="宋体"/>
                <w:b/>
                <w:bCs/>
                <w:snapToGrid w:val="0"/>
                <w:sz w:val="24"/>
                <w:szCs w:val="24"/>
                <w:highlight w:val="none"/>
              </w:rPr>
              <w:t>项目</w:t>
            </w:r>
            <w:r>
              <w:rPr>
                <w:rFonts w:hint="eastAsia" w:ascii="Times New Roman" w:hAnsi="Times New Roman" w:eastAsia="宋体"/>
                <w:b/>
                <w:bCs/>
                <w:sz w:val="24"/>
                <w:szCs w:val="24"/>
                <w:highlight w:val="none"/>
              </w:rPr>
              <w:t>碱性砖生产线</w:t>
            </w:r>
            <w:r>
              <w:rPr>
                <w:rFonts w:hint="eastAsia" w:ascii="Times New Roman" w:hAnsi="Times New Roman" w:eastAsia="宋体"/>
                <w:b/>
                <w:bCs/>
                <w:sz w:val="24"/>
                <w:szCs w:val="24"/>
                <w:highlight w:val="none"/>
                <w:lang w:val="en-US" w:eastAsia="zh-CN"/>
              </w:rPr>
              <w:t>废气</w:t>
            </w:r>
            <w:r>
              <w:rPr>
                <w:rFonts w:hint="eastAsia" w:ascii="Times New Roman" w:hAnsi="Times New Roman" w:eastAsia="宋体"/>
                <w:b/>
                <w:bCs/>
                <w:snapToGrid w:val="0"/>
                <w:sz w:val="24"/>
                <w:szCs w:val="24"/>
                <w:highlight w:val="none"/>
              </w:rPr>
              <w:t>治理措施一览表</w:t>
            </w:r>
          </w:p>
          <w:tbl>
            <w:tblPr>
              <w:tblStyle w:val="29"/>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1214"/>
              <w:gridCol w:w="990"/>
              <w:gridCol w:w="1756"/>
              <w:gridCol w:w="1680"/>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排放口编号</w:t>
                  </w:r>
                </w:p>
              </w:tc>
              <w:tc>
                <w:tcPr>
                  <w:tcW w:w="732"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排放</w:t>
                  </w:r>
                  <w:r>
                    <w:rPr>
                      <w:rFonts w:hint="eastAsia"/>
                      <w:sz w:val="21"/>
                      <w:szCs w:val="20"/>
                      <w:highlight w:val="none"/>
                      <w:vertAlign w:val="baseline"/>
                      <w:lang w:val="en-US" w:eastAsia="zh-CN"/>
                    </w:rPr>
                    <w:t>工序</w:t>
                  </w:r>
                </w:p>
              </w:tc>
              <w:tc>
                <w:tcPr>
                  <w:tcW w:w="597"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污染物</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排气量（m</w:t>
                  </w:r>
                  <w:r>
                    <w:rPr>
                      <w:rFonts w:hint="eastAsia" w:ascii="Times New Roman" w:hAnsi="Times New Roman" w:eastAsia="宋体"/>
                      <w:sz w:val="21"/>
                      <w:szCs w:val="20"/>
                      <w:highlight w:val="none"/>
                      <w:vertAlign w:val="superscript"/>
                      <w:lang w:val="en-US" w:eastAsia="zh-CN"/>
                    </w:rPr>
                    <w:t>3</w:t>
                  </w:r>
                  <w:r>
                    <w:rPr>
                      <w:rFonts w:hint="eastAsia" w:ascii="Times New Roman" w:hAnsi="Times New Roman" w:eastAsia="宋体"/>
                      <w:sz w:val="21"/>
                      <w:szCs w:val="20"/>
                      <w:highlight w:val="none"/>
                      <w:vertAlign w:val="baseline"/>
                      <w:lang w:val="en-US" w:eastAsia="zh-CN"/>
                    </w:rPr>
                    <w:t>/h）</w:t>
                  </w:r>
                </w:p>
              </w:tc>
              <w:tc>
                <w:tcPr>
                  <w:tcW w:w="1013"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治理措施</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排气口距地面高度（m）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1#</w:t>
                  </w:r>
                </w:p>
              </w:tc>
              <w:tc>
                <w:tcPr>
                  <w:tcW w:w="732"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进料破碎</w:t>
                  </w:r>
                </w:p>
              </w:tc>
              <w:tc>
                <w:tcPr>
                  <w:tcW w:w="597"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4500</w:t>
                  </w:r>
                </w:p>
              </w:tc>
              <w:tc>
                <w:tcPr>
                  <w:tcW w:w="1013"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2#</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进料破碎</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4500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3#</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进料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9300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球磨</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13700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5#</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进料破碎</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4500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6#</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进料破碎</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4500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7#</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进料破碎</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9300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8#</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进料破碎</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9300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9#</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进料破碎</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9300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10#</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23400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11#</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23400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12#</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23400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13#</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23400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14#</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6000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15#</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4500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16#</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6000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17#</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4500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18#</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6000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19#</w:t>
                  </w:r>
                </w:p>
              </w:tc>
              <w:tc>
                <w:tcPr>
                  <w:tcW w:w="732"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配料车</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8000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随机配套箱式布袋收尘</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20#</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配料车</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800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随机配套箱式布袋收尘</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21#</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配料车</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800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随机配套箱式布袋收尘</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22#</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配料车</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800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随机配套箱式布袋收尘</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23#</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混合料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2400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24#</w:t>
                  </w:r>
                </w:p>
              </w:tc>
              <w:tc>
                <w:tcPr>
                  <w:tcW w:w="732"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混合料</w:t>
                  </w:r>
                </w:p>
              </w:tc>
              <w:tc>
                <w:tcPr>
                  <w:tcW w:w="597"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rPr>
                  </w:pPr>
                  <w:r>
                    <w:rPr>
                      <w:rFonts w:hint="eastAsia" w:ascii="Times New Roman" w:hAnsi="Times New Roman" w:eastAsia="宋体"/>
                      <w:sz w:val="21"/>
                      <w:szCs w:val="20"/>
                      <w:highlight w:val="none"/>
                      <w:vertAlign w:val="baseline"/>
                      <w:lang w:val="en-US" w:eastAsia="zh-CN"/>
                    </w:rPr>
                    <w:t>2400</w:t>
                  </w:r>
                </w:p>
              </w:tc>
              <w:tc>
                <w:tcPr>
                  <w:tcW w:w="1013"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ascii="Times New Roman" w:hAnsi="Times New Roman" w:eastAsia="宋体"/>
                      <w:sz w:val="21"/>
                      <w:szCs w:val="20"/>
                      <w:highlight w:val="none"/>
                      <w:vertAlign w:val="baseline"/>
                    </w:rPr>
                  </w:pPr>
                  <w:r>
                    <w:rPr>
                      <w:rFonts w:hint="eastAsia" w:ascii="Times New Roman" w:hAnsi="Times New Roman" w:eastAsia="宋体"/>
                      <w:sz w:val="21"/>
                      <w:szCs w:val="20"/>
                      <w:highlight w:val="none"/>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25#</w:t>
                  </w:r>
                </w:p>
              </w:tc>
              <w:tc>
                <w:tcPr>
                  <w:tcW w:w="732"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混合料</w:t>
                  </w:r>
                </w:p>
              </w:tc>
              <w:tc>
                <w:tcPr>
                  <w:tcW w:w="597"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2400</w:t>
                  </w:r>
                </w:p>
              </w:tc>
              <w:tc>
                <w:tcPr>
                  <w:tcW w:w="1013"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26#</w:t>
                  </w:r>
                </w:p>
              </w:tc>
              <w:tc>
                <w:tcPr>
                  <w:tcW w:w="732"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混合料</w:t>
                  </w:r>
                </w:p>
              </w:tc>
              <w:tc>
                <w:tcPr>
                  <w:tcW w:w="597"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粉尘</w:t>
                  </w:r>
                </w:p>
              </w:tc>
              <w:tc>
                <w:tcPr>
                  <w:tcW w:w="1059"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2400</w:t>
                  </w:r>
                </w:p>
              </w:tc>
              <w:tc>
                <w:tcPr>
                  <w:tcW w:w="1013"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箱式布袋收尘</w:t>
                  </w:r>
                </w:p>
              </w:tc>
              <w:tc>
                <w:tcPr>
                  <w:tcW w:w="954"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vMerge w:val="restar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27#</w:t>
                  </w:r>
                </w:p>
              </w:tc>
              <w:tc>
                <w:tcPr>
                  <w:tcW w:w="732" w:type="pct"/>
                  <w:vMerge w:val="restar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烧成</w:t>
                  </w:r>
                </w:p>
              </w:tc>
              <w:tc>
                <w:tcPr>
                  <w:tcW w:w="597"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SO</w:t>
                  </w:r>
                  <w:r>
                    <w:rPr>
                      <w:rFonts w:hint="eastAsia" w:ascii="Times New Roman" w:hAnsi="Times New Roman" w:eastAsia="宋体"/>
                      <w:sz w:val="21"/>
                      <w:szCs w:val="20"/>
                      <w:highlight w:val="none"/>
                      <w:vertAlign w:val="subscript"/>
                      <w:lang w:val="en-US" w:eastAsia="zh-CN"/>
                    </w:rPr>
                    <w:t>2</w:t>
                  </w:r>
                </w:p>
              </w:tc>
              <w:tc>
                <w:tcPr>
                  <w:tcW w:w="1059" w:type="pct"/>
                  <w:vMerge w:val="restar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sz w:val="21"/>
                      <w:szCs w:val="20"/>
                      <w:highlight w:val="none"/>
                      <w:vertAlign w:val="baseline"/>
                      <w:lang w:val="en-US" w:eastAsia="zh-CN"/>
                    </w:rPr>
                    <w:t>45000</w:t>
                  </w:r>
                </w:p>
              </w:tc>
              <w:tc>
                <w:tcPr>
                  <w:tcW w:w="1013" w:type="pct"/>
                  <w:vMerge w:val="restar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脱硫脱硝除尘系统</w:t>
                  </w:r>
                </w:p>
              </w:tc>
              <w:tc>
                <w:tcPr>
                  <w:tcW w:w="954" w:type="pct"/>
                  <w:vMerge w:val="restar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4</w:t>
                  </w:r>
                  <w:r>
                    <w:rPr>
                      <w:rFonts w:hint="eastAsia"/>
                      <w:sz w:val="21"/>
                      <w:szCs w:val="20"/>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c>
                <w:tcPr>
                  <w:tcW w:w="732"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c>
                <w:tcPr>
                  <w:tcW w:w="597"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NOx</w:t>
                  </w:r>
                </w:p>
              </w:tc>
              <w:tc>
                <w:tcPr>
                  <w:tcW w:w="1059"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c>
                <w:tcPr>
                  <w:tcW w:w="1013"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c>
                <w:tcPr>
                  <w:tcW w:w="954"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c>
                <w:tcPr>
                  <w:tcW w:w="732"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c>
                <w:tcPr>
                  <w:tcW w:w="597"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烟尘</w:t>
                  </w:r>
                </w:p>
              </w:tc>
              <w:tc>
                <w:tcPr>
                  <w:tcW w:w="1059"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c>
                <w:tcPr>
                  <w:tcW w:w="1013"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c>
                <w:tcPr>
                  <w:tcW w:w="954" w:type="pct"/>
                  <w:vMerge w:val="continue"/>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3" w:type="pct"/>
                  <w:noWrap w:val="0"/>
                  <w:vAlign w:val="center"/>
                </w:tcPr>
                <w:p>
                  <w:pPr>
                    <w:spacing w:line="360" w:lineRule="auto"/>
                    <w:jc w:val="center"/>
                    <w:rPr>
                      <w:rFonts w:hint="eastAsia"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28#</w:t>
                  </w:r>
                </w:p>
              </w:tc>
              <w:tc>
                <w:tcPr>
                  <w:tcW w:w="732"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干燥</w:t>
                  </w:r>
                </w:p>
              </w:tc>
              <w:tc>
                <w:tcPr>
                  <w:tcW w:w="597"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水蒸气</w:t>
                  </w:r>
                </w:p>
              </w:tc>
              <w:tc>
                <w:tcPr>
                  <w:tcW w:w="1059"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12000</w:t>
                  </w:r>
                </w:p>
              </w:tc>
              <w:tc>
                <w:tcPr>
                  <w:tcW w:w="1013"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直排</w:t>
                  </w:r>
                </w:p>
              </w:tc>
              <w:tc>
                <w:tcPr>
                  <w:tcW w:w="954" w:type="pct"/>
                  <w:noWrap w:val="0"/>
                  <w:vAlign w:val="center"/>
                </w:tcPr>
                <w:p>
                  <w:pPr>
                    <w:spacing w:line="360" w:lineRule="auto"/>
                    <w:jc w:val="center"/>
                    <w:rPr>
                      <w:rFonts w:hint="default" w:ascii="Times New Roman" w:hAnsi="Times New Roman" w:eastAsia="宋体"/>
                      <w:sz w:val="21"/>
                      <w:szCs w:val="20"/>
                      <w:highlight w:val="none"/>
                      <w:vertAlign w:val="baseline"/>
                      <w:lang w:val="en-US" w:eastAsia="zh-CN"/>
                    </w:rPr>
                  </w:pPr>
                  <w:r>
                    <w:rPr>
                      <w:rFonts w:hint="eastAsia" w:ascii="Times New Roman" w:hAnsi="Times New Roman" w:eastAsia="宋体"/>
                      <w:sz w:val="21"/>
                      <w:szCs w:val="20"/>
                      <w:highlight w:val="none"/>
                      <w:vertAlign w:val="baseline"/>
                      <w:lang w:val="en-US" w:eastAsia="zh-CN"/>
                    </w:rPr>
                    <w:t>25</w:t>
                  </w:r>
                </w:p>
              </w:tc>
            </w:tr>
          </w:tbl>
          <w:p>
            <w:pPr>
              <w:spacing w:line="480" w:lineRule="exact"/>
              <w:ind w:firstLine="480" w:firstLineChars="200"/>
              <w:rPr>
                <w:rFonts w:hint="eastAsia" w:ascii="Times New Roman" w:hAnsi="Times New Roman" w:eastAsia="宋体"/>
                <w:sz w:val="24"/>
                <w:szCs w:val="21"/>
                <w:highlight w:val="none"/>
              </w:rPr>
            </w:pPr>
            <w:r>
              <w:rPr>
                <w:rFonts w:hint="eastAsia"/>
                <w:sz w:val="24"/>
                <w:szCs w:val="21"/>
                <w:highlight w:val="none"/>
                <w:lang w:val="en-US" w:eastAsia="zh-CN"/>
              </w:rPr>
              <w:t>现有</w:t>
            </w:r>
            <w:r>
              <w:rPr>
                <w:rFonts w:hint="eastAsia" w:ascii="Times New Roman" w:hAnsi="Times New Roman" w:eastAsia="宋体"/>
                <w:sz w:val="24"/>
                <w:szCs w:val="21"/>
                <w:highlight w:val="none"/>
              </w:rPr>
              <w:t>项目</w:t>
            </w:r>
            <w:r>
              <w:rPr>
                <w:rFonts w:hint="eastAsia" w:ascii="Times New Roman" w:hAnsi="Times New Roman" w:eastAsia="宋体"/>
                <w:bCs/>
                <w:sz w:val="24"/>
                <w:szCs w:val="21"/>
                <w:highlight w:val="none"/>
              </w:rPr>
              <w:t>职工人数为</w:t>
            </w:r>
            <w:r>
              <w:rPr>
                <w:rFonts w:hint="eastAsia" w:ascii="Times New Roman" w:hAnsi="Times New Roman" w:eastAsia="宋体"/>
                <w:bCs/>
                <w:sz w:val="24"/>
                <w:szCs w:val="21"/>
                <w:highlight w:val="none"/>
                <w:lang w:val="en-US" w:eastAsia="zh-CN"/>
              </w:rPr>
              <w:t>142</w:t>
            </w:r>
            <w:r>
              <w:rPr>
                <w:rFonts w:ascii="Times New Roman" w:hAnsi="Times New Roman" w:eastAsia="宋体"/>
                <w:bCs/>
                <w:sz w:val="24"/>
                <w:szCs w:val="21"/>
                <w:highlight w:val="none"/>
              </w:rPr>
              <w:t>人，</w:t>
            </w:r>
            <w:r>
              <w:rPr>
                <w:rFonts w:hint="eastAsia" w:ascii="Times New Roman" w:hAnsi="Times New Roman" w:eastAsia="宋体"/>
                <w:bCs/>
                <w:sz w:val="24"/>
                <w:szCs w:val="21"/>
                <w:highlight w:val="none"/>
              </w:rPr>
              <w:t>每日每人提供两顿工作餐，因此总就餐人数为</w:t>
            </w:r>
            <w:r>
              <w:rPr>
                <w:rFonts w:hint="eastAsia" w:ascii="Times New Roman" w:hAnsi="Times New Roman" w:eastAsia="宋体"/>
                <w:bCs/>
                <w:sz w:val="24"/>
                <w:szCs w:val="21"/>
                <w:highlight w:val="none"/>
                <w:lang w:val="en-US" w:eastAsia="zh-CN"/>
              </w:rPr>
              <w:t>284</w:t>
            </w:r>
            <w:r>
              <w:rPr>
                <w:rFonts w:ascii="Times New Roman" w:hAnsi="Times New Roman" w:eastAsia="宋体"/>
                <w:bCs/>
                <w:sz w:val="24"/>
                <w:szCs w:val="21"/>
                <w:highlight w:val="none"/>
              </w:rPr>
              <w:t>人次/</w:t>
            </w:r>
            <w:r>
              <w:rPr>
                <w:rFonts w:hint="eastAsia" w:ascii="Times New Roman" w:hAnsi="Times New Roman" w:eastAsia="宋体"/>
                <w:bCs/>
                <w:sz w:val="24"/>
                <w:szCs w:val="21"/>
                <w:highlight w:val="none"/>
              </w:rPr>
              <w:t>d</w:t>
            </w:r>
            <w:r>
              <w:rPr>
                <w:rFonts w:ascii="Times New Roman" w:hAnsi="Times New Roman" w:eastAsia="宋体"/>
                <w:sz w:val="24"/>
                <w:szCs w:val="21"/>
                <w:highlight w:val="none"/>
              </w:rPr>
              <w:t>。根据类比调查，人均食用油消耗量以</w:t>
            </w:r>
            <w:r>
              <w:rPr>
                <w:rFonts w:hint="eastAsia" w:ascii="Times New Roman" w:hAnsi="Times New Roman" w:eastAsia="宋体"/>
                <w:sz w:val="24"/>
                <w:szCs w:val="21"/>
                <w:highlight w:val="none"/>
              </w:rPr>
              <w:t>2</w:t>
            </w:r>
            <w:r>
              <w:rPr>
                <w:rFonts w:ascii="Times New Roman" w:hAnsi="Times New Roman" w:eastAsia="宋体"/>
                <w:sz w:val="24"/>
                <w:szCs w:val="21"/>
                <w:highlight w:val="none"/>
              </w:rPr>
              <w:t>kg/100人·餐计，则</w:t>
            </w:r>
            <w:r>
              <w:rPr>
                <w:rFonts w:hint="eastAsia"/>
                <w:sz w:val="24"/>
                <w:szCs w:val="21"/>
                <w:highlight w:val="none"/>
                <w:lang w:val="en-US" w:eastAsia="zh-CN"/>
              </w:rPr>
              <w:t>现有</w:t>
            </w:r>
            <w:r>
              <w:rPr>
                <w:rFonts w:ascii="Times New Roman" w:hAnsi="Times New Roman" w:eastAsia="宋体"/>
                <w:sz w:val="24"/>
                <w:szCs w:val="21"/>
                <w:highlight w:val="none"/>
              </w:rPr>
              <w:t>项目餐</w:t>
            </w:r>
            <w:r>
              <w:rPr>
                <w:rFonts w:hint="eastAsia" w:ascii="Times New Roman" w:hAnsi="Times New Roman" w:eastAsia="宋体"/>
                <w:sz w:val="24"/>
                <w:szCs w:val="21"/>
                <w:highlight w:val="none"/>
              </w:rPr>
              <w:t>饮</w:t>
            </w:r>
            <w:r>
              <w:rPr>
                <w:rFonts w:ascii="Times New Roman" w:hAnsi="Times New Roman" w:eastAsia="宋体"/>
                <w:sz w:val="24"/>
                <w:szCs w:val="21"/>
                <w:highlight w:val="none"/>
              </w:rPr>
              <w:t>食用油消耗量为</w:t>
            </w:r>
            <w:r>
              <w:rPr>
                <w:rFonts w:hint="eastAsia" w:ascii="Times New Roman" w:hAnsi="Times New Roman" w:eastAsia="宋体"/>
                <w:sz w:val="24"/>
                <w:szCs w:val="21"/>
                <w:highlight w:val="none"/>
                <w:lang w:val="en-US" w:eastAsia="zh-CN"/>
              </w:rPr>
              <w:t>5.68</w:t>
            </w:r>
            <w:r>
              <w:rPr>
                <w:rFonts w:ascii="Times New Roman" w:hAnsi="Times New Roman" w:eastAsia="宋体"/>
                <w:sz w:val="24"/>
                <w:szCs w:val="21"/>
                <w:highlight w:val="none"/>
              </w:rPr>
              <w:t>kg/d，</w:t>
            </w:r>
            <w:r>
              <w:rPr>
                <w:rFonts w:hint="eastAsia" w:ascii="Times New Roman" w:hAnsi="Times New Roman" w:eastAsia="宋体"/>
                <w:sz w:val="24"/>
                <w:szCs w:val="21"/>
                <w:highlight w:val="none"/>
              </w:rPr>
              <w:t>年消耗量为</w:t>
            </w:r>
            <w:r>
              <w:rPr>
                <w:rFonts w:hint="eastAsia" w:ascii="Times New Roman" w:hAnsi="Times New Roman" w:eastAsia="宋体"/>
                <w:sz w:val="24"/>
                <w:szCs w:val="21"/>
                <w:highlight w:val="none"/>
                <w:lang w:val="en-US" w:eastAsia="zh-CN"/>
              </w:rPr>
              <w:t>1.87</w:t>
            </w:r>
            <w:r>
              <w:rPr>
                <w:rFonts w:ascii="Times New Roman" w:hAnsi="Times New Roman" w:eastAsia="宋体"/>
                <w:sz w:val="24"/>
                <w:szCs w:val="21"/>
                <w:highlight w:val="none"/>
              </w:rPr>
              <w:t>t</w:t>
            </w:r>
            <w:r>
              <w:rPr>
                <w:rFonts w:hint="eastAsia" w:ascii="Times New Roman" w:hAnsi="Times New Roman" w:eastAsia="宋体"/>
                <w:sz w:val="24"/>
                <w:szCs w:val="21"/>
                <w:highlight w:val="none"/>
              </w:rPr>
              <w:t>/a</w:t>
            </w:r>
            <w:r>
              <w:rPr>
                <w:rFonts w:ascii="Times New Roman" w:hAnsi="Times New Roman" w:eastAsia="宋体"/>
                <w:sz w:val="24"/>
                <w:szCs w:val="21"/>
                <w:highlight w:val="none"/>
              </w:rPr>
              <w:t>，炒做时油烟挥发一般为用油量的1%～3%，本环评</w:t>
            </w:r>
            <w:r>
              <w:rPr>
                <w:rFonts w:hint="eastAsia" w:ascii="Times New Roman" w:hAnsi="Times New Roman" w:eastAsia="宋体"/>
                <w:sz w:val="24"/>
                <w:szCs w:val="21"/>
                <w:highlight w:val="none"/>
              </w:rPr>
              <w:t>以</w:t>
            </w:r>
            <w:r>
              <w:rPr>
                <w:rFonts w:hint="eastAsia" w:ascii="Times New Roman" w:hAnsi="Times New Roman" w:eastAsia="宋体"/>
                <w:sz w:val="24"/>
                <w:szCs w:val="21"/>
                <w:highlight w:val="none"/>
                <w:lang w:val="en-US" w:eastAsia="zh-CN"/>
              </w:rPr>
              <w:t>3</w:t>
            </w:r>
            <w:r>
              <w:rPr>
                <w:rFonts w:ascii="Times New Roman" w:hAnsi="Times New Roman" w:eastAsia="宋体"/>
                <w:sz w:val="24"/>
                <w:szCs w:val="21"/>
                <w:highlight w:val="none"/>
              </w:rPr>
              <w:t>%</w:t>
            </w:r>
            <w:r>
              <w:rPr>
                <w:rFonts w:hint="eastAsia" w:ascii="Times New Roman" w:hAnsi="Times New Roman" w:eastAsia="宋体"/>
                <w:sz w:val="24"/>
                <w:szCs w:val="21"/>
                <w:highlight w:val="none"/>
              </w:rPr>
              <w:t>计</w:t>
            </w:r>
            <w:r>
              <w:rPr>
                <w:rFonts w:ascii="Times New Roman" w:hAnsi="Times New Roman" w:eastAsia="宋体"/>
                <w:sz w:val="24"/>
                <w:szCs w:val="21"/>
                <w:highlight w:val="none"/>
              </w:rPr>
              <w:t>，则油烟产生量为</w:t>
            </w:r>
            <w:r>
              <w:rPr>
                <w:rFonts w:hint="eastAsia" w:ascii="Times New Roman" w:hAnsi="Times New Roman" w:eastAsia="宋体"/>
                <w:sz w:val="24"/>
                <w:szCs w:val="21"/>
                <w:highlight w:val="none"/>
                <w:lang w:val="en-US" w:eastAsia="zh-CN"/>
              </w:rPr>
              <w:t>56.1</w:t>
            </w:r>
            <w:r>
              <w:rPr>
                <w:rFonts w:ascii="Times New Roman" w:hAnsi="Times New Roman" w:eastAsia="宋体"/>
                <w:sz w:val="24"/>
                <w:szCs w:val="21"/>
                <w:highlight w:val="none"/>
              </w:rPr>
              <w:t>kg/a</w:t>
            </w:r>
            <w:r>
              <w:rPr>
                <w:rFonts w:hint="eastAsia" w:ascii="Times New Roman" w:hAnsi="Times New Roman" w:eastAsia="宋体"/>
                <w:sz w:val="24"/>
                <w:szCs w:val="21"/>
                <w:highlight w:val="none"/>
              </w:rPr>
              <w:t>。</w:t>
            </w:r>
          </w:p>
          <w:p>
            <w:pPr>
              <w:spacing w:line="480" w:lineRule="exact"/>
              <w:ind w:firstLine="540" w:firstLineChars="225"/>
              <w:rPr>
                <w:rFonts w:hint="eastAsia" w:ascii="Times New Roman" w:hAnsi="Times New Roman" w:eastAsia="宋体"/>
                <w:sz w:val="24"/>
                <w:szCs w:val="24"/>
                <w:highlight w:val="none"/>
              </w:rPr>
            </w:pPr>
            <w:r>
              <w:rPr>
                <w:rFonts w:hint="eastAsia"/>
                <w:sz w:val="24"/>
                <w:szCs w:val="24"/>
                <w:highlight w:val="none"/>
                <w:lang w:val="en-US" w:eastAsia="zh-CN"/>
              </w:rPr>
              <w:t>现有</w:t>
            </w:r>
            <w:r>
              <w:rPr>
                <w:rFonts w:hint="eastAsia" w:ascii="Times New Roman" w:hAnsi="Times New Roman" w:eastAsia="宋体"/>
                <w:sz w:val="24"/>
                <w:szCs w:val="24"/>
                <w:highlight w:val="none"/>
              </w:rPr>
              <w:t>项目食堂安装油烟净化设施，其净化率约为80%</w:t>
            </w:r>
            <w:r>
              <w:rPr>
                <w:rFonts w:ascii="Times New Roman" w:hAnsi="Times New Roman" w:eastAsia="宋体"/>
                <w:sz w:val="24"/>
                <w:szCs w:val="24"/>
                <w:highlight w:val="none"/>
              </w:rPr>
              <w:t>，</w:t>
            </w:r>
            <w:r>
              <w:rPr>
                <w:rFonts w:hint="eastAsia" w:ascii="Times New Roman" w:hAnsi="Times New Roman" w:eastAsia="宋体"/>
                <w:sz w:val="24"/>
                <w:szCs w:val="24"/>
                <w:highlight w:val="none"/>
              </w:rPr>
              <w:t>则</w:t>
            </w:r>
            <w:r>
              <w:rPr>
                <w:rFonts w:ascii="Times New Roman" w:hAnsi="Times New Roman" w:eastAsia="宋体"/>
                <w:sz w:val="24"/>
                <w:szCs w:val="24"/>
                <w:highlight w:val="none"/>
              </w:rPr>
              <w:t>油烟排放量为</w:t>
            </w:r>
            <w:r>
              <w:rPr>
                <w:rFonts w:hint="eastAsia" w:ascii="Times New Roman" w:hAnsi="Times New Roman" w:eastAsia="宋体"/>
                <w:sz w:val="24"/>
                <w:szCs w:val="24"/>
                <w:highlight w:val="none"/>
                <w:lang w:val="en-US" w:eastAsia="zh-CN"/>
              </w:rPr>
              <w:t>11.22</w:t>
            </w:r>
            <w:r>
              <w:rPr>
                <w:rFonts w:ascii="Times New Roman" w:hAnsi="Times New Roman" w:eastAsia="宋体"/>
                <w:sz w:val="24"/>
                <w:szCs w:val="24"/>
                <w:highlight w:val="none"/>
              </w:rPr>
              <w:t>kg/a。</w:t>
            </w:r>
            <w:r>
              <w:rPr>
                <w:rFonts w:hint="eastAsia"/>
                <w:sz w:val="24"/>
                <w:szCs w:val="24"/>
                <w:highlight w:val="none"/>
                <w:lang w:val="en-US" w:eastAsia="zh-CN"/>
              </w:rPr>
              <w:t>现有</w:t>
            </w:r>
            <w:r>
              <w:rPr>
                <w:rFonts w:hint="eastAsia" w:ascii="Times New Roman" w:hAnsi="Times New Roman" w:eastAsia="宋体"/>
                <w:sz w:val="24"/>
                <w:szCs w:val="24"/>
                <w:highlight w:val="none"/>
              </w:rPr>
              <w:t>项目安装4个油烟净化装置，油烟净化装置设于食堂顶层，每个油烟净化器</w:t>
            </w:r>
            <w:r>
              <w:rPr>
                <w:rFonts w:ascii="Times New Roman" w:hAnsi="Times New Roman" w:eastAsia="宋体"/>
                <w:sz w:val="24"/>
                <w:szCs w:val="24"/>
                <w:highlight w:val="none"/>
              </w:rPr>
              <w:t>的实际有效风量为</w:t>
            </w:r>
            <w:r>
              <w:rPr>
                <w:rFonts w:hint="eastAsia" w:ascii="Times New Roman" w:hAnsi="Times New Roman" w:eastAsia="宋体"/>
                <w:sz w:val="24"/>
                <w:szCs w:val="24"/>
                <w:highlight w:val="none"/>
              </w:rPr>
              <w:t>6</w:t>
            </w:r>
            <w:r>
              <w:rPr>
                <w:rFonts w:ascii="Times New Roman" w:hAnsi="Times New Roman" w:eastAsia="宋体"/>
                <w:sz w:val="24"/>
                <w:szCs w:val="24"/>
                <w:highlight w:val="none"/>
              </w:rPr>
              <w:t>000m</w:t>
            </w:r>
            <w:r>
              <w:rPr>
                <w:rFonts w:ascii="Times New Roman" w:hAnsi="Times New Roman" w:eastAsia="宋体"/>
                <w:sz w:val="24"/>
                <w:szCs w:val="24"/>
                <w:highlight w:val="none"/>
                <w:vertAlign w:val="superscript"/>
              </w:rPr>
              <w:t>3</w:t>
            </w:r>
            <w:r>
              <w:rPr>
                <w:rFonts w:ascii="Times New Roman" w:hAnsi="Times New Roman" w:eastAsia="宋体"/>
                <w:sz w:val="24"/>
                <w:szCs w:val="24"/>
                <w:highlight w:val="none"/>
              </w:rPr>
              <w:t>/h，日运转约</w:t>
            </w:r>
            <w:r>
              <w:rPr>
                <w:rFonts w:hint="eastAsia" w:ascii="Times New Roman" w:hAnsi="Times New Roman" w:eastAsia="宋体"/>
                <w:sz w:val="24"/>
                <w:szCs w:val="24"/>
                <w:highlight w:val="none"/>
              </w:rPr>
              <w:t>5</w:t>
            </w:r>
            <w:r>
              <w:rPr>
                <w:rFonts w:ascii="Times New Roman" w:hAnsi="Times New Roman" w:eastAsia="宋体"/>
                <w:sz w:val="24"/>
                <w:szCs w:val="24"/>
                <w:highlight w:val="none"/>
              </w:rPr>
              <w:t>小时，年油烟废气排放量为</w:t>
            </w:r>
            <w:r>
              <w:rPr>
                <w:rFonts w:hint="eastAsia" w:ascii="Times New Roman" w:hAnsi="Times New Roman" w:eastAsia="宋体"/>
                <w:sz w:val="24"/>
                <w:szCs w:val="24"/>
                <w:highlight w:val="none"/>
              </w:rPr>
              <w:t>3960</w:t>
            </w:r>
            <w:r>
              <w:rPr>
                <w:rFonts w:ascii="Times New Roman" w:hAnsi="Times New Roman" w:eastAsia="宋体"/>
                <w:sz w:val="24"/>
                <w:szCs w:val="24"/>
                <w:highlight w:val="none"/>
              </w:rPr>
              <w:t>万m</w:t>
            </w:r>
            <w:r>
              <w:rPr>
                <w:rFonts w:ascii="Times New Roman" w:hAnsi="Times New Roman" w:eastAsia="宋体"/>
                <w:sz w:val="24"/>
                <w:szCs w:val="24"/>
                <w:highlight w:val="none"/>
                <w:vertAlign w:val="superscript"/>
              </w:rPr>
              <w:t>3</w:t>
            </w:r>
            <w:r>
              <w:rPr>
                <w:rFonts w:hint="eastAsia" w:ascii="Times New Roman" w:hAnsi="Times New Roman" w:eastAsia="宋体"/>
                <w:sz w:val="24"/>
                <w:szCs w:val="24"/>
                <w:highlight w:val="none"/>
              </w:rPr>
              <w:t>/a，因此油烟排放浓度约为0.</w:t>
            </w:r>
            <w:r>
              <w:rPr>
                <w:rFonts w:hint="eastAsia" w:ascii="Times New Roman" w:hAnsi="Times New Roman" w:eastAsia="宋体"/>
                <w:sz w:val="24"/>
                <w:szCs w:val="24"/>
                <w:highlight w:val="none"/>
                <w:lang w:val="en-US" w:eastAsia="zh-CN"/>
              </w:rPr>
              <w:t>283</w:t>
            </w:r>
            <w:r>
              <w:rPr>
                <w:rFonts w:hint="eastAsia" w:ascii="Times New Roman" w:hAnsi="Times New Roman" w:eastAsia="宋体"/>
                <w:sz w:val="24"/>
                <w:szCs w:val="24"/>
                <w:highlight w:val="none"/>
              </w:rPr>
              <w:t>mg/m</w:t>
            </w:r>
            <w:r>
              <w:rPr>
                <w:rFonts w:hint="eastAsia" w:ascii="Times New Roman" w:hAnsi="Times New Roman" w:eastAsia="宋体"/>
                <w:sz w:val="24"/>
                <w:szCs w:val="24"/>
                <w:highlight w:val="none"/>
                <w:vertAlign w:val="superscript"/>
              </w:rPr>
              <w:t>3</w:t>
            </w:r>
            <w:r>
              <w:rPr>
                <w:rFonts w:hint="eastAsia" w:ascii="Times New Roman" w:hAnsi="Times New Roman" w:eastAsia="宋体"/>
                <w:sz w:val="24"/>
                <w:szCs w:val="24"/>
                <w:highlight w:val="none"/>
              </w:rPr>
              <w:t>，</w:t>
            </w:r>
            <w:r>
              <w:rPr>
                <w:rFonts w:ascii="Times New Roman" w:hAnsi="Times New Roman" w:eastAsia="宋体"/>
                <w:sz w:val="24"/>
                <w:szCs w:val="24"/>
                <w:highlight w:val="none"/>
              </w:rPr>
              <w:t>达</w:t>
            </w:r>
            <w:r>
              <w:rPr>
                <w:rFonts w:hint="eastAsia" w:ascii="Times New Roman" w:hAnsi="Times New Roman" w:eastAsia="宋体"/>
                <w:sz w:val="24"/>
                <w:szCs w:val="24"/>
                <w:highlight w:val="none"/>
              </w:rPr>
              <w:t>到</w:t>
            </w:r>
            <w:r>
              <w:rPr>
                <w:rFonts w:ascii="Times New Roman" w:hAnsi="Times New Roman" w:eastAsia="宋体"/>
                <w:sz w:val="24"/>
                <w:szCs w:val="24"/>
                <w:highlight w:val="none"/>
              </w:rPr>
              <w:t>《饮</w:t>
            </w:r>
            <w:r>
              <w:rPr>
                <w:rFonts w:hint="eastAsia" w:ascii="Times New Roman" w:hAnsi="Times New Roman" w:eastAsia="宋体"/>
                <w:sz w:val="24"/>
                <w:szCs w:val="24"/>
                <w:highlight w:val="none"/>
              </w:rPr>
              <w:t>食</w:t>
            </w:r>
            <w:r>
              <w:rPr>
                <w:rFonts w:ascii="Times New Roman" w:hAnsi="Times New Roman" w:eastAsia="宋体"/>
                <w:sz w:val="24"/>
                <w:szCs w:val="24"/>
                <w:highlight w:val="none"/>
              </w:rPr>
              <w:t>业油烟</w:t>
            </w:r>
            <w:r>
              <w:rPr>
                <w:rFonts w:hint="eastAsia" w:ascii="Times New Roman" w:hAnsi="Times New Roman" w:eastAsia="宋体"/>
                <w:sz w:val="24"/>
                <w:szCs w:val="24"/>
                <w:highlight w:val="none"/>
              </w:rPr>
              <w:t>排放</w:t>
            </w:r>
            <w:r>
              <w:rPr>
                <w:rFonts w:ascii="Times New Roman" w:hAnsi="Times New Roman" w:eastAsia="宋体"/>
                <w:sz w:val="24"/>
                <w:szCs w:val="24"/>
                <w:highlight w:val="none"/>
              </w:rPr>
              <w:t>标</w:t>
            </w:r>
            <w:r>
              <w:rPr>
                <w:rFonts w:hint="eastAsia" w:ascii="Times New Roman" w:hAnsi="Times New Roman" w:eastAsia="宋体"/>
                <w:sz w:val="24"/>
                <w:szCs w:val="24"/>
                <w:highlight w:val="none"/>
              </w:rPr>
              <w:t>准》（</w:t>
            </w:r>
            <w:r>
              <w:rPr>
                <w:rFonts w:ascii="Times New Roman" w:hAnsi="Times New Roman" w:eastAsia="宋体"/>
                <w:sz w:val="24"/>
                <w:szCs w:val="24"/>
                <w:highlight w:val="none"/>
              </w:rPr>
              <w:t>GB18483-2001</w:t>
            </w:r>
            <w:r>
              <w:rPr>
                <w:rFonts w:hint="eastAsia" w:ascii="Times New Roman" w:hAnsi="Times New Roman" w:eastAsia="宋体"/>
                <w:sz w:val="24"/>
                <w:szCs w:val="24"/>
                <w:highlight w:val="none"/>
              </w:rPr>
              <w:t>）中</w:t>
            </w:r>
            <w:r>
              <w:rPr>
                <w:rFonts w:ascii="Times New Roman" w:hAnsi="Times New Roman" w:eastAsia="宋体"/>
                <w:sz w:val="24"/>
                <w:szCs w:val="24"/>
                <w:highlight w:val="none"/>
              </w:rPr>
              <w:t>规</w:t>
            </w:r>
            <w:r>
              <w:rPr>
                <w:rFonts w:hint="eastAsia" w:ascii="Times New Roman" w:hAnsi="Times New Roman" w:eastAsia="宋体"/>
                <w:sz w:val="24"/>
                <w:szCs w:val="24"/>
                <w:highlight w:val="none"/>
              </w:rPr>
              <w:t>定的限值。</w:t>
            </w:r>
            <w:r>
              <w:rPr>
                <w:rFonts w:hint="eastAsia"/>
                <w:sz w:val="24"/>
                <w:szCs w:val="24"/>
                <w:highlight w:val="none"/>
                <w:lang w:val="en-US" w:eastAsia="zh-CN"/>
              </w:rPr>
              <w:t>现有</w:t>
            </w:r>
            <w:r>
              <w:rPr>
                <w:rFonts w:hint="eastAsia" w:ascii="Times New Roman" w:hAnsi="Times New Roman" w:eastAsia="宋体"/>
                <w:sz w:val="24"/>
                <w:szCs w:val="24"/>
                <w:highlight w:val="none"/>
              </w:rPr>
              <w:t>项目食堂厨房油烟净化后经厨房后堂油烟排放管道于厨房楼顶高空排放，油烟排放口与本项目内及周边环境敏感目标距离大于20m。拟建项目食堂厨房的油烟净化装置、油烟排风机及油烟排放管道的安装及其他相关要求均满足《饮食业环境保护技术规范》（HJ554-2010）中的相关规定。</w:t>
            </w:r>
          </w:p>
          <w:p>
            <w:pPr>
              <w:spacing w:line="360" w:lineRule="auto"/>
              <w:ind w:firstLine="480" w:firstLineChars="200"/>
              <w:rPr>
                <w:rFonts w:ascii="Times New Roman" w:hAnsi="Times New Roman" w:eastAsia="宋体"/>
                <w:sz w:val="24"/>
                <w:szCs w:val="22"/>
                <w:highlight w:val="none"/>
              </w:rPr>
            </w:pPr>
            <w:r>
              <w:rPr>
                <w:rFonts w:ascii="Times New Roman" w:hAnsi="Times New Roman" w:eastAsia="宋体"/>
                <w:sz w:val="24"/>
                <w:szCs w:val="22"/>
                <w:highlight w:val="none"/>
              </w:rPr>
              <w:t>②废水</w:t>
            </w:r>
          </w:p>
          <w:p>
            <w:pPr>
              <w:spacing w:line="480" w:lineRule="exact"/>
              <w:ind w:firstLine="480" w:firstLineChars="200"/>
              <w:rPr>
                <w:rFonts w:hint="eastAsia" w:ascii="Times New Roman" w:hAnsi="Times New Roman" w:eastAsia="宋体"/>
                <w:sz w:val="24"/>
                <w:szCs w:val="24"/>
              </w:rPr>
            </w:pPr>
            <w:r>
              <w:rPr>
                <w:rFonts w:hint="eastAsia"/>
                <w:sz w:val="24"/>
                <w:szCs w:val="24"/>
                <w:lang w:val="en-US" w:eastAsia="zh-CN"/>
              </w:rPr>
              <w:t>现有</w:t>
            </w:r>
            <w:r>
              <w:rPr>
                <w:rFonts w:hint="eastAsia" w:ascii="Times New Roman" w:hAnsi="Times New Roman" w:eastAsia="宋体"/>
                <w:sz w:val="24"/>
                <w:szCs w:val="24"/>
              </w:rPr>
              <w:t>项目生产过程中不产生生产废水，运行期主要的废水为生活污水，</w:t>
            </w:r>
            <w:r>
              <w:rPr>
                <w:rFonts w:hint="eastAsia"/>
                <w:sz w:val="24"/>
                <w:szCs w:val="24"/>
                <w:lang w:val="en-US" w:eastAsia="zh-CN"/>
              </w:rPr>
              <w:t>现有</w:t>
            </w:r>
            <w:r>
              <w:rPr>
                <w:rFonts w:hint="eastAsia" w:ascii="Times New Roman" w:hAnsi="Times New Roman" w:eastAsia="宋体"/>
                <w:sz w:val="24"/>
                <w:szCs w:val="24"/>
              </w:rPr>
              <w:t>项目职工总人数约</w:t>
            </w:r>
            <w:r>
              <w:rPr>
                <w:rFonts w:hint="eastAsia"/>
                <w:sz w:val="24"/>
                <w:szCs w:val="24"/>
                <w:lang w:val="en-US" w:eastAsia="zh-CN"/>
              </w:rPr>
              <w:t>142</w:t>
            </w:r>
            <w:r>
              <w:rPr>
                <w:rFonts w:hint="eastAsia" w:ascii="Times New Roman" w:hAnsi="Times New Roman" w:eastAsia="宋体"/>
                <w:sz w:val="24"/>
                <w:szCs w:val="24"/>
              </w:rPr>
              <w:t>人，生活用水按每人每天</w:t>
            </w:r>
            <w:r>
              <w:rPr>
                <w:rFonts w:hint="eastAsia"/>
                <w:sz w:val="24"/>
                <w:szCs w:val="24"/>
                <w:lang w:val="en-US" w:eastAsia="zh-CN"/>
              </w:rPr>
              <w:t>70</w:t>
            </w:r>
            <w:r>
              <w:rPr>
                <w:rFonts w:hint="eastAsia" w:ascii="Times New Roman" w:hAnsi="Times New Roman" w:eastAsia="宋体"/>
                <w:sz w:val="24"/>
                <w:szCs w:val="24"/>
              </w:rPr>
              <w:t>L/d计，则</w:t>
            </w:r>
            <w:r>
              <w:rPr>
                <w:rFonts w:hint="eastAsia"/>
                <w:sz w:val="24"/>
                <w:szCs w:val="24"/>
                <w:lang w:val="en-US" w:eastAsia="zh-CN"/>
              </w:rPr>
              <w:t>现有</w:t>
            </w:r>
            <w:r>
              <w:rPr>
                <w:rFonts w:hint="eastAsia" w:ascii="Times New Roman" w:hAnsi="Times New Roman" w:eastAsia="宋体"/>
                <w:sz w:val="24"/>
                <w:szCs w:val="24"/>
              </w:rPr>
              <w:t>项目生活用水总量约为</w:t>
            </w:r>
            <w:r>
              <w:rPr>
                <w:rFonts w:hint="eastAsia"/>
                <w:sz w:val="24"/>
                <w:szCs w:val="24"/>
                <w:lang w:val="en-US" w:eastAsia="zh-CN"/>
              </w:rPr>
              <w:t>9.94</w:t>
            </w:r>
            <w:r>
              <w:rPr>
                <w:rFonts w:hint="eastAsia" w:ascii="Times New Roman" w:hAnsi="Times New Roman" w:eastAsia="宋体"/>
                <w:sz w:val="24"/>
                <w:szCs w:val="24"/>
              </w:rPr>
              <w:t>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/d，全年生活用水量为</w:t>
            </w:r>
            <w:r>
              <w:rPr>
                <w:rFonts w:hint="eastAsia"/>
                <w:sz w:val="24"/>
                <w:szCs w:val="24"/>
                <w:lang w:val="en-US" w:eastAsia="zh-CN"/>
              </w:rPr>
              <w:t>3280</w:t>
            </w:r>
            <w:r>
              <w:rPr>
                <w:rFonts w:hint="eastAsia" w:ascii="Times New Roman" w:hAnsi="Times New Roman" w:eastAsia="宋体"/>
                <w:sz w:val="24"/>
                <w:szCs w:val="24"/>
              </w:rPr>
              <w:t>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/a，污水排放量为</w:t>
            </w:r>
            <w:r>
              <w:rPr>
                <w:rFonts w:hint="eastAsia"/>
                <w:sz w:val="24"/>
                <w:szCs w:val="24"/>
                <w:lang w:val="en-US" w:eastAsia="zh-CN"/>
              </w:rPr>
              <w:t>2624</w:t>
            </w:r>
            <w:r>
              <w:rPr>
                <w:rFonts w:hint="eastAsia" w:ascii="Times New Roman" w:hAnsi="Times New Roman" w:eastAsia="宋体"/>
                <w:sz w:val="24"/>
                <w:szCs w:val="24"/>
              </w:rPr>
              <w:t>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/a，污水中主要污染物为COD、NH</w:t>
            </w:r>
            <w:r>
              <w:rPr>
                <w:rFonts w:hint="eastAsia" w:ascii="Times New Roman" w:hAnsi="Times New Roman" w:eastAsia="宋体"/>
                <w:sz w:val="24"/>
                <w:szCs w:val="24"/>
                <w:vertAlign w:val="subscript"/>
              </w:rPr>
              <w:t>3</w:t>
            </w:r>
            <w:r>
              <w:rPr>
                <w:rFonts w:hint="eastAsia" w:ascii="Times New Roman" w:hAnsi="Times New Roman" w:eastAsia="宋体"/>
                <w:sz w:val="24"/>
                <w:szCs w:val="24"/>
              </w:rPr>
              <w:t>-N、SS，产生浓度约为350mg/L、30mg/L、150mg/L。拟建项目的生活污水经地埋式污水处理系统处理后达到GB8978-1996《污水综合排放标准》中一级标准后</w:t>
            </w:r>
            <w:r>
              <w:rPr>
                <w:rFonts w:hint="eastAsia" w:ascii="Times New Roman" w:hAnsi="Times New Roman" w:eastAsia="宋体"/>
                <w:bCs/>
                <w:sz w:val="24"/>
                <w:szCs w:val="24"/>
              </w:rPr>
              <w:t>经白马山水泥厂原有排污沟渠</w:t>
            </w:r>
            <w:r>
              <w:rPr>
                <w:rFonts w:hint="eastAsia" w:ascii="Times New Roman" w:hAnsi="Times New Roman" w:eastAsia="宋体"/>
                <w:bCs/>
                <w:sz w:val="24"/>
                <w:szCs w:val="24"/>
                <w:lang w:val="en-US" w:eastAsia="zh-CN"/>
              </w:rPr>
              <w:t>外排</w:t>
            </w:r>
            <w:r>
              <w:rPr>
                <w:rFonts w:hint="eastAsia" w:ascii="Times New Roman" w:hAnsi="Times New Roman" w:eastAsia="宋体"/>
                <w:sz w:val="24"/>
                <w:szCs w:val="24"/>
              </w:rPr>
              <w:t>。</w:t>
            </w:r>
            <w:r>
              <w:rPr>
                <w:rFonts w:hint="eastAsia"/>
                <w:sz w:val="24"/>
                <w:szCs w:val="24"/>
                <w:lang w:val="en-US" w:eastAsia="zh-CN"/>
              </w:rPr>
              <w:t>现有</w:t>
            </w:r>
            <w:r>
              <w:rPr>
                <w:rFonts w:hint="eastAsia" w:ascii="Times New Roman" w:hAnsi="Times New Roman" w:eastAsia="宋体"/>
                <w:sz w:val="24"/>
                <w:szCs w:val="24"/>
              </w:rPr>
              <w:t>项目地埋式污水处理系统工艺流程图见图1-</w:t>
            </w:r>
            <w:r>
              <w:rPr>
                <w:rFonts w:hint="eastAsia"/>
                <w:sz w:val="24"/>
                <w:szCs w:val="24"/>
                <w:lang w:val="en-US" w:eastAsia="zh-CN"/>
              </w:rPr>
              <w:t>2</w:t>
            </w:r>
            <w:r>
              <w:rPr>
                <w:rFonts w:hint="eastAsia" w:ascii="Times New Roman" w:hAnsi="Times New Roman" w:eastAsia="宋体"/>
                <w:sz w:val="24"/>
                <w:szCs w:val="24"/>
              </w:rPr>
              <w:t>所示。</w:t>
            </w:r>
          </w:p>
          <w:p>
            <w:pPr>
              <w:spacing w:line="480" w:lineRule="exact"/>
              <w:ind w:firstLine="480" w:firstLineChars="200"/>
              <w:rPr>
                <w:rFonts w:hint="eastAsia" w:ascii="Times New Roman" w:hAnsi="Times New Roman" w:eastAsia="宋体"/>
                <w:sz w:val="24"/>
                <w:szCs w:val="24"/>
              </w:rPr>
            </w:pPr>
          </w:p>
          <w:p>
            <w:pPr>
              <w:spacing w:line="480" w:lineRule="exact"/>
              <w:ind w:firstLine="480"/>
              <w:rPr>
                <w:rFonts w:hint="eastAsia" w:ascii="Times New Roman" w:hAnsi="Times New Roman" w:eastAsia="宋体"/>
                <w:sz w:val="24"/>
                <w:szCs w:val="24"/>
              </w:rPr>
            </w:pPr>
            <w:r>
              <w:rPr>
                <w:rFonts w:hint="eastAsia" w:ascii="Times New Roman" w:hAnsi="Times New Roman" w:eastAsia="宋体"/>
                <w:sz w:val="24"/>
                <w:szCs w:val="24"/>
              </w:rPr>
              <mc:AlternateContent>
                <mc:Choice Requires="wpg">
                  <w:drawing>
                    <wp:anchor distT="0" distB="0" distL="114300" distR="114300" simplePos="0" relativeHeight="251696128" behindDoc="0" locked="0" layoutInCell="1" allowOverlap="1">
                      <wp:simplePos x="0" y="0"/>
                      <wp:positionH relativeFrom="column">
                        <wp:posOffset>77470</wp:posOffset>
                      </wp:positionH>
                      <wp:positionV relativeFrom="paragraph">
                        <wp:posOffset>175260</wp:posOffset>
                      </wp:positionV>
                      <wp:extent cx="5200650" cy="1684020"/>
                      <wp:effectExtent l="0" t="4445" r="19685" b="0"/>
                      <wp:wrapNone/>
                      <wp:docPr id="217" name="组合 43"/>
                      <wp:cNvGraphicFramePr/>
                      <a:graphic xmlns:a="http://schemas.openxmlformats.org/drawingml/2006/main">
                        <a:graphicData uri="http://schemas.microsoft.com/office/word/2010/wordprocessingGroup">
                          <wpg:wgp>
                            <wpg:cNvGrpSpPr/>
                            <wpg:grpSpPr>
                              <a:xfrm>
                                <a:off x="0" y="0"/>
                                <a:ext cx="5200650" cy="1684020"/>
                                <a:chOff x="1943" y="4104"/>
                                <a:chExt cx="8190" cy="2652"/>
                              </a:xfrm>
                            </wpg:grpSpPr>
                            <wps:wsp>
                              <wps:cNvPr id="130" name="矩形 44"/>
                              <wps:cNvSpPr/>
                              <wps:spPr>
                                <a:xfrm>
                                  <a:off x="1943" y="4104"/>
                                  <a:ext cx="945" cy="312"/>
                                </a:xfrm>
                                <a:prstGeom prst="rect">
                                  <a:avLst/>
                                </a:prstGeom>
                                <a:noFill/>
                                <a:ln>
                                  <a:noFill/>
                                </a:ln>
                              </wps:spPr>
                              <wps:txbx>
                                <w:txbxContent>
                                  <w:p>
                                    <w:pPr>
                                      <w:jc w:val="center"/>
                                      <w:rPr>
                                        <w:rFonts w:hint="eastAsia"/>
                                      </w:rPr>
                                    </w:pPr>
                                    <w:r>
                                      <w:rPr>
                                        <w:rFonts w:hint="eastAsia"/>
                                      </w:rPr>
                                      <w:t>生活污水</w:t>
                                    </w:r>
                                  </w:p>
                                </w:txbxContent>
                              </wps:txbx>
                              <wps:bodyPr wrap="square" lIns="0" tIns="0" rIns="0" bIns="0" upright="1"/>
                            </wps:wsp>
                            <wps:wsp>
                              <wps:cNvPr id="135" name="直线 45"/>
                              <wps:cNvCnPr/>
                              <wps:spPr>
                                <a:xfrm>
                                  <a:off x="2888" y="4260"/>
                                  <a:ext cx="945" cy="0"/>
                                </a:xfrm>
                                <a:prstGeom prst="line">
                                  <a:avLst/>
                                </a:prstGeom>
                                <a:ln w="9525" cap="flat" cmpd="sng">
                                  <a:solidFill>
                                    <a:srgbClr val="000000"/>
                                  </a:solidFill>
                                  <a:prstDash val="solid"/>
                                  <a:headEnd type="none" w="med" len="med"/>
                                  <a:tailEnd type="triangle" w="sm" len="med"/>
                                </a:ln>
                              </wps:spPr>
                              <wps:bodyPr upright="1"/>
                            </wps:wsp>
                            <wps:wsp>
                              <wps:cNvPr id="146" name="矩形 46"/>
                              <wps:cNvSpPr/>
                              <wps:spPr>
                                <a:xfrm>
                                  <a:off x="3833" y="4104"/>
                                  <a:ext cx="1050" cy="312"/>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格栅</w:t>
                                    </w:r>
                                  </w:p>
                                </w:txbxContent>
                              </wps:txbx>
                              <wps:bodyPr wrap="square" lIns="0" tIns="0" rIns="0" bIns="0" upright="1"/>
                            </wps:wsp>
                            <wps:wsp>
                              <wps:cNvPr id="151" name="直线 47"/>
                              <wps:cNvCnPr/>
                              <wps:spPr>
                                <a:xfrm>
                                  <a:off x="4883" y="4260"/>
                                  <a:ext cx="945" cy="0"/>
                                </a:xfrm>
                                <a:prstGeom prst="line">
                                  <a:avLst/>
                                </a:prstGeom>
                                <a:ln w="9525" cap="flat" cmpd="sng">
                                  <a:solidFill>
                                    <a:srgbClr val="000000"/>
                                  </a:solidFill>
                                  <a:prstDash val="solid"/>
                                  <a:headEnd type="none" w="med" len="med"/>
                                  <a:tailEnd type="triangle" w="sm" len="med"/>
                                </a:ln>
                              </wps:spPr>
                              <wps:bodyPr upright="1"/>
                            </wps:wsp>
                            <wps:wsp>
                              <wps:cNvPr id="152" name="矩形 48"/>
                              <wps:cNvSpPr/>
                              <wps:spPr>
                                <a:xfrm>
                                  <a:off x="5828" y="4104"/>
                                  <a:ext cx="735" cy="312"/>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调节池</w:t>
                                    </w:r>
                                  </w:p>
                                </w:txbxContent>
                              </wps:txbx>
                              <wps:bodyPr wrap="square" lIns="0" tIns="0" rIns="0" bIns="0" upright="1"/>
                            </wps:wsp>
                            <wps:wsp>
                              <wps:cNvPr id="153" name="直线 49"/>
                              <wps:cNvCnPr/>
                              <wps:spPr>
                                <a:xfrm>
                                  <a:off x="6563" y="4260"/>
                                  <a:ext cx="840" cy="0"/>
                                </a:xfrm>
                                <a:prstGeom prst="line">
                                  <a:avLst/>
                                </a:prstGeom>
                                <a:ln w="9525" cap="flat" cmpd="sng">
                                  <a:solidFill>
                                    <a:srgbClr val="000000"/>
                                  </a:solidFill>
                                  <a:prstDash val="solid"/>
                                  <a:headEnd type="none" w="med" len="med"/>
                                  <a:tailEnd type="triangle" w="sm" len="med"/>
                                </a:ln>
                              </wps:spPr>
                              <wps:bodyPr upright="1"/>
                            </wps:wsp>
                            <wps:wsp>
                              <wps:cNvPr id="154" name="矩形 50"/>
                              <wps:cNvSpPr/>
                              <wps:spPr>
                                <a:xfrm>
                                  <a:off x="7403" y="4104"/>
                                  <a:ext cx="735" cy="312"/>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初沉池</w:t>
                                    </w:r>
                                  </w:p>
                                </w:txbxContent>
                              </wps:txbx>
                              <wps:bodyPr wrap="square" lIns="0" tIns="0" rIns="0" bIns="0" upright="1"/>
                            </wps:wsp>
                            <wps:wsp>
                              <wps:cNvPr id="158" name="直线 51"/>
                              <wps:cNvCnPr/>
                              <wps:spPr>
                                <a:xfrm>
                                  <a:off x="8138" y="4260"/>
                                  <a:ext cx="735" cy="0"/>
                                </a:xfrm>
                                <a:prstGeom prst="line">
                                  <a:avLst/>
                                </a:prstGeom>
                                <a:ln w="9525" cap="flat" cmpd="sng">
                                  <a:solidFill>
                                    <a:srgbClr val="000000"/>
                                  </a:solidFill>
                                  <a:prstDash val="solid"/>
                                  <a:headEnd type="none" w="med" len="med"/>
                                  <a:tailEnd type="triangle" w="sm" len="med"/>
                                </a:ln>
                              </wps:spPr>
                              <wps:bodyPr upright="1"/>
                            </wps:wsp>
                            <wps:wsp>
                              <wps:cNvPr id="159" name="矩形 52"/>
                              <wps:cNvSpPr/>
                              <wps:spPr>
                                <a:xfrm>
                                  <a:off x="8873" y="4104"/>
                                  <a:ext cx="1260" cy="312"/>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缺氧池</w:t>
                                    </w:r>
                                  </w:p>
                                </w:txbxContent>
                              </wps:txbx>
                              <wps:bodyPr wrap="square" lIns="0" tIns="0" rIns="0" bIns="0" upright="1"/>
                            </wps:wsp>
                            <wps:wsp>
                              <wps:cNvPr id="160" name="直线 53"/>
                              <wps:cNvCnPr/>
                              <wps:spPr>
                                <a:xfrm>
                                  <a:off x="9503" y="4416"/>
                                  <a:ext cx="0" cy="1404"/>
                                </a:xfrm>
                                <a:prstGeom prst="line">
                                  <a:avLst/>
                                </a:prstGeom>
                                <a:ln w="9525" cap="flat" cmpd="sng">
                                  <a:solidFill>
                                    <a:srgbClr val="000000"/>
                                  </a:solidFill>
                                  <a:prstDash val="solid"/>
                                  <a:headEnd type="none" w="med" len="med"/>
                                  <a:tailEnd type="triangle" w="sm" len="med"/>
                                </a:ln>
                              </wps:spPr>
                              <wps:bodyPr upright="1"/>
                            </wps:wsp>
                            <wps:wsp>
                              <wps:cNvPr id="161" name="矩形 54"/>
                              <wps:cNvSpPr/>
                              <wps:spPr>
                                <a:xfrm>
                                  <a:off x="8873" y="5820"/>
                                  <a:ext cx="1260" cy="312"/>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好氧生化池</w:t>
                                    </w:r>
                                  </w:p>
                                </w:txbxContent>
                              </wps:txbx>
                              <wps:bodyPr wrap="square" lIns="0" tIns="0" rIns="0" bIns="0" upright="1"/>
                            </wps:wsp>
                            <wps:wsp>
                              <wps:cNvPr id="162" name="直线 55"/>
                              <wps:cNvCnPr/>
                              <wps:spPr>
                                <a:xfrm flipH="1">
                                  <a:off x="8138" y="5976"/>
                                  <a:ext cx="735" cy="0"/>
                                </a:xfrm>
                                <a:prstGeom prst="line">
                                  <a:avLst/>
                                </a:prstGeom>
                                <a:ln w="9525" cap="flat" cmpd="sng">
                                  <a:solidFill>
                                    <a:srgbClr val="000000"/>
                                  </a:solidFill>
                                  <a:prstDash val="solid"/>
                                  <a:headEnd type="none" w="med" len="med"/>
                                  <a:tailEnd type="triangle" w="sm" len="med"/>
                                </a:ln>
                              </wps:spPr>
                              <wps:bodyPr upright="1"/>
                            </wps:wsp>
                            <wps:wsp>
                              <wps:cNvPr id="163" name="矩形 56"/>
                              <wps:cNvSpPr/>
                              <wps:spPr>
                                <a:xfrm>
                                  <a:off x="7403" y="5820"/>
                                  <a:ext cx="735" cy="312"/>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二沉池</w:t>
                                    </w:r>
                                  </w:p>
                                </w:txbxContent>
                              </wps:txbx>
                              <wps:bodyPr wrap="square" lIns="0" tIns="0" rIns="0" bIns="0" upright="1"/>
                            </wps:wsp>
                            <wps:wsp>
                              <wps:cNvPr id="206" name="直线 57"/>
                              <wps:cNvCnPr/>
                              <wps:spPr>
                                <a:xfrm flipH="1">
                                  <a:off x="6563" y="5976"/>
                                  <a:ext cx="840" cy="0"/>
                                </a:xfrm>
                                <a:prstGeom prst="line">
                                  <a:avLst/>
                                </a:prstGeom>
                                <a:ln w="9525" cap="flat" cmpd="sng">
                                  <a:solidFill>
                                    <a:srgbClr val="000000"/>
                                  </a:solidFill>
                                  <a:prstDash val="solid"/>
                                  <a:headEnd type="none" w="med" len="med"/>
                                  <a:tailEnd type="triangle" w="sm" len="med"/>
                                </a:ln>
                              </wps:spPr>
                              <wps:bodyPr upright="1"/>
                            </wps:wsp>
                            <wps:wsp>
                              <wps:cNvPr id="207" name="矩形 58"/>
                              <wps:cNvSpPr/>
                              <wps:spPr>
                                <a:xfrm>
                                  <a:off x="6038" y="5820"/>
                                  <a:ext cx="525" cy="312"/>
                                </a:xfrm>
                                <a:prstGeom prst="rect">
                                  <a:avLst/>
                                </a:prstGeom>
                                <a:noFill/>
                                <a:ln>
                                  <a:noFill/>
                                </a:ln>
                              </wps:spPr>
                              <wps:txbx>
                                <w:txbxContent>
                                  <w:p>
                                    <w:pPr>
                                      <w:jc w:val="center"/>
                                      <w:rPr>
                                        <w:rFonts w:hint="eastAsia"/>
                                      </w:rPr>
                                    </w:pPr>
                                    <w:r>
                                      <w:rPr>
                                        <w:rFonts w:hint="eastAsia"/>
                                      </w:rPr>
                                      <w:t>排放</w:t>
                                    </w:r>
                                  </w:p>
                                </w:txbxContent>
                              </wps:txbx>
                              <wps:bodyPr wrap="square" lIns="0" tIns="0" rIns="0" bIns="0" upright="1"/>
                            </wps:wsp>
                            <wps:wsp>
                              <wps:cNvPr id="208" name="直线 59"/>
                              <wps:cNvCnPr/>
                              <wps:spPr>
                                <a:xfrm>
                                  <a:off x="7823" y="4416"/>
                                  <a:ext cx="0" cy="1404"/>
                                </a:xfrm>
                                <a:prstGeom prst="line">
                                  <a:avLst/>
                                </a:prstGeom>
                                <a:ln w="9525" cap="flat" cmpd="sng">
                                  <a:solidFill>
                                    <a:srgbClr val="000000"/>
                                  </a:solidFill>
                                  <a:prstDash val="solid"/>
                                  <a:headEnd type="none" w="med" len="med"/>
                                  <a:tailEnd type="none" w="med" len="med"/>
                                </a:ln>
                              </wps:spPr>
                              <wps:bodyPr upright="1"/>
                            </wps:wsp>
                            <wps:wsp>
                              <wps:cNvPr id="209" name="直线 60"/>
                              <wps:cNvCnPr/>
                              <wps:spPr>
                                <a:xfrm flipH="1">
                                  <a:off x="6773" y="5196"/>
                                  <a:ext cx="1050" cy="0"/>
                                </a:xfrm>
                                <a:prstGeom prst="line">
                                  <a:avLst/>
                                </a:prstGeom>
                                <a:ln w="9525" cap="flat" cmpd="sng">
                                  <a:solidFill>
                                    <a:srgbClr val="000000"/>
                                  </a:solidFill>
                                  <a:prstDash val="solid"/>
                                  <a:headEnd type="none" w="med" len="med"/>
                                  <a:tailEnd type="triangle" w="sm" len="med"/>
                                </a:ln>
                              </wps:spPr>
                              <wps:bodyPr upright="1"/>
                            </wps:wsp>
                            <wps:wsp>
                              <wps:cNvPr id="210" name="矩形 61"/>
                              <wps:cNvSpPr/>
                              <wps:spPr>
                                <a:xfrm>
                                  <a:off x="6038" y="5040"/>
                                  <a:ext cx="735" cy="312"/>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污泥池</w:t>
                                    </w:r>
                                  </w:p>
                                </w:txbxContent>
                              </wps:txbx>
                              <wps:bodyPr wrap="square" lIns="0" tIns="0" rIns="0" bIns="0" upright="1"/>
                            </wps:wsp>
                            <wps:wsp>
                              <wps:cNvPr id="211" name="直线 62"/>
                              <wps:cNvCnPr/>
                              <wps:spPr>
                                <a:xfrm>
                                  <a:off x="4358" y="4416"/>
                                  <a:ext cx="0" cy="312"/>
                                </a:xfrm>
                                <a:prstGeom prst="line">
                                  <a:avLst/>
                                </a:prstGeom>
                                <a:ln w="9525" cap="flat" cmpd="sng">
                                  <a:solidFill>
                                    <a:srgbClr val="000000"/>
                                  </a:solidFill>
                                  <a:prstDash val="solid"/>
                                  <a:headEnd type="none" w="med" len="med"/>
                                  <a:tailEnd type="none" w="med" len="med"/>
                                </a:ln>
                              </wps:spPr>
                              <wps:bodyPr upright="1"/>
                            </wps:wsp>
                            <wps:wsp>
                              <wps:cNvPr id="212" name="直线 63"/>
                              <wps:cNvCnPr/>
                              <wps:spPr>
                                <a:xfrm>
                                  <a:off x="4358" y="4728"/>
                                  <a:ext cx="2100" cy="0"/>
                                </a:xfrm>
                                <a:prstGeom prst="line">
                                  <a:avLst/>
                                </a:prstGeom>
                                <a:ln w="9525" cap="flat" cmpd="sng">
                                  <a:solidFill>
                                    <a:srgbClr val="000000"/>
                                  </a:solidFill>
                                  <a:prstDash val="solid"/>
                                  <a:headEnd type="none" w="med" len="med"/>
                                  <a:tailEnd type="none" w="med" len="med"/>
                                </a:ln>
                              </wps:spPr>
                              <wps:bodyPr upright="1"/>
                            </wps:wsp>
                            <wps:wsp>
                              <wps:cNvPr id="213" name="直线 64"/>
                              <wps:cNvCnPr/>
                              <wps:spPr>
                                <a:xfrm>
                                  <a:off x="6458" y="4728"/>
                                  <a:ext cx="0" cy="312"/>
                                </a:xfrm>
                                <a:prstGeom prst="line">
                                  <a:avLst/>
                                </a:prstGeom>
                                <a:ln w="9525" cap="flat" cmpd="sng">
                                  <a:solidFill>
                                    <a:srgbClr val="000000"/>
                                  </a:solidFill>
                                  <a:prstDash val="solid"/>
                                  <a:headEnd type="none" w="med" len="med"/>
                                  <a:tailEnd type="triangle" w="sm" len="med"/>
                                </a:ln>
                              </wps:spPr>
                              <wps:bodyPr upright="1"/>
                            </wps:wsp>
                            <wps:wsp>
                              <wps:cNvPr id="214" name="直线 65"/>
                              <wps:cNvCnPr/>
                              <wps:spPr>
                                <a:xfrm flipH="1">
                                  <a:off x="5198" y="5196"/>
                                  <a:ext cx="840" cy="0"/>
                                </a:xfrm>
                                <a:prstGeom prst="line">
                                  <a:avLst/>
                                </a:prstGeom>
                                <a:ln w="9525" cap="flat" cmpd="sng">
                                  <a:solidFill>
                                    <a:srgbClr val="000000"/>
                                  </a:solidFill>
                                  <a:prstDash val="solid"/>
                                  <a:headEnd type="none" w="med" len="med"/>
                                  <a:tailEnd type="triangle" w="sm" len="med"/>
                                </a:ln>
                              </wps:spPr>
                              <wps:bodyPr upright="1"/>
                            </wps:wsp>
                            <wps:wsp>
                              <wps:cNvPr id="215" name="矩形 66"/>
                              <wps:cNvSpPr/>
                              <wps:spPr>
                                <a:xfrm>
                                  <a:off x="3938" y="5040"/>
                                  <a:ext cx="1260" cy="300"/>
                                </a:xfrm>
                                <a:prstGeom prst="rect">
                                  <a:avLst/>
                                </a:prstGeom>
                                <a:noFill/>
                                <a:ln>
                                  <a:noFill/>
                                </a:ln>
                              </wps:spPr>
                              <wps:txbx>
                                <w:txbxContent>
                                  <w:p>
                                    <w:pPr>
                                      <w:jc w:val="center"/>
                                      <w:rPr>
                                        <w:rFonts w:hint="eastAsia"/>
                                      </w:rPr>
                                    </w:pPr>
                                    <w:r>
                                      <w:rPr>
                                        <w:rFonts w:hint="eastAsia"/>
                                      </w:rPr>
                                      <w:t>环卫填埋</w:t>
                                    </w:r>
                                  </w:p>
                                </w:txbxContent>
                              </wps:txbx>
                              <wps:bodyPr wrap="square" lIns="0" tIns="0" rIns="0" bIns="0" upright="1"/>
                            </wps:wsp>
                            <wps:wsp>
                              <wps:cNvPr id="216" name="矩形 67"/>
                              <wps:cNvSpPr/>
                              <wps:spPr>
                                <a:xfrm>
                                  <a:off x="3623" y="6444"/>
                                  <a:ext cx="5040" cy="312"/>
                                </a:xfrm>
                                <a:prstGeom prst="rect">
                                  <a:avLst/>
                                </a:prstGeom>
                                <a:noFill/>
                                <a:ln>
                                  <a:noFill/>
                                </a:ln>
                              </wps:spPr>
                              <wps:txbx>
                                <w:txbxContent>
                                  <w:p>
                                    <w:pPr>
                                      <w:jc w:val="center"/>
                                      <w:rPr>
                                        <w:rFonts w:hint="eastAsia" w:ascii="黑体" w:eastAsia="黑体"/>
                                        <w:sz w:val="24"/>
                                      </w:rPr>
                                    </w:pPr>
                                    <w:r>
                                      <w:rPr>
                                        <w:rFonts w:hint="eastAsia" w:ascii="黑体" w:eastAsia="黑体"/>
                                        <w:sz w:val="24"/>
                                      </w:rPr>
                                      <w:t>图1</w:t>
                                    </w:r>
                                    <w:r>
                                      <w:rPr>
                                        <w:rFonts w:hint="eastAsia" w:ascii="黑体" w:eastAsia="黑体"/>
                                        <w:sz w:val="24"/>
                                        <w:lang w:val="en-US" w:eastAsia="zh-CN"/>
                                      </w:rPr>
                                      <w:t>-2</w:t>
                                    </w:r>
                                    <w:r>
                                      <w:rPr>
                                        <w:rFonts w:hint="eastAsia" w:ascii="黑体" w:eastAsia="黑体"/>
                                        <w:sz w:val="24"/>
                                      </w:rPr>
                                      <w:t xml:space="preserve">  项目污水处理工艺流程图</w:t>
                                    </w:r>
                                  </w:p>
                                  <w:p/>
                                </w:txbxContent>
                              </wps:txbx>
                              <wps:bodyPr wrap="square" lIns="0" tIns="0" rIns="0" bIns="0" upright="1"/>
                            </wps:wsp>
                          </wpg:wgp>
                        </a:graphicData>
                      </a:graphic>
                    </wp:anchor>
                  </w:drawing>
                </mc:Choice>
                <mc:Fallback>
                  <w:pict>
                    <v:group id="组合 43" o:spid="_x0000_s1026" o:spt="203" style="position:absolute;left:0pt;margin-left:6.1pt;margin-top:13.8pt;height:132.6pt;width:409.5pt;z-index:251696128;mso-width-relative:page;mso-height-relative:page;" coordorigin="1943,4104" coordsize="8190,2652" o:gfxdata="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">
                      <o:lock v:ext="edit" aspectratio="f"/>
                      <v:rect id="矩形 44" o:spid="_x0000_s1026" o:spt="1" style="position:absolute;left:1943;top:4104;height:312;width:945;" filled="f" stroked="f" coordsize="21600,21600" o:gfxdata="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JIXq/&#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jc w:val="center"/>
                                <w:rPr>
                                  <w:rFonts w:hint="eastAsia"/>
                                </w:rPr>
                              </w:pPr>
                              <w:r>
                                <w:rPr>
                                  <w:rFonts w:hint="eastAsia"/>
                                </w:rPr>
                                <w:t>生活污水</w:t>
                              </w:r>
                            </w:p>
                          </w:txbxContent>
                        </v:textbox>
                      </v:rect>
                      <v:line id="直线 45" o:spid="_x0000_s1026" o:spt="20" style="position:absolute;left:2888;top:4260;height:0;width:945;" filled="f" stroked="t" coordsize="21600,21600" o:gfxdata="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pErr4A&#10;AADc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v:rect id="矩形 46" o:spid="_x0000_s1026" o:spt="1" style="position:absolute;left:3833;top:4104;height:312;width:1050;" filled="f" stroked="t" coordsize="21600,21600" o:gfxdata="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LcV/e5AAAA3AAA&#10;AA8AAAAAAAAAAQAgAAAAIgAAAGRycy9kb3ducmV2LnhtbFBLAQIUABQAAAAIAIdO4kAzLwWeOwAA&#10;ADkAAAAQAAAAAAAAAAEAIAAAAAgBAABkcnMvc2hhcGV4bWwueG1sUEsFBgAAAAAGAAYAWwEAALID&#10;AAAAAA==&#10;">
                        <v:fill on="f" focussize="0,0"/>
                        <v:stroke color="#000000" joinstyle="miter"/>
                        <v:imagedata o:title=""/>
                        <o:lock v:ext="edit" aspectratio="f"/>
                        <v:textbox inset="0mm,0mm,0mm,0mm">
                          <w:txbxContent>
                            <w:p>
                              <w:pPr>
                                <w:jc w:val="center"/>
                                <w:rPr>
                                  <w:rFonts w:hint="eastAsia"/>
                                </w:rPr>
                              </w:pPr>
                              <w:r>
                                <w:rPr>
                                  <w:rFonts w:hint="eastAsia"/>
                                </w:rPr>
                                <w:t>格栅</w:t>
                              </w:r>
                            </w:p>
                          </w:txbxContent>
                        </v:textbox>
                      </v:rect>
                      <v:line id="直线 47" o:spid="_x0000_s1026" o:spt="20" style="position:absolute;left:4883;top:4260;height:0;width:945;" filled="f" stroked="t" coordsize="21600,21600" o:gfxdata="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HqcN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rect id="矩形 48" o:spid="_x0000_s1026" o:spt="1" style="position:absolute;left:5828;top:4104;height:312;width:735;" filled="f" stroked="t" coordsize="21600,21600" o:gfxdata="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Pscp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调节池</w:t>
                              </w:r>
                            </w:p>
                          </w:txbxContent>
                        </v:textbox>
                      </v:rect>
                      <v:line id="直线 49" o:spid="_x0000_s1026" o:spt="20" style="position:absolute;left:6563;top:4260;height:0;width:840;" filled="f" stroked="t" coordsize="21600,21600" o:gfxdata="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oCc4b4A&#10;AADc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v:rect id="矩形 50" o:spid="_x0000_s1026" o:spt="1" style="position:absolute;left:7403;top:4104;height:312;width:735;" filled="f" stroked="t" coordsize="21600,21600" o:gfxdata="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4m/rG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初沉池</w:t>
                              </w:r>
                            </w:p>
                          </w:txbxContent>
                        </v:textbox>
                      </v:rect>
                      <v:line id="直线 51" o:spid="_x0000_s1026" o:spt="20" style="position:absolute;left:8138;top:4260;height:0;width:735;" filled="f" stroked="t" coordsize="21600,21600" o:gfxdata="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cJA6Q&#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rect id="矩形 52" o:spid="_x0000_s1026" o:spt="1" style="position:absolute;left:8873;top:4104;height:312;width:1260;" filled="f" stroked="t" coordsize="21600,21600" o:gfxdata="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mlVY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jc w:val="center"/>
                                <w:rPr>
                                  <w:rFonts w:hint="eastAsia"/>
                                </w:rPr>
                              </w:pPr>
                              <w:r>
                                <w:rPr>
                                  <w:rFonts w:hint="eastAsia"/>
                                </w:rPr>
                                <w:t>缺氧池</w:t>
                              </w:r>
                            </w:p>
                          </w:txbxContent>
                        </v:textbox>
                      </v:rect>
                      <v:line id="直线 53" o:spid="_x0000_s1026" o:spt="20" style="position:absolute;left:9503;top:4416;height:1404;width:0;" filled="f" stroked="t" coordsize="21600,21600" o:gfxdata="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Psgr&#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rect id="矩形 54" o:spid="_x0000_s1026" o:spt="1" style="position:absolute;left:8873;top:5820;height:312;width:1260;" filled="f" stroked="t" coordsize="21600,21600" o:gfxdata="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aAk+O5AAAA3AAA&#10;AA8AAAAAAAAAAQAgAAAAIgAAAGRycy9kb3ducmV2LnhtbFBLAQIUABQAAAAIAIdO4kAzLwWeOwAA&#10;ADkAAAAQAAAAAAAAAAEAIAAAAAgBAABkcnMvc2hhcGV4bWwueG1sUEsFBgAAAAAGAAYAWwEAALID&#10;AAAAAA==&#10;">
                        <v:fill on="f" focussize="0,0"/>
                        <v:stroke color="#000000" joinstyle="miter"/>
                        <v:imagedata o:title=""/>
                        <o:lock v:ext="edit" aspectratio="f"/>
                        <v:textbox inset="0mm,0mm,0mm,0mm">
                          <w:txbxContent>
                            <w:p>
                              <w:pPr>
                                <w:jc w:val="center"/>
                                <w:rPr>
                                  <w:rFonts w:hint="eastAsia"/>
                                </w:rPr>
                              </w:pPr>
                              <w:r>
                                <w:rPr>
                                  <w:rFonts w:hint="eastAsia"/>
                                </w:rPr>
                                <w:t>好氧生化池</w:t>
                              </w:r>
                            </w:p>
                          </w:txbxContent>
                        </v:textbox>
                      </v:rect>
                      <v:line id="直线 55" o:spid="_x0000_s1026" o:spt="20" style="position:absolute;left:8138;top:5976;flip:x;height:0;width:735;" filled="f" stroked="t" coordsize="21600,21600" o:gfxdata="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QX2AbsAAADc&#10;AAAADwAAAAAAAAABACAAAAAiAAAAZHJzL2Rvd25yZXYueG1sUEsBAhQAFAAAAAgAh07iQDMvBZ47&#10;AAAAOQAAABAAAAAAAAAAAQAgAAAACgEAAGRycy9zaGFwZXhtbC54bWxQSwUGAAAAAAYABgBbAQAA&#10;tAMAAAAA&#10;">
                        <v:fill on="f" focussize="0,0"/>
                        <v:stroke color="#000000" joinstyle="round" endarrow="block" endarrowwidth="narrow"/>
                        <v:imagedata o:title=""/>
                        <o:lock v:ext="edit" aspectratio="f"/>
                      </v:line>
                      <v:rect id="矩形 56" o:spid="_x0000_s1026" o:spt="1" style="position:absolute;left:7403;top:5820;height:312;width:735;" filled="f" stroked="t" coordsize="21600,21600" o:gfxdata="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keqA+5AAAA3AAA&#10;AA8AAAAAAAAAAQAgAAAAIgAAAGRycy9kb3ducmV2LnhtbFBLAQIUABQAAAAIAIdO4kAzLwWeOwAA&#10;ADkAAAAQAAAAAAAAAAEAIAAAAAgBAABkcnMvc2hhcGV4bWwueG1sUEsFBgAAAAAGAAYAWwEAALID&#10;AAAAAA==&#10;">
                        <v:fill on="f" focussize="0,0"/>
                        <v:stroke color="#000000" joinstyle="miter"/>
                        <v:imagedata o:title=""/>
                        <o:lock v:ext="edit" aspectratio="f"/>
                        <v:textbox inset="0mm,0mm,0mm,0mm">
                          <w:txbxContent>
                            <w:p>
                              <w:pPr>
                                <w:jc w:val="center"/>
                                <w:rPr>
                                  <w:rFonts w:hint="eastAsia"/>
                                </w:rPr>
                              </w:pPr>
                              <w:r>
                                <w:rPr>
                                  <w:rFonts w:hint="eastAsia"/>
                                </w:rPr>
                                <w:t>二沉池</w:t>
                              </w:r>
                            </w:p>
                          </w:txbxContent>
                        </v:textbox>
                      </v:rect>
                      <v:line id="直线 57" o:spid="_x0000_s1026" o:spt="20" style="position:absolute;left:6563;top:5976;flip:x;height:0;width:840;" filled="f" stroked="t" coordsize="21600,21600" o:gfxdata="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MR03rsAAADc&#10;AAAADwAAAAAAAAABACAAAAAiAAAAZHJzL2Rvd25yZXYueG1sUEsBAhQAFAAAAAgAh07iQDMvBZ47&#10;AAAAOQAAABAAAAAAAAAAAQAgAAAACgEAAGRycy9zaGFwZXhtbC54bWxQSwUGAAAAAAYABgBbAQAA&#10;tAMAAAAA&#10;">
                        <v:fill on="f" focussize="0,0"/>
                        <v:stroke color="#000000" joinstyle="round" endarrow="block" endarrowwidth="narrow"/>
                        <v:imagedata o:title=""/>
                        <o:lock v:ext="edit" aspectratio="f"/>
                      </v:line>
                      <v:rect id="矩形 58" o:spid="_x0000_s1026" o:spt="1" style="position:absolute;left:6038;top:5820;height:312;width:525;" filled="f" stroked="f" coordsize="21600,21600" o:gfxdata="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akSz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jc w:val="center"/>
                                <w:rPr>
                                  <w:rFonts w:hint="eastAsia"/>
                                </w:rPr>
                              </w:pPr>
                              <w:r>
                                <w:rPr>
                                  <w:rFonts w:hint="eastAsia"/>
                                </w:rPr>
                                <w:t>排放</w:t>
                              </w:r>
                            </w:p>
                          </w:txbxContent>
                        </v:textbox>
                      </v:rect>
                      <v:line id="直线 59" o:spid="_x0000_s1026" o:spt="20" style="position:absolute;left:7823;top:4416;height:1404;width:0;" filled="f" stroked="t" coordsize="21600,21600" o:gfxdata="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rvRd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60" o:spid="_x0000_s1026" o:spt="20" style="position:absolute;left:6773;top:5196;flip:x;height:0;width:1050;" filled="f" stroked="t" coordsize="21600,21600" o:gfxdata="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b4Ky8AAAA&#10;3A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rect id="矩形 61" o:spid="_x0000_s1026" o:spt="1" style="position:absolute;left:6038;top:5040;height:312;width:735;" filled="f" stroked="t" coordsize="21600,21600" o:gfxdata="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rvJHm5AAAA3AAA&#10;AA8AAAAAAAAAAQAgAAAAIgAAAGRycy9kb3ducmV2LnhtbFBLAQIUABQAAAAIAIdO4kAzLwWeOwAA&#10;ADkAAAAQAAAAAAAAAAEAIAAAAAgBAABkcnMvc2hhcGV4bWwueG1sUEsFBgAAAAAGAAYAWwEAALID&#10;AAAAAA==&#10;">
                        <v:fill on="f" focussize="0,0"/>
                        <v:stroke color="#000000" joinstyle="miter"/>
                        <v:imagedata o:title=""/>
                        <o:lock v:ext="edit" aspectratio="f"/>
                        <v:textbox inset="0mm,0mm,0mm,0mm">
                          <w:txbxContent>
                            <w:p>
                              <w:pPr>
                                <w:jc w:val="center"/>
                                <w:rPr>
                                  <w:rFonts w:hint="eastAsia"/>
                                </w:rPr>
                              </w:pPr>
                              <w:r>
                                <w:rPr>
                                  <w:rFonts w:hint="eastAsia"/>
                                </w:rPr>
                                <w:t>污泥池</w:t>
                              </w:r>
                            </w:p>
                          </w:txbxContent>
                        </v:textbox>
                      </v:rect>
                      <v:line id="直线 62" o:spid="_x0000_s1026" o:spt="20" style="position:absolute;left:4358;top:4416;height:312;width:0;" filled="f" stroked="t" coordsize="21600,21600" o:gfxdata="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Tcsd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63" o:spid="_x0000_s1026" o:spt="20" style="position:absolute;left:4358;top:4728;height:0;width:2100;" filled="f" stroked="t" coordsize="21600,21600" o:gfxdata="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Z9Va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64" o:spid="_x0000_s1026" o:spt="20" style="position:absolute;left:6458;top:4728;height:312;width:0;" filled="f" stroked="t" coordsize="21600,21600" o:gfxdata="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z0Rd&#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线 65" o:spid="_x0000_s1026" o:spt="20" style="position:absolute;left:5198;top:5196;flip:x;height:0;width:840;" filled="f" stroked="t" coordsize="21600,21600" o:gfxdata="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g9nv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rect id="矩形 66" o:spid="_x0000_s1026" o:spt="1" style="position:absolute;left:3938;top:5040;height:300;width:1260;" filled="f" stroked="f" coordsize="21600,21600" o:gfxdata="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6//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jc w:val="center"/>
                                <w:rPr>
                                  <w:rFonts w:hint="eastAsia"/>
                                </w:rPr>
                              </w:pPr>
                              <w:r>
                                <w:rPr>
                                  <w:rFonts w:hint="eastAsia"/>
                                </w:rPr>
                                <w:t>环卫填埋</w:t>
                              </w:r>
                            </w:p>
                          </w:txbxContent>
                        </v:textbox>
                      </v:rect>
                      <v:rect id="矩形 67" o:spid="_x0000_s1026" o:spt="1" style="position:absolute;left:3623;top:6444;height:312;width:5040;" filled="f" stroked="f" coordsize="21600,21600" o:gfxdata="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PCGJ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jc w:val="center"/>
                                <w:rPr>
                                  <w:rFonts w:hint="eastAsia" w:ascii="黑体" w:eastAsia="黑体"/>
                                  <w:sz w:val="24"/>
                                </w:rPr>
                              </w:pPr>
                              <w:r>
                                <w:rPr>
                                  <w:rFonts w:hint="eastAsia" w:ascii="黑体" w:eastAsia="黑体"/>
                                  <w:sz w:val="24"/>
                                </w:rPr>
                                <w:t>图1</w:t>
                              </w:r>
                              <w:r>
                                <w:rPr>
                                  <w:rFonts w:hint="eastAsia" w:ascii="黑体" w:eastAsia="黑体"/>
                                  <w:sz w:val="24"/>
                                  <w:lang w:val="en-US" w:eastAsia="zh-CN"/>
                                </w:rPr>
                                <w:t>-2</w:t>
                              </w:r>
                              <w:r>
                                <w:rPr>
                                  <w:rFonts w:hint="eastAsia" w:ascii="黑体" w:eastAsia="黑体"/>
                                  <w:sz w:val="24"/>
                                </w:rPr>
                                <w:t xml:space="preserve">  项目污水处理工艺流程图</w:t>
                              </w:r>
                            </w:p>
                            <w:p/>
                          </w:txbxContent>
                        </v:textbox>
                      </v:rect>
                    </v:group>
                  </w:pict>
                </mc:Fallback>
              </mc:AlternateContent>
            </w:r>
          </w:p>
          <w:p>
            <w:pPr>
              <w:spacing w:line="480" w:lineRule="exact"/>
              <w:ind w:firstLine="480"/>
              <w:rPr>
                <w:rFonts w:hint="eastAsia" w:ascii="Times New Roman" w:hAnsi="Times New Roman" w:eastAsia="宋体"/>
                <w:sz w:val="24"/>
                <w:szCs w:val="24"/>
              </w:rPr>
            </w:pPr>
          </w:p>
          <w:p>
            <w:pPr>
              <w:spacing w:line="480" w:lineRule="exact"/>
              <w:ind w:firstLine="480"/>
              <w:rPr>
                <w:rFonts w:hint="eastAsia" w:ascii="Times New Roman" w:hAnsi="Times New Roman" w:eastAsia="宋体"/>
                <w:sz w:val="24"/>
                <w:szCs w:val="24"/>
              </w:rPr>
            </w:pPr>
          </w:p>
          <w:p>
            <w:pPr>
              <w:spacing w:line="480" w:lineRule="exact"/>
              <w:ind w:firstLine="480"/>
              <w:rPr>
                <w:rFonts w:hint="eastAsia" w:ascii="Times New Roman" w:hAnsi="Times New Roman" w:eastAsia="宋体"/>
                <w:sz w:val="24"/>
                <w:szCs w:val="24"/>
              </w:rPr>
            </w:pPr>
          </w:p>
          <w:p>
            <w:pPr>
              <w:spacing w:line="480" w:lineRule="exact"/>
              <w:ind w:firstLine="480"/>
              <w:rPr>
                <w:rFonts w:hint="eastAsia" w:ascii="Times New Roman" w:hAnsi="Times New Roman" w:eastAsia="宋体"/>
                <w:sz w:val="24"/>
                <w:szCs w:val="24"/>
              </w:rPr>
            </w:pPr>
          </w:p>
          <w:p>
            <w:pPr>
              <w:spacing w:line="480" w:lineRule="exact"/>
              <w:ind w:firstLine="480"/>
              <w:rPr>
                <w:rFonts w:hint="eastAsia" w:ascii="Times New Roman" w:hAnsi="Times New Roman" w:eastAsia="宋体"/>
                <w:sz w:val="24"/>
                <w:szCs w:val="24"/>
              </w:rPr>
            </w:pPr>
          </w:p>
          <w:p>
            <w:pPr>
              <w:spacing w:line="480" w:lineRule="exact"/>
              <w:ind w:firstLine="480"/>
              <w:rPr>
                <w:rFonts w:hint="eastAsia" w:ascii="Times New Roman" w:hAnsi="Times New Roman" w:eastAsia="宋体"/>
                <w:sz w:val="24"/>
                <w:szCs w:val="24"/>
              </w:rPr>
            </w:pPr>
            <w:r>
              <w:rPr>
                <w:rFonts w:hint="eastAsia" w:ascii="Times New Roman" w:hAnsi="Times New Roman" w:eastAsia="宋体"/>
                <w:sz w:val="24"/>
                <w:szCs w:val="24"/>
              </w:rPr>
              <w:t>项目生活污水产生及排放情况见</w:t>
            </w:r>
            <w:r>
              <w:rPr>
                <w:rFonts w:hint="eastAsia" w:ascii="Times New Roman" w:hAnsi="Times New Roman" w:eastAsia="宋体"/>
                <w:sz w:val="24"/>
                <w:szCs w:val="24"/>
                <w:lang w:eastAsia="zh-CN"/>
              </w:rPr>
              <w:t>下表</w:t>
            </w:r>
            <w:r>
              <w:rPr>
                <w:rFonts w:hint="eastAsia" w:ascii="Times New Roman" w:hAnsi="Times New Roman" w:eastAsia="宋体"/>
                <w:sz w:val="24"/>
                <w:szCs w:val="24"/>
              </w:rPr>
              <w:t>所示。</w:t>
            </w:r>
          </w:p>
          <w:p>
            <w:pPr>
              <w:spacing w:line="480" w:lineRule="exact"/>
              <w:jc w:val="center"/>
              <w:rPr>
                <w:rFonts w:ascii="Times New Roman" w:hAnsi="Times New Roman" w:eastAsia="宋体"/>
                <w:b/>
                <w:bCs/>
                <w:snapToGrid w:val="0"/>
                <w:sz w:val="24"/>
              </w:rPr>
            </w:pPr>
            <w:r>
              <w:rPr>
                <w:rFonts w:hint="eastAsia" w:ascii="Times New Roman" w:hAnsi="Times New Roman" w:eastAsia="宋体"/>
                <w:b/>
                <w:bCs/>
                <w:snapToGrid w:val="0"/>
                <w:sz w:val="24"/>
              </w:rPr>
              <w:t>表1-</w:t>
            </w:r>
            <w:r>
              <w:rPr>
                <w:rFonts w:hint="eastAsia" w:ascii="Times New Roman" w:hAnsi="Times New Roman" w:eastAsia="宋体"/>
                <w:b/>
                <w:bCs/>
                <w:snapToGrid w:val="0"/>
                <w:sz w:val="24"/>
                <w:lang w:val="en-US" w:eastAsia="zh-CN"/>
              </w:rPr>
              <w:t>8</w:t>
            </w:r>
            <w:r>
              <w:rPr>
                <w:rFonts w:hint="eastAsia" w:ascii="Times New Roman" w:hAnsi="Times New Roman" w:eastAsia="宋体"/>
                <w:b/>
                <w:bCs/>
                <w:snapToGrid w:val="0"/>
                <w:sz w:val="24"/>
              </w:rPr>
              <w:t xml:space="preserve">  拟建项目生活污水产生及排放情况</w:t>
            </w:r>
          </w:p>
          <w:tbl>
            <w:tblPr>
              <w:tblStyle w:val="2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772"/>
              <w:gridCol w:w="1366"/>
              <w:gridCol w:w="1400"/>
              <w:gridCol w:w="1321"/>
              <w:gridCol w:w="14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1" w:type="pct"/>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污染物</w:t>
                  </w:r>
                </w:p>
              </w:tc>
              <w:tc>
                <w:tcPr>
                  <w:tcW w:w="823" w:type="pct"/>
                  <w:tcBorders>
                    <w:righ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产生浓度</w:t>
                  </w:r>
                </w:p>
              </w:tc>
              <w:tc>
                <w:tcPr>
                  <w:tcW w:w="844" w:type="pct"/>
                  <w:tcBorders>
                    <w:lef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产生量</w:t>
                  </w:r>
                </w:p>
              </w:tc>
              <w:tc>
                <w:tcPr>
                  <w:tcW w:w="796" w:type="pct"/>
                  <w:tcBorders>
                    <w:righ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排放浓度</w:t>
                  </w:r>
                </w:p>
              </w:tc>
              <w:tc>
                <w:tcPr>
                  <w:tcW w:w="866" w:type="pct"/>
                  <w:tcBorders>
                    <w:lef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 w:hRule="atLeast"/>
              </w:trPr>
              <w:tc>
                <w:tcPr>
                  <w:tcW w:w="1671" w:type="pct"/>
                  <w:tcBorders>
                    <w:bottom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COD</w:t>
                  </w:r>
                </w:p>
              </w:tc>
              <w:tc>
                <w:tcPr>
                  <w:tcW w:w="823" w:type="pct"/>
                  <w:tcBorders>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350</w:t>
                  </w:r>
                  <w:r>
                    <w:rPr>
                      <w:rFonts w:hint="eastAsia" w:ascii="Times New Roman" w:hAnsi="Times New Roman" w:eastAsia="宋体"/>
                      <w:color w:val="000000"/>
                      <w:szCs w:val="24"/>
                    </w:rPr>
                    <w:t>mg/L</w:t>
                  </w:r>
                </w:p>
              </w:tc>
              <w:tc>
                <w:tcPr>
                  <w:tcW w:w="844" w:type="pct"/>
                  <w:tcBorders>
                    <w:left w:val="single" w:color="auto" w:sz="4" w:space="0"/>
                    <w:bottom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color w:val="000000"/>
                      <w:szCs w:val="24"/>
                      <w:lang w:val="en-US" w:eastAsia="zh-CN"/>
                    </w:rPr>
                    <w:t>0.918</w:t>
                  </w:r>
                  <w:r>
                    <w:rPr>
                      <w:rFonts w:hint="eastAsia" w:ascii="Times New Roman" w:hAnsi="Times New Roman" w:eastAsia="宋体"/>
                      <w:color w:val="000000"/>
                      <w:szCs w:val="24"/>
                    </w:rPr>
                    <w:t>t/a</w:t>
                  </w:r>
                </w:p>
              </w:tc>
              <w:tc>
                <w:tcPr>
                  <w:tcW w:w="796" w:type="pct"/>
                  <w:tcBorders>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100</w:t>
                  </w:r>
                  <w:r>
                    <w:rPr>
                      <w:rFonts w:hint="eastAsia" w:ascii="Times New Roman" w:hAnsi="Times New Roman" w:eastAsia="宋体"/>
                      <w:color w:val="000000"/>
                      <w:szCs w:val="24"/>
                    </w:rPr>
                    <w:t>mg/L</w:t>
                  </w:r>
                </w:p>
              </w:tc>
              <w:tc>
                <w:tcPr>
                  <w:tcW w:w="866" w:type="pct"/>
                  <w:tcBorders>
                    <w:left w:val="single" w:color="auto" w:sz="4" w:space="0"/>
                    <w:bottom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color w:val="000000"/>
                      <w:szCs w:val="24"/>
                      <w:lang w:val="en-US" w:eastAsia="zh-CN"/>
                    </w:rPr>
                    <w:t>0.262</w:t>
                  </w:r>
                  <w:r>
                    <w:rPr>
                      <w:rFonts w:hint="eastAsia" w:ascii="Times New Roman" w:hAnsi="Times New Roman" w:eastAsia="宋体"/>
                      <w:color w:val="000000"/>
                      <w:szCs w:val="24"/>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1671" w:type="pct"/>
                  <w:tcBorders>
                    <w:top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NH</w:t>
                  </w:r>
                  <w:r>
                    <w:rPr>
                      <w:rFonts w:hint="eastAsia" w:ascii="Times New Roman" w:hAnsi="Times New Roman" w:eastAsia="宋体"/>
                      <w:snapToGrid w:val="0"/>
                      <w:kern w:val="0"/>
                      <w:szCs w:val="24"/>
                      <w:vertAlign w:val="subscript"/>
                    </w:rPr>
                    <w:t>3</w:t>
                  </w:r>
                  <w:r>
                    <w:rPr>
                      <w:rFonts w:hint="eastAsia" w:ascii="Times New Roman" w:hAnsi="Times New Roman" w:eastAsia="宋体"/>
                      <w:snapToGrid w:val="0"/>
                      <w:kern w:val="0"/>
                      <w:szCs w:val="24"/>
                    </w:rPr>
                    <w:t>-N</w:t>
                  </w:r>
                </w:p>
              </w:tc>
              <w:tc>
                <w:tcPr>
                  <w:tcW w:w="823" w:type="pct"/>
                  <w:tcBorders>
                    <w:top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30</w:t>
                  </w:r>
                  <w:r>
                    <w:rPr>
                      <w:rFonts w:hint="eastAsia" w:ascii="Times New Roman" w:hAnsi="Times New Roman" w:eastAsia="宋体"/>
                      <w:color w:val="000000"/>
                      <w:szCs w:val="24"/>
                    </w:rPr>
                    <w:t>mg/L</w:t>
                  </w:r>
                </w:p>
              </w:tc>
              <w:tc>
                <w:tcPr>
                  <w:tcW w:w="844" w:type="pct"/>
                  <w:tcBorders>
                    <w:top w:val="single" w:color="auto" w:sz="4" w:space="0"/>
                    <w:lef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color w:val="000000"/>
                      <w:szCs w:val="24"/>
                    </w:rPr>
                    <w:t>0.</w:t>
                  </w:r>
                  <w:r>
                    <w:rPr>
                      <w:rFonts w:hint="eastAsia"/>
                      <w:color w:val="000000"/>
                      <w:szCs w:val="24"/>
                      <w:lang w:val="en-US" w:eastAsia="zh-CN"/>
                    </w:rPr>
                    <w:t>079</w:t>
                  </w:r>
                  <w:r>
                    <w:rPr>
                      <w:rFonts w:hint="eastAsia" w:ascii="Times New Roman" w:hAnsi="Times New Roman" w:eastAsia="宋体"/>
                      <w:color w:val="000000"/>
                      <w:szCs w:val="24"/>
                    </w:rPr>
                    <w:t>t/a</w:t>
                  </w:r>
                </w:p>
              </w:tc>
              <w:tc>
                <w:tcPr>
                  <w:tcW w:w="796" w:type="pct"/>
                  <w:tcBorders>
                    <w:top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15</w:t>
                  </w:r>
                  <w:r>
                    <w:rPr>
                      <w:rFonts w:hint="eastAsia" w:ascii="Times New Roman" w:hAnsi="Times New Roman" w:eastAsia="宋体"/>
                      <w:color w:val="000000"/>
                      <w:szCs w:val="24"/>
                    </w:rPr>
                    <w:t>mg/L</w:t>
                  </w:r>
                </w:p>
              </w:tc>
              <w:tc>
                <w:tcPr>
                  <w:tcW w:w="866" w:type="pct"/>
                  <w:tcBorders>
                    <w:top w:val="single" w:color="auto" w:sz="4" w:space="0"/>
                    <w:lef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color w:val="000000"/>
                      <w:szCs w:val="24"/>
                      <w:lang w:val="en-US" w:eastAsia="zh-CN"/>
                    </w:rPr>
                    <w:t>0.039</w:t>
                  </w:r>
                  <w:r>
                    <w:rPr>
                      <w:rFonts w:hint="eastAsia" w:ascii="Times New Roman" w:hAnsi="Times New Roman" w:eastAsia="宋体"/>
                      <w:color w:val="000000"/>
                      <w:szCs w:val="24"/>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1" w:type="pct"/>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SS</w:t>
                  </w:r>
                </w:p>
              </w:tc>
              <w:tc>
                <w:tcPr>
                  <w:tcW w:w="823" w:type="pct"/>
                  <w:tcBorders>
                    <w:righ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150</w:t>
                  </w:r>
                  <w:r>
                    <w:rPr>
                      <w:rFonts w:hint="eastAsia" w:ascii="Times New Roman" w:hAnsi="Times New Roman" w:eastAsia="宋体"/>
                      <w:color w:val="000000"/>
                      <w:szCs w:val="24"/>
                    </w:rPr>
                    <w:t>mg/L</w:t>
                  </w:r>
                </w:p>
              </w:tc>
              <w:tc>
                <w:tcPr>
                  <w:tcW w:w="844" w:type="pct"/>
                  <w:tcBorders>
                    <w:lef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color w:val="000000"/>
                      <w:szCs w:val="24"/>
                      <w:lang w:val="en-US" w:eastAsia="zh-CN"/>
                    </w:rPr>
                    <w:t>0.394</w:t>
                  </w:r>
                  <w:r>
                    <w:rPr>
                      <w:rFonts w:hint="eastAsia" w:ascii="Times New Roman" w:hAnsi="Times New Roman" w:eastAsia="宋体"/>
                      <w:color w:val="000000"/>
                      <w:szCs w:val="24"/>
                    </w:rPr>
                    <w:t>t/a</w:t>
                  </w:r>
                </w:p>
              </w:tc>
              <w:tc>
                <w:tcPr>
                  <w:tcW w:w="796" w:type="pct"/>
                  <w:tcBorders>
                    <w:righ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ascii="Times New Roman" w:hAnsi="Times New Roman" w:eastAsia="宋体"/>
                      <w:snapToGrid w:val="0"/>
                      <w:kern w:val="0"/>
                      <w:szCs w:val="24"/>
                    </w:rPr>
                    <w:t>70</w:t>
                  </w:r>
                  <w:r>
                    <w:rPr>
                      <w:rFonts w:hint="eastAsia" w:ascii="Times New Roman" w:hAnsi="Times New Roman" w:eastAsia="宋体"/>
                      <w:color w:val="000000"/>
                      <w:szCs w:val="24"/>
                    </w:rPr>
                    <w:t>mg/L</w:t>
                  </w:r>
                </w:p>
              </w:tc>
              <w:tc>
                <w:tcPr>
                  <w:tcW w:w="866" w:type="pct"/>
                  <w:tcBorders>
                    <w:left w:val="single" w:color="auto" w:sz="4" w:space="0"/>
                  </w:tcBorders>
                  <w:noWrap w:val="0"/>
                  <w:vAlign w:val="center"/>
                </w:tcPr>
                <w:p>
                  <w:pPr>
                    <w:adjustRightInd w:val="0"/>
                    <w:snapToGrid w:val="0"/>
                    <w:spacing w:line="360" w:lineRule="exact"/>
                    <w:jc w:val="center"/>
                    <w:rPr>
                      <w:rFonts w:hint="eastAsia" w:ascii="Times New Roman" w:hAnsi="Times New Roman" w:eastAsia="宋体"/>
                      <w:snapToGrid w:val="0"/>
                      <w:kern w:val="0"/>
                      <w:szCs w:val="24"/>
                    </w:rPr>
                  </w:pPr>
                  <w:r>
                    <w:rPr>
                      <w:rFonts w:hint="eastAsia"/>
                      <w:color w:val="000000"/>
                      <w:szCs w:val="24"/>
                      <w:lang w:val="en-US" w:eastAsia="zh-CN"/>
                    </w:rPr>
                    <w:t>0.184</w:t>
                  </w:r>
                  <w:r>
                    <w:rPr>
                      <w:rFonts w:hint="eastAsia" w:ascii="Times New Roman" w:hAnsi="Times New Roman" w:eastAsia="宋体"/>
                      <w:color w:val="000000"/>
                      <w:szCs w:val="24"/>
                    </w:rPr>
                    <w:t>t/a</w:t>
                  </w:r>
                </w:p>
              </w:tc>
            </w:tr>
          </w:tbl>
          <w:p>
            <w:pPr>
              <w:tabs>
                <w:tab w:val="left" w:pos="561"/>
              </w:tabs>
              <w:spacing w:line="360" w:lineRule="auto"/>
              <w:ind w:right="105" w:rightChars="50" w:firstLine="480" w:firstLineChars="200"/>
              <w:jc w:val="left"/>
              <w:rPr>
                <w:rFonts w:ascii="Times New Roman" w:hAnsi="Times New Roman" w:eastAsia="宋体"/>
                <w:sz w:val="24"/>
                <w:highlight w:val="none"/>
              </w:rPr>
            </w:pPr>
            <w:r>
              <w:rPr>
                <w:rFonts w:ascii="Times New Roman" w:hAnsi="Times New Roman" w:eastAsia="宋体"/>
                <w:sz w:val="24"/>
                <w:highlight w:val="none"/>
              </w:rPr>
              <w:t>③噪声</w:t>
            </w:r>
          </w:p>
          <w:p>
            <w:pPr>
              <w:spacing w:line="480" w:lineRule="exact"/>
              <w:ind w:firstLine="540" w:firstLineChars="225"/>
              <w:rPr>
                <w:rFonts w:hint="eastAsia" w:ascii="Times New Roman" w:hAnsi="Times New Roman" w:eastAsia="宋体"/>
                <w:sz w:val="24"/>
                <w:szCs w:val="24"/>
              </w:rPr>
            </w:pPr>
            <w:r>
              <w:rPr>
                <w:rFonts w:hint="eastAsia"/>
                <w:sz w:val="24"/>
                <w:szCs w:val="24"/>
                <w:lang w:val="en-US" w:eastAsia="zh-CN"/>
              </w:rPr>
              <w:t>现有</w:t>
            </w:r>
            <w:r>
              <w:rPr>
                <w:rFonts w:hint="eastAsia" w:ascii="Times New Roman" w:hAnsi="Times New Roman" w:eastAsia="宋体"/>
                <w:sz w:val="24"/>
                <w:szCs w:val="24"/>
              </w:rPr>
              <w:t>项目主要噪声污染源为设备噪声，包括装载机、颚式破碎机、提升机、圆锥破碎机、直线振动筛、磁选机、高压磨粉机、鼓风机、水泵等，主要噪声设备数量及噪声源强见</w:t>
            </w:r>
            <w:r>
              <w:rPr>
                <w:rFonts w:hint="eastAsia" w:ascii="Times New Roman" w:hAnsi="Times New Roman" w:eastAsia="宋体"/>
                <w:sz w:val="24"/>
                <w:szCs w:val="24"/>
                <w:lang w:eastAsia="zh-CN"/>
              </w:rPr>
              <w:t>下表</w:t>
            </w:r>
            <w:r>
              <w:rPr>
                <w:rFonts w:hint="eastAsia" w:ascii="Times New Roman" w:hAnsi="Times New Roman" w:eastAsia="宋体"/>
                <w:sz w:val="24"/>
                <w:szCs w:val="24"/>
              </w:rPr>
              <w:t>所示。</w:t>
            </w:r>
          </w:p>
          <w:p>
            <w:pPr>
              <w:spacing w:line="480" w:lineRule="exact"/>
              <w:jc w:val="center"/>
              <w:rPr>
                <w:rFonts w:hint="eastAsia" w:ascii="Times New Roman" w:hAnsi="Times New Roman" w:eastAsia="宋体"/>
                <w:b/>
                <w:bCs/>
                <w:sz w:val="24"/>
                <w:szCs w:val="24"/>
              </w:rPr>
            </w:pPr>
            <w:r>
              <w:rPr>
                <w:rFonts w:hint="eastAsia" w:ascii="Times New Roman" w:hAnsi="Times New Roman" w:eastAsia="宋体"/>
                <w:b/>
                <w:bCs/>
                <w:sz w:val="24"/>
                <w:szCs w:val="24"/>
              </w:rPr>
              <w:t>表1</w:t>
            </w:r>
            <w:r>
              <w:rPr>
                <w:rFonts w:hint="eastAsia" w:ascii="Times New Roman" w:hAnsi="Times New Roman" w:eastAsia="宋体"/>
                <w:b/>
                <w:bCs/>
                <w:sz w:val="24"/>
                <w:szCs w:val="24"/>
                <w:lang w:val="en-US" w:eastAsia="zh-CN"/>
              </w:rPr>
              <w:t>-9</w:t>
            </w:r>
            <w:r>
              <w:rPr>
                <w:rFonts w:hint="eastAsia" w:ascii="Times New Roman" w:hAnsi="Times New Roman" w:eastAsia="宋体"/>
                <w:b/>
                <w:bCs/>
                <w:sz w:val="24"/>
                <w:szCs w:val="24"/>
              </w:rPr>
              <w:t xml:space="preserve">  主要设备噪声源强一览表    dB(A)</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2509"/>
              <w:gridCol w:w="1659"/>
              <w:gridCol w:w="1659"/>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编号</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噪声源</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数量（台）</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等效声级</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作业方式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1</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装载机</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6</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75～85</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连续式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2</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颚式破碎机</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12</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85～95</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连续式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3</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提升机</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12</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70～85</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连续式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4</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圆锥破碎机</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12</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85～95</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连续式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5</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直线振动筛</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12</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85～95</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间歇式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6</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磁选机</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12</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75～85</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连续式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3" w:hRule="atLeast"/>
              </w:trPr>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7</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高压磨粉机</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6</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85～95</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连续式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8</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鼓风机</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若干</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75～85</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连续式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91" w:type="pct"/>
                  <w:noWrap w:val="0"/>
                  <w:vAlign w:val="top"/>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9</w:t>
                  </w:r>
                </w:p>
              </w:tc>
              <w:tc>
                <w:tcPr>
                  <w:tcW w:w="1512"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水泵</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若干</w:t>
                  </w:r>
                </w:p>
              </w:tc>
              <w:tc>
                <w:tcPr>
                  <w:tcW w:w="1000"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70～80</w:t>
                  </w:r>
                </w:p>
              </w:tc>
              <w:tc>
                <w:tcPr>
                  <w:tcW w:w="997" w:type="pct"/>
                  <w:noWrap w:val="0"/>
                  <w:vAlign w:val="center"/>
                </w:tcPr>
                <w:p>
                  <w:pPr>
                    <w:spacing w:line="260" w:lineRule="exact"/>
                    <w:jc w:val="center"/>
                    <w:rPr>
                      <w:rFonts w:hint="eastAsia" w:ascii="Times New Roman" w:hAnsi="Times New Roman" w:eastAsia="宋体"/>
                      <w:szCs w:val="21"/>
                    </w:rPr>
                  </w:pPr>
                  <w:r>
                    <w:rPr>
                      <w:rFonts w:hint="eastAsia" w:ascii="Times New Roman" w:hAnsi="Times New Roman" w:eastAsia="宋体"/>
                      <w:szCs w:val="21"/>
                    </w:rPr>
                    <w:t>连续式</w:t>
                  </w:r>
                </w:p>
              </w:tc>
            </w:tr>
          </w:tbl>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治理措施：</w:t>
            </w:r>
            <w:r>
              <w:rPr>
                <w:rFonts w:hint="eastAsia"/>
                <w:sz w:val="24"/>
                <w:szCs w:val="24"/>
                <w:lang w:val="en-US" w:eastAsia="zh-CN"/>
              </w:rPr>
              <w:t>现有</w:t>
            </w:r>
            <w:r>
              <w:rPr>
                <w:rFonts w:hint="eastAsia" w:ascii="Times New Roman" w:hAnsi="Times New Roman" w:eastAsia="宋体"/>
                <w:sz w:val="24"/>
                <w:szCs w:val="24"/>
              </w:rPr>
              <w:t>项目主要选用低噪声设备，同时对噪声设备采用隔音、减震以及独立基础等降噪措施，各设备的噪声治理措施及治理效果见</w:t>
            </w:r>
            <w:r>
              <w:rPr>
                <w:rFonts w:hint="eastAsia" w:ascii="Times New Roman" w:hAnsi="Times New Roman" w:eastAsia="宋体"/>
                <w:sz w:val="24"/>
                <w:szCs w:val="24"/>
                <w:lang w:eastAsia="zh-CN"/>
              </w:rPr>
              <w:t>下表</w:t>
            </w:r>
            <w:r>
              <w:rPr>
                <w:rFonts w:hint="eastAsia" w:ascii="Times New Roman" w:hAnsi="Times New Roman" w:eastAsia="宋体"/>
                <w:sz w:val="24"/>
                <w:szCs w:val="24"/>
              </w:rPr>
              <w:t>。</w:t>
            </w:r>
          </w:p>
          <w:p>
            <w:pPr>
              <w:spacing w:line="480" w:lineRule="exact"/>
              <w:jc w:val="center"/>
              <w:rPr>
                <w:rFonts w:hint="eastAsia" w:ascii="Times New Roman" w:hAnsi="Times New Roman" w:eastAsia="宋体"/>
                <w:b/>
                <w:bCs/>
                <w:sz w:val="24"/>
                <w:szCs w:val="24"/>
              </w:rPr>
            </w:pPr>
            <w:r>
              <w:rPr>
                <w:rFonts w:hint="eastAsia" w:ascii="Times New Roman" w:hAnsi="Times New Roman" w:eastAsia="宋体"/>
                <w:b/>
                <w:bCs/>
                <w:sz w:val="24"/>
                <w:szCs w:val="24"/>
              </w:rPr>
              <w:t>表1</w:t>
            </w:r>
            <w:r>
              <w:rPr>
                <w:rFonts w:hint="eastAsia" w:ascii="Times New Roman" w:hAnsi="Times New Roman" w:eastAsia="宋体"/>
                <w:b/>
                <w:bCs/>
                <w:sz w:val="24"/>
                <w:szCs w:val="24"/>
                <w:lang w:val="en-US" w:eastAsia="zh-CN"/>
              </w:rPr>
              <w:t>-10</w:t>
            </w:r>
            <w:r>
              <w:rPr>
                <w:rFonts w:hint="eastAsia" w:ascii="Times New Roman" w:hAnsi="Times New Roman" w:eastAsia="宋体"/>
                <w:b/>
                <w:bCs/>
                <w:sz w:val="24"/>
                <w:szCs w:val="24"/>
              </w:rPr>
              <w:t xml:space="preserve">  主要噪声治理措施及治理效果一览表    单位：dB（A）</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706"/>
              <w:gridCol w:w="1221"/>
              <w:gridCol w:w="2434"/>
              <w:gridCol w:w="977"/>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编号</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噪声源</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等效声级</w:t>
                  </w:r>
                </w:p>
              </w:tc>
              <w:tc>
                <w:tcPr>
                  <w:tcW w:w="1467"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治理措施</w:t>
                  </w:r>
                </w:p>
              </w:tc>
              <w:tc>
                <w:tcPr>
                  <w:tcW w:w="589"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降噪量</w:t>
                  </w:r>
                </w:p>
              </w:tc>
              <w:tc>
                <w:tcPr>
                  <w:tcW w:w="736"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zCs w:val="21"/>
                    </w:rPr>
                    <w:t>排放源强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1</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装载机</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75～85</w:t>
                  </w:r>
                </w:p>
              </w:tc>
              <w:tc>
                <w:tcPr>
                  <w:tcW w:w="1467"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napToGrid w:val="0"/>
                      <w:szCs w:val="21"/>
                    </w:rPr>
                    <w:t>减振垫、厂房隔声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65～75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2</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颚式破碎机</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85～95</w:t>
                  </w:r>
                </w:p>
              </w:tc>
              <w:tc>
                <w:tcPr>
                  <w:tcW w:w="1467"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napToGrid w:val="0"/>
                      <w:szCs w:val="21"/>
                    </w:rPr>
                    <w:t>独立基础、厂房隔声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3</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提升机</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70～85</w:t>
                  </w:r>
                </w:p>
              </w:tc>
              <w:tc>
                <w:tcPr>
                  <w:tcW w:w="1467"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独立基础、厂房隔声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60～75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4</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圆锥破碎机</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85～95</w:t>
                  </w:r>
                </w:p>
              </w:tc>
              <w:tc>
                <w:tcPr>
                  <w:tcW w:w="1467"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独立基础、厂房隔声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5</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直线振动筛</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85～95</w:t>
                  </w:r>
                </w:p>
              </w:tc>
              <w:tc>
                <w:tcPr>
                  <w:tcW w:w="1467"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独立基础、厂房隔声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6</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磁选机</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75～85</w:t>
                  </w:r>
                </w:p>
              </w:tc>
              <w:tc>
                <w:tcPr>
                  <w:tcW w:w="1467"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独立基础、厂房隔声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65～75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高压磨粉机</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85～95</w:t>
                  </w:r>
                </w:p>
              </w:tc>
              <w:tc>
                <w:tcPr>
                  <w:tcW w:w="1467"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独立基础、厂房隔声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8</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鼓风机</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75～85</w:t>
                  </w:r>
                </w:p>
              </w:tc>
              <w:tc>
                <w:tcPr>
                  <w:tcW w:w="1467"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减震垫、厂房隔声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65～75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9</w:t>
                  </w:r>
                </w:p>
              </w:tc>
              <w:tc>
                <w:tcPr>
                  <w:tcW w:w="1028"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水泵</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70～80</w:t>
                  </w:r>
                </w:p>
              </w:tc>
              <w:tc>
                <w:tcPr>
                  <w:tcW w:w="1467"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减震垫、厂房隔声</w:t>
                  </w:r>
                </w:p>
              </w:tc>
              <w:tc>
                <w:tcPr>
                  <w:tcW w:w="589" w:type="pct"/>
                  <w:noWrap w:val="0"/>
                  <w:vAlign w:val="center"/>
                </w:tcPr>
                <w:p>
                  <w:pPr>
                    <w:spacing w:line="280" w:lineRule="exact"/>
                    <w:jc w:val="center"/>
                    <w:rPr>
                      <w:rFonts w:hint="eastAsia" w:ascii="Times New Roman" w:hAnsi="Times New Roman" w:eastAsia="宋体"/>
                      <w:snapToGrid w:val="0"/>
                      <w:szCs w:val="21"/>
                    </w:rPr>
                  </w:pPr>
                  <w:r>
                    <w:rPr>
                      <w:rFonts w:hint="eastAsia" w:ascii="Times New Roman" w:hAnsi="Times New Roman" w:eastAsia="宋体"/>
                      <w:snapToGrid w:val="0"/>
                      <w:szCs w:val="21"/>
                    </w:rPr>
                    <w:t>～10</w:t>
                  </w:r>
                </w:p>
              </w:tc>
              <w:tc>
                <w:tcPr>
                  <w:tcW w:w="736" w:type="pct"/>
                  <w:noWrap w:val="0"/>
                  <w:vAlign w:val="center"/>
                </w:tcPr>
                <w:p>
                  <w:pPr>
                    <w:spacing w:line="280" w:lineRule="exact"/>
                    <w:jc w:val="center"/>
                    <w:rPr>
                      <w:rFonts w:hint="eastAsia" w:ascii="Times New Roman" w:hAnsi="Times New Roman" w:eastAsia="宋体"/>
                      <w:szCs w:val="21"/>
                    </w:rPr>
                  </w:pPr>
                  <w:r>
                    <w:rPr>
                      <w:rFonts w:hint="eastAsia" w:ascii="Times New Roman" w:hAnsi="Times New Roman" w:eastAsia="宋体"/>
                      <w:szCs w:val="21"/>
                    </w:rPr>
                    <w:t>60～70</w:t>
                  </w:r>
                </w:p>
              </w:tc>
            </w:tr>
          </w:tbl>
          <w:p>
            <w:pPr>
              <w:pStyle w:val="12"/>
              <w:spacing w:after="0" w:line="360" w:lineRule="auto"/>
              <w:ind w:firstLine="480" w:firstLineChars="200"/>
              <w:rPr>
                <w:rFonts w:ascii="Times New Roman" w:hAnsi="Times New Roman" w:eastAsia="宋体"/>
                <w:sz w:val="24"/>
                <w:szCs w:val="22"/>
                <w:highlight w:val="none"/>
              </w:rPr>
            </w:pPr>
            <w:r>
              <w:rPr>
                <w:rFonts w:ascii="Times New Roman" w:hAnsi="Times New Roman" w:eastAsia="宋体"/>
                <w:sz w:val="24"/>
                <w:szCs w:val="22"/>
                <w:highlight w:val="none"/>
              </w:rPr>
              <w:t>④固体废物</w:t>
            </w:r>
          </w:p>
          <w:p>
            <w:pPr>
              <w:spacing w:line="480" w:lineRule="exact"/>
              <w:ind w:firstLine="540" w:firstLineChars="225"/>
              <w:rPr>
                <w:rFonts w:hint="eastAsia" w:ascii="Times New Roman" w:hAnsi="Times New Roman" w:eastAsia="宋体"/>
                <w:sz w:val="24"/>
                <w:szCs w:val="24"/>
              </w:rPr>
            </w:pPr>
            <w:r>
              <w:rPr>
                <w:rFonts w:hint="eastAsia"/>
                <w:sz w:val="24"/>
                <w:szCs w:val="24"/>
                <w:lang w:val="en-US" w:eastAsia="zh-CN"/>
              </w:rPr>
              <w:t>现有</w:t>
            </w:r>
            <w:r>
              <w:rPr>
                <w:rFonts w:hint="eastAsia" w:ascii="Times New Roman" w:hAnsi="Times New Roman" w:eastAsia="宋体"/>
                <w:sz w:val="24"/>
                <w:szCs w:val="24"/>
              </w:rPr>
              <w:t>项目生产过程中产生的固体废物主要有各产品生产线产生的布袋除尘器除尘灰，直线振动筛废渣，成型过程中产生的废品，烧成过程中产生的废品；生活垃圾、污水处理系统污泥等。</w:t>
            </w:r>
          </w:p>
          <w:p>
            <w:pPr>
              <w:spacing w:line="480" w:lineRule="exact"/>
              <w:ind w:firstLine="480" w:firstLineChars="200"/>
              <w:rPr>
                <w:rFonts w:hint="eastAsia" w:ascii="Times New Roman" w:hAnsi="Times New Roman" w:eastAsia="宋体"/>
                <w:sz w:val="24"/>
                <w:szCs w:val="24"/>
              </w:rPr>
            </w:pPr>
            <w:r>
              <w:rPr>
                <w:rFonts w:hint="eastAsia"/>
                <w:sz w:val="24"/>
                <w:szCs w:val="24"/>
                <w:lang w:val="en-US" w:eastAsia="zh-CN"/>
              </w:rPr>
              <w:t>现有</w:t>
            </w:r>
            <w:r>
              <w:rPr>
                <w:rFonts w:hint="eastAsia" w:ascii="Times New Roman" w:hAnsi="Times New Roman" w:eastAsia="宋体"/>
                <w:sz w:val="24"/>
                <w:szCs w:val="24"/>
              </w:rPr>
              <w:t>项目固废的产生以及处置情况见</w:t>
            </w:r>
            <w:r>
              <w:rPr>
                <w:rFonts w:hint="eastAsia" w:ascii="Times New Roman" w:hAnsi="Times New Roman" w:eastAsia="宋体"/>
                <w:sz w:val="24"/>
                <w:szCs w:val="24"/>
                <w:lang w:eastAsia="zh-CN"/>
              </w:rPr>
              <w:t>下表</w:t>
            </w:r>
            <w:r>
              <w:rPr>
                <w:rFonts w:hint="eastAsia" w:ascii="Times New Roman" w:hAnsi="Times New Roman" w:eastAsia="宋体"/>
                <w:sz w:val="24"/>
                <w:szCs w:val="24"/>
              </w:rPr>
              <w:t>所示。</w:t>
            </w:r>
          </w:p>
          <w:p>
            <w:pPr>
              <w:spacing w:line="480" w:lineRule="exact"/>
              <w:ind w:firstLine="1325" w:firstLineChars="550"/>
              <w:rPr>
                <w:rFonts w:hint="eastAsia" w:ascii="Times New Roman" w:hAnsi="Times New Roman" w:eastAsia="宋体"/>
                <w:b/>
                <w:bCs/>
                <w:sz w:val="24"/>
                <w:szCs w:val="24"/>
              </w:rPr>
            </w:pPr>
            <w:r>
              <w:rPr>
                <w:rFonts w:hint="eastAsia" w:ascii="Times New Roman" w:hAnsi="Times New Roman" w:eastAsia="宋体"/>
                <w:b/>
                <w:bCs/>
                <w:sz w:val="24"/>
                <w:szCs w:val="24"/>
              </w:rPr>
              <w:t>表1</w:t>
            </w:r>
            <w:r>
              <w:rPr>
                <w:rFonts w:hint="eastAsia" w:ascii="Times New Roman" w:hAnsi="Times New Roman" w:eastAsia="宋体"/>
                <w:b/>
                <w:bCs/>
                <w:sz w:val="24"/>
                <w:szCs w:val="24"/>
                <w:lang w:val="en-US" w:eastAsia="zh-CN"/>
              </w:rPr>
              <w:t>-11</w:t>
            </w:r>
            <w:r>
              <w:rPr>
                <w:rFonts w:hint="eastAsia" w:ascii="Times New Roman" w:hAnsi="Times New Roman" w:eastAsia="宋体"/>
                <w:b/>
                <w:bCs/>
                <w:sz w:val="24"/>
                <w:szCs w:val="24"/>
              </w:rPr>
              <w:t xml:space="preserve">  固体废物的产生及处理处置情况一览表</w:t>
            </w:r>
          </w:p>
          <w:tbl>
            <w:tblPr>
              <w:tblStyle w:val="28"/>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912"/>
              <w:gridCol w:w="675"/>
              <w:gridCol w:w="1796"/>
              <w:gridCol w:w="1665"/>
              <w:gridCol w:w="22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73" w:hRule="atLeast"/>
                <w:jc w:val="center"/>
              </w:trPr>
              <w:tc>
                <w:tcPr>
                  <w:tcW w:w="1153" w:type="pct"/>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来源</w:t>
                  </w:r>
                </w:p>
              </w:tc>
              <w:tc>
                <w:tcPr>
                  <w:tcW w:w="407" w:type="pct"/>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编号</w:t>
                  </w:r>
                </w:p>
              </w:tc>
              <w:tc>
                <w:tcPr>
                  <w:tcW w:w="1083" w:type="pct"/>
                  <w:tcBorders>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名称</w:t>
                  </w:r>
                </w:p>
              </w:tc>
              <w:tc>
                <w:tcPr>
                  <w:tcW w:w="1004" w:type="pct"/>
                  <w:tcBorders>
                    <w:lef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产生量(t/a)</w:t>
                  </w:r>
                </w:p>
              </w:tc>
              <w:tc>
                <w:tcPr>
                  <w:tcW w:w="1352" w:type="pct"/>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处理处置情况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9" w:hRule="atLeast"/>
                <w:jc w:val="center"/>
              </w:trPr>
              <w:tc>
                <w:tcPr>
                  <w:tcW w:w="1153" w:type="pct"/>
                  <w:vMerge w:val="restart"/>
                  <w:noWrap w:val="0"/>
                  <w:vAlign w:val="center"/>
                </w:tcPr>
                <w:p>
                  <w:pPr>
                    <w:spacing w:line="300" w:lineRule="exact"/>
                    <w:jc w:val="center"/>
                    <w:rPr>
                      <w:rFonts w:hint="eastAsia" w:ascii="Times New Roman" w:hAnsi="Times New Roman" w:eastAsia="宋体"/>
                      <w:szCs w:val="24"/>
                    </w:rPr>
                  </w:pPr>
                  <w:bookmarkStart w:id="0" w:name="OLE_LINK7" w:colFirst="1" w:colLast="1"/>
                  <w:bookmarkStart w:id="1" w:name="OLE_LINK6" w:colFirst="1" w:colLast="1"/>
                  <w:bookmarkStart w:id="2" w:name="_Hlk298040613"/>
                  <w:r>
                    <w:rPr>
                      <w:rFonts w:hint="eastAsia" w:ascii="Times New Roman" w:hAnsi="Times New Roman" w:eastAsia="宋体"/>
                      <w:bCs/>
                      <w:szCs w:val="24"/>
                    </w:rPr>
                    <w:t>碱性砖生产线</w:t>
                  </w:r>
                </w:p>
              </w:tc>
              <w:tc>
                <w:tcPr>
                  <w:tcW w:w="407" w:type="pct"/>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S1</w:t>
                  </w:r>
                </w:p>
              </w:tc>
              <w:tc>
                <w:tcPr>
                  <w:tcW w:w="1083" w:type="pct"/>
                  <w:tcBorders>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除尘灰</w:t>
                  </w:r>
                </w:p>
              </w:tc>
              <w:tc>
                <w:tcPr>
                  <w:tcW w:w="1004" w:type="pct"/>
                  <w:tcBorders>
                    <w:lef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62.7</w:t>
                  </w:r>
                </w:p>
              </w:tc>
              <w:tc>
                <w:tcPr>
                  <w:tcW w:w="1352" w:type="pct"/>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回用于生产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 w:hRule="atLeast"/>
                <w:jc w:val="center"/>
              </w:trPr>
              <w:tc>
                <w:tcPr>
                  <w:tcW w:w="1153" w:type="pct"/>
                  <w:vMerge w:val="continue"/>
                  <w:noWrap w:val="0"/>
                  <w:vAlign w:val="center"/>
                </w:tcPr>
                <w:p>
                  <w:pPr>
                    <w:spacing w:line="300" w:lineRule="exact"/>
                    <w:jc w:val="center"/>
                    <w:rPr>
                      <w:rFonts w:hint="eastAsia" w:ascii="Times New Roman" w:hAnsi="Times New Roman" w:eastAsia="宋体"/>
                      <w:szCs w:val="24"/>
                    </w:rPr>
                  </w:pPr>
                </w:p>
              </w:tc>
              <w:tc>
                <w:tcPr>
                  <w:tcW w:w="407"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S2</w:t>
                  </w:r>
                </w:p>
              </w:tc>
              <w:tc>
                <w:tcPr>
                  <w:tcW w:w="1083" w:type="pct"/>
                  <w:tcBorders>
                    <w:top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除尘灰</w:t>
                  </w:r>
                </w:p>
              </w:tc>
              <w:tc>
                <w:tcPr>
                  <w:tcW w:w="1004" w:type="pct"/>
                  <w:tcBorders>
                    <w:top w:val="single" w:color="auto" w:sz="4" w:space="0"/>
                    <w:left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62.7</w:t>
                  </w:r>
                </w:p>
              </w:tc>
              <w:tc>
                <w:tcPr>
                  <w:tcW w:w="1352"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回用于生产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0" w:hRule="atLeast"/>
                <w:jc w:val="center"/>
              </w:trPr>
              <w:tc>
                <w:tcPr>
                  <w:tcW w:w="1153" w:type="pct"/>
                  <w:vMerge w:val="continue"/>
                  <w:noWrap w:val="0"/>
                  <w:vAlign w:val="center"/>
                </w:tcPr>
                <w:p>
                  <w:pPr>
                    <w:spacing w:line="300" w:lineRule="exact"/>
                    <w:jc w:val="center"/>
                    <w:rPr>
                      <w:rFonts w:hint="eastAsia" w:ascii="Times New Roman" w:hAnsi="Times New Roman" w:eastAsia="宋体"/>
                      <w:szCs w:val="24"/>
                    </w:rPr>
                  </w:pPr>
                </w:p>
              </w:tc>
              <w:tc>
                <w:tcPr>
                  <w:tcW w:w="407"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S3</w:t>
                  </w:r>
                </w:p>
              </w:tc>
              <w:tc>
                <w:tcPr>
                  <w:tcW w:w="1083" w:type="pct"/>
                  <w:tcBorders>
                    <w:top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除尘灰</w:t>
                  </w:r>
                </w:p>
              </w:tc>
              <w:tc>
                <w:tcPr>
                  <w:tcW w:w="1004" w:type="pct"/>
                  <w:tcBorders>
                    <w:top w:val="single" w:color="auto" w:sz="4" w:space="0"/>
                    <w:left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62.7</w:t>
                  </w:r>
                </w:p>
              </w:tc>
              <w:tc>
                <w:tcPr>
                  <w:tcW w:w="1352"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回用于生产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85" w:hRule="atLeast"/>
                <w:jc w:val="center"/>
              </w:trPr>
              <w:tc>
                <w:tcPr>
                  <w:tcW w:w="1153" w:type="pct"/>
                  <w:vMerge w:val="continue"/>
                  <w:noWrap w:val="0"/>
                  <w:vAlign w:val="center"/>
                </w:tcPr>
                <w:p>
                  <w:pPr>
                    <w:spacing w:line="300" w:lineRule="exact"/>
                    <w:jc w:val="center"/>
                    <w:rPr>
                      <w:rFonts w:hint="eastAsia" w:ascii="Times New Roman" w:hAnsi="Times New Roman" w:eastAsia="宋体"/>
                      <w:szCs w:val="24"/>
                    </w:rPr>
                  </w:pPr>
                </w:p>
              </w:tc>
              <w:tc>
                <w:tcPr>
                  <w:tcW w:w="407"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S4</w:t>
                  </w:r>
                </w:p>
              </w:tc>
              <w:tc>
                <w:tcPr>
                  <w:tcW w:w="1083" w:type="pct"/>
                  <w:tcBorders>
                    <w:top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振动筛废渣</w:t>
                  </w:r>
                </w:p>
              </w:tc>
              <w:tc>
                <w:tcPr>
                  <w:tcW w:w="1004" w:type="pct"/>
                  <w:tcBorders>
                    <w:top w:val="single" w:color="auto" w:sz="4" w:space="0"/>
                    <w:left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2640</w:t>
                  </w:r>
                </w:p>
              </w:tc>
              <w:tc>
                <w:tcPr>
                  <w:tcW w:w="1352"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回用于生产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 w:hRule="atLeast"/>
                <w:jc w:val="center"/>
              </w:trPr>
              <w:tc>
                <w:tcPr>
                  <w:tcW w:w="1153" w:type="pct"/>
                  <w:vMerge w:val="continue"/>
                  <w:noWrap w:val="0"/>
                  <w:vAlign w:val="center"/>
                </w:tcPr>
                <w:p>
                  <w:pPr>
                    <w:spacing w:line="300" w:lineRule="exact"/>
                    <w:jc w:val="center"/>
                    <w:rPr>
                      <w:rFonts w:hint="eastAsia" w:ascii="Times New Roman" w:hAnsi="Times New Roman" w:eastAsia="宋体"/>
                      <w:szCs w:val="24"/>
                    </w:rPr>
                  </w:pPr>
                </w:p>
              </w:tc>
              <w:tc>
                <w:tcPr>
                  <w:tcW w:w="407"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S5</w:t>
                  </w:r>
                </w:p>
              </w:tc>
              <w:tc>
                <w:tcPr>
                  <w:tcW w:w="1083" w:type="pct"/>
                  <w:tcBorders>
                    <w:top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磁选机废渣</w:t>
                  </w:r>
                </w:p>
              </w:tc>
              <w:tc>
                <w:tcPr>
                  <w:tcW w:w="1004" w:type="pct"/>
                  <w:tcBorders>
                    <w:top w:val="single" w:color="auto" w:sz="4" w:space="0"/>
                    <w:left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3.3</w:t>
                  </w:r>
                </w:p>
              </w:tc>
              <w:tc>
                <w:tcPr>
                  <w:tcW w:w="1352"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出售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1153" w:type="pct"/>
                  <w:vMerge w:val="continue"/>
                  <w:noWrap w:val="0"/>
                  <w:vAlign w:val="center"/>
                </w:tcPr>
                <w:p>
                  <w:pPr>
                    <w:spacing w:line="300" w:lineRule="exact"/>
                    <w:jc w:val="center"/>
                    <w:rPr>
                      <w:rFonts w:hint="eastAsia" w:ascii="Times New Roman" w:hAnsi="Times New Roman" w:eastAsia="宋体"/>
                      <w:szCs w:val="24"/>
                    </w:rPr>
                  </w:pPr>
                </w:p>
              </w:tc>
              <w:tc>
                <w:tcPr>
                  <w:tcW w:w="407"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S6</w:t>
                  </w:r>
                </w:p>
              </w:tc>
              <w:tc>
                <w:tcPr>
                  <w:tcW w:w="1083" w:type="pct"/>
                  <w:tcBorders>
                    <w:top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除尘灰</w:t>
                  </w:r>
                </w:p>
              </w:tc>
              <w:tc>
                <w:tcPr>
                  <w:tcW w:w="1004" w:type="pct"/>
                  <w:tcBorders>
                    <w:top w:val="single" w:color="auto" w:sz="4" w:space="0"/>
                    <w:left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31.35</w:t>
                  </w:r>
                </w:p>
              </w:tc>
              <w:tc>
                <w:tcPr>
                  <w:tcW w:w="1352"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回用于生产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55" w:hRule="atLeast"/>
                <w:jc w:val="center"/>
              </w:trPr>
              <w:tc>
                <w:tcPr>
                  <w:tcW w:w="1153" w:type="pct"/>
                  <w:vMerge w:val="continue"/>
                  <w:noWrap w:val="0"/>
                  <w:vAlign w:val="center"/>
                </w:tcPr>
                <w:p>
                  <w:pPr>
                    <w:spacing w:line="300" w:lineRule="exact"/>
                    <w:jc w:val="center"/>
                    <w:rPr>
                      <w:rFonts w:hint="eastAsia" w:ascii="Times New Roman" w:hAnsi="Times New Roman" w:eastAsia="宋体"/>
                      <w:szCs w:val="24"/>
                    </w:rPr>
                  </w:pPr>
                </w:p>
              </w:tc>
              <w:tc>
                <w:tcPr>
                  <w:tcW w:w="407"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S7</w:t>
                  </w:r>
                </w:p>
              </w:tc>
              <w:tc>
                <w:tcPr>
                  <w:tcW w:w="1083" w:type="pct"/>
                  <w:tcBorders>
                    <w:top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除尘灰</w:t>
                  </w:r>
                </w:p>
              </w:tc>
              <w:tc>
                <w:tcPr>
                  <w:tcW w:w="1004" w:type="pct"/>
                  <w:tcBorders>
                    <w:top w:val="single" w:color="auto" w:sz="4" w:space="0"/>
                    <w:left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62.7</w:t>
                  </w:r>
                </w:p>
              </w:tc>
              <w:tc>
                <w:tcPr>
                  <w:tcW w:w="1352"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回用于生产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1153" w:type="pct"/>
                  <w:vMerge w:val="continue"/>
                  <w:noWrap w:val="0"/>
                  <w:vAlign w:val="center"/>
                </w:tcPr>
                <w:p>
                  <w:pPr>
                    <w:spacing w:line="300" w:lineRule="exact"/>
                    <w:jc w:val="center"/>
                    <w:rPr>
                      <w:rFonts w:hint="eastAsia" w:ascii="Times New Roman" w:hAnsi="Times New Roman" w:eastAsia="宋体"/>
                      <w:szCs w:val="24"/>
                    </w:rPr>
                  </w:pPr>
                </w:p>
              </w:tc>
              <w:tc>
                <w:tcPr>
                  <w:tcW w:w="407"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S8</w:t>
                  </w:r>
                </w:p>
              </w:tc>
              <w:tc>
                <w:tcPr>
                  <w:tcW w:w="1083" w:type="pct"/>
                  <w:tcBorders>
                    <w:top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成型废品</w:t>
                  </w:r>
                </w:p>
              </w:tc>
              <w:tc>
                <w:tcPr>
                  <w:tcW w:w="1004" w:type="pct"/>
                  <w:tcBorders>
                    <w:top w:val="single" w:color="auto" w:sz="4" w:space="0"/>
                    <w:left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330</w:t>
                  </w:r>
                </w:p>
              </w:tc>
              <w:tc>
                <w:tcPr>
                  <w:tcW w:w="1352"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回用于生产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0" w:hRule="atLeast"/>
                <w:jc w:val="center"/>
              </w:trPr>
              <w:tc>
                <w:tcPr>
                  <w:tcW w:w="1153" w:type="pct"/>
                  <w:vMerge w:val="continue"/>
                  <w:tcBorders>
                    <w:bottom w:val="single" w:color="auto" w:sz="4" w:space="0"/>
                  </w:tcBorders>
                  <w:noWrap w:val="0"/>
                  <w:vAlign w:val="center"/>
                </w:tcPr>
                <w:p>
                  <w:pPr>
                    <w:spacing w:line="300" w:lineRule="exact"/>
                    <w:jc w:val="center"/>
                    <w:rPr>
                      <w:rFonts w:hint="eastAsia" w:ascii="Times New Roman" w:hAnsi="Times New Roman" w:eastAsia="宋体"/>
                      <w:szCs w:val="24"/>
                    </w:rPr>
                  </w:pPr>
                </w:p>
              </w:tc>
              <w:tc>
                <w:tcPr>
                  <w:tcW w:w="407"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S9</w:t>
                  </w:r>
                </w:p>
              </w:tc>
              <w:tc>
                <w:tcPr>
                  <w:tcW w:w="1083" w:type="pct"/>
                  <w:tcBorders>
                    <w:top w:val="single" w:color="auto" w:sz="4" w:space="0"/>
                    <w:bottom w:val="single" w:color="auto" w:sz="4" w:space="0"/>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烧成废品</w:t>
                  </w:r>
                </w:p>
              </w:tc>
              <w:tc>
                <w:tcPr>
                  <w:tcW w:w="1004" w:type="pct"/>
                  <w:tcBorders>
                    <w:top w:val="single" w:color="auto" w:sz="4" w:space="0"/>
                    <w:left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660</w:t>
                  </w:r>
                </w:p>
              </w:tc>
              <w:tc>
                <w:tcPr>
                  <w:tcW w:w="1352" w:type="pct"/>
                  <w:tcBorders>
                    <w:top w:val="single" w:color="auto" w:sz="4" w:space="0"/>
                    <w:bottom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回用于生产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9" w:hRule="atLeast"/>
                <w:jc w:val="center"/>
              </w:trPr>
              <w:tc>
                <w:tcPr>
                  <w:tcW w:w="2643" w:type="pct"/>
                  <w:gridSpan w:val="3"/>
                  <w:tcBorders>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生活垃圾</w:t>
                  </w:r>
                </w:p>
              </w:tc>
              <w:tc>
                <w:tcPr>
                  <w:tcW w:w="1004" w:type="pct"/>
                  <w:tcBorders>
                    <w:lef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138.6</w:t>
                  </w:r>
                </w:p>
              </w:tc>
              <w:tc>
                <w:tcPr>
                  <w:tcW w:w="1352" w:type="pct"/>
                  <w:vMerge w:val="restart"/>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送生活垃圾处置场处置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643" w:type="pct"/>
                  <w:gridSpan w:val="3"/>
                  <w:tcBorders>
                    <w:righ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污水处理系统污泥</w:t>
                  </w:r>
                </w:p>
              </w:tc>
              <w:tc>
                <w:tcPr>
                  <w:tcW w:w="1004" w:type="pct"/>
                  <w:tcBorders>
                    <w:left w:val="single" w:color="auto" w:sz="4" w:space="0"/>
                  </w:tcBorders>
                  <w:noWrap w:val="0"/>
                  <w:vAlign w:val="center"/>
                </w:tcPr>
                <w:p>
                  <w:pPr>
                    <w:spacing w:line="300" w:lineRule="exact"/>
                    <w:jc w:val="center"/>
                    <w:rPr>
                      <w:rFonts w:hint="eastAsia" w:ascii="Times New Roman" w:hAnsi="Times New Roman" w:eastAsia="宋体"/>
                      <w:szCs w:val="24"/>
                    </w:rPr>
                  </w:pPr>
                  <w:r>
                    <w:rPr>
                      <w:rFonts w:hint="eastAsia" w:ascii="Times New Roman" w:hAnsi="Times New Roman" w:eastAsia="宋体"/>
                      <w:szCs w:val="24"/>
                    </w:rPr>
                    <w:t>15</w:t>
                  </w:r>
                </w:p>
              </w:tc>
              <w:tc>
                <w:tcPr>
                  <w:tcW w:w="1352" w:type="pct"/>
                  <w:vMerge w:val="continue"/>
                  <w:noWrap w:val="0"/>
                  <w:vAlign w:val="center"/>
                </w:tcPr>
                <w:p>
                  <w:pPr>
                    <w:spacing w:line="300" w:lineRule="exact"/>
                    <w:jc w:val="center"/>
                    <w:rPr>
                      <w:rFonts w:hint="eastAsia" w:ascii="Times New Roman" w:hAnsi="Times New Roman" w:eastAsia="宋体"/>
                      <w:szCs w:val="24"/>
                    </w:rPr>
                  </w:pPr>
                </w:p>
              </w:tc>
            </w:tr>
            <w:bookmarkEnd w:id="0"/>
            <w:bookmarkEnd w:id="1"/>
            <w:bookmarkEnd w:id="2"/>
          </w:tbl>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由上表可知：</w:t>
            </w:r>
            <w:r>
              <w:rPr>
                <w:rFonts w:hint="eastAsia"/>
                <w:sz w:val="24"/>
                <w:szCs w:val="24"/>
                <w:lang w:val="en-US" w:eastAsia="zh-CN"/>
              </w:rPr>
              <w:t>现有</w:t>
            </w:r>
            <w:r>
              <w:rPr>
                <w:rFonts w:hint="eastAsia" w:ascii="Times New Roman" w:hAnsi="Times New Roman" w:eastAsia="宋体"/>
                <w:sz w:val="24"/>
                <w:szCs w:val="24"/>
              </w:rPr>
              <w:t>项目生产过程中除尘灰产生量共为</w:t>
            </w:r>
            <w:r>
              <w:rPr>
                <w:rFonts w:hint="eastAsia" w:ascii="Times New Roman" w:hAnsi="Times New Roman" w:eastAsia="宋体"/>
                <w:sz w:val="24"/>
                <w:szCs w:val="24"/>
                <w:lang w:val="en-US" w:eastAsia="zh-CN"/>
              </w:rPr>
              <w:t>282.15</w:t>
            </w:r>
            <w:r>
              <w:rPr>
                <w:rFonts w:hint="eastAsia" w:ascii="Times New Roman" w:hAnsi="Times New Roman" w:eastAsia="宋体"/>
                <w:sz w:val="24"/>
                <w:szCs w:val="24"/>
              </w:rPr>
              <w:t>t/a，该部分废渣收集后回用于生产。</w:t>
            </w:r>
          </w:p>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振动筛废渣产生量共为</w:t>
            </w:r>
            <w:r>
              <w:rPr>
                <w:rFonts w:hint="eastAsia" w:ascii="Times New Roman" w:hAnsi="Times New Roman" w:eastAsia="宋体"/>
                <w:sz w:val="24"/>
                <w:szCs w:val="24"/>
                <w:lang w:val="en-US" w:eastAsia="zh-CN"/>
              </w:rPr>
              <w:t>2640</w:t>
            </w:r>
            <w:r>
              <w:rPr>
                <w:rFonts w:hint="eastAsia" w:ascii="Times New Roman" w:hAnsi="Times New Roman" w:eastAsia="宋体"/>
                <w:sz w:val="24"/>
                <w:szCs w:val="24"/>
              </w:rPr>
              <w:t>t/a，该部分废渣收集后回用于生产。</w:t>
            </w:r>
          </w:p>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磁选机废渣产生量共为</w:t>
            </w:r>
            <w:r>
              <w:rPr>
                <w:rFonts w:hint="eastAsia" w:ascii="Times New Roman" w:hAnsi="Times New Roman" w:eastAsia="宋体"/>
                <w:sz w:val="24"/>
                <w:szCs w:val="24"/>
                <w:lang w:val="en-US" w:eastAsia="zh-CN"/>
              </w:rPr>
              <w:t>3.3</w:t>
            </w:r>
            <w:r>
              <w:rPr>
                <w:rFonts w:hint="eastAsia" w:ascii="Times New Roman" w:hAnsi="Times New Roman" w:eastAsia="宋体"/>
                <w:sz w:val="24"/>
                <w:szCs w:val="24"/>
              </w:rPr>
              <w:t>t/a，该部分废渣收集后出售。</w:t>
            </w:r>
          </w:p>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成型废品产生量共为</w:t>
            </w:r>
            <w:r>
              <w:rPr>
                <w:rFonts w:hint="eastAsia" w:ascii="Times New Roman" w:hAnsi="Times New Roman" w:eastAsia="宋体"/>
                <w:sz w:val="24"/>
                <w:szCs w:val="24"/>
                <w:lang w:val="en-US" w:eastAsia="zh-CN"/>
              </w:rPr>
              <w:t>330</w:t>
            </w:r>
            <w:r>
              <w:rPr>
                <w:rFonts w:hint="eastAsia" w:ascii="Times New Roman" w:hAnsi="Times New Roman" w:eastAsia="宋体"/>
                <w:sz w:val="24"/>
                <w:szCs w:val="24"/>
              </w:rPr>
              <w:t>t/a，该部分废渣收集后回用于生产。</w:t>
            </w:r>
          </w:p>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烧成废品产生量共为</w:t>
            </w:r>
            <w:r>
              <w:rPr>
                <w:rFonts w:hint="eastAsia" w:ascii="Times New Roman" w:hAnsi="Times New Roman" w:eastAsia="宋体"/>
                <w:sz w:val="24"/>
                <w:szCs w:val="24"/>
                <w:lang w:val="en-US" w:eastAsia="zh-CN"/>
              </w:rPr>
              <w:t>660</w:t>
            </w:r>
            <w:r>
              <w:rPr>
                <w:rFonts w:hint="eastAsia" w:ascii="Times New Roman" w:hAnsi="Times New Roman" w:eastAsia="宋体"/>
                <w:sz w:val="24"/>
                <w:szCs w:val="24"/>
              </w:rPr>
              <w:t>t/a，该部分废渣收集后回用于生产。</w:t>
            </w:r>
          </w:p>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生活垃圾产生量按每人每天1kg/d计，则生活垃圾产生量约为138.6t/a，生活垃圾经收集后送生活垃圾处置场处置。</w:t>
            </w:r>
          </w:p>
          <w:p>
            <w:pPr>
              <w:spacing w:line="360" w:lineRule="auto"/>
              <w:ind w:firstLine="480" w:firstLineChars="200"/>
              <w:jc w:val="both"/>
              <w:rPr>
                <w:rFonts w:ascii="Times New Roman" w:hAnsi="Times New Roman" w:eastAsia="宋体"/>
                <w:b/>
                <w:color w:val="FF0000"/>
                <w:sz w:val="24"/>
                <w:szCs w:val="24"/>
                <w:highlight w:val="none"/>
              </w:rPr>
            </w:pPr>
            <w:r>
              <w:rPr>
                <w:rFonts w:hint="eastAsia" w:ascii="Times New Roman" w:hAnsi="Times New Roman" w:eastAsia="宋体"/>
                <w:sz w:val="24"/>
                <w:szCs w:val="24"/>
              </w:rPr>
              <w:t>项目地埋式污水处理系统污泥产生量约为15t/a，环卫填埋。</w:t>
            </w:r>
          </w:p>
          <w:p>
            <w:pPr>
              <w:spacing w:line="360" w:lineRule="auto"/>
              <w:ind w:firstLine="482" w:firstLineChars="200"/>
              <w:jc w:val="center"/>
              <w:rPr>
                <w:rFonts w:ascii="Times New Roman" w:hAnsi="Times New Roman" w:eastAsia="宋体"/>
                <w:b/>
                <w:color w:val="FF0000"/>
                <w:sz w:val="24"/>
                <w:szCs w:val="24"/>
                <w:highlight w:val="none"/>
              </w:rPr>
            </w:pPr>
          </w:p>
          <w:p>
            <w:pPr>
              <w:pStyle w:val="16"/>
              <w:rPr>
                <w:rFonts w:ascii="Times New Roman" w:hAnsi="Times New Roman" w:eastAsia="宋体"/>
                <w:b/>
                <w:color w:val="FF0000"/>
                <w:sz w:val="24"/>
                <w:szCs w:val="24"/>
                <w:highlight w:val="none"/>
              </w:rPr>
            </w:pPr>
          </w:p>
          <w:p>
            <w:pPr>
              <w:pStyle w:val="11"/>
              <w:rPr>
                <w:rFonts w:ascii="Times New Roman" w:hAnsi="Times New Roman" w:eastAsia="宋体"/>
                <w:b/>
                <w:color w:val="FF0000"/>
                <w:sz w:val="24"/>
                <w:szCs w:val="24"/>
                <w:highlight w:val="none"/>
              </w:rPr>
            </w:pPr>
          </w:p>
          <w:p>
            <w:pPr>
              <w:rPr>
                <w:rFonts w:ascii="Times New Roman" w:hAnsi="Times New Roman" w:eastAsia="宋体"/>
                <w:b/>
                <w:color w:val="FF0000"/>
                <w:sz w:val="24"/>
                <w:szCs w:val="24"/>
                <w:highlight w:val="none"/>
              </w:rPr>
            </w:pPr>
          </w:p>
          <w:p>
            <w:pPr>
              <w:pStyle w:val="16"/>
              <w:rPr>
                <w:rFonts w:ascii="Times New Roman" w:hAnsi="Times New Roman" w:eastAsia="宋体"/>
                <w:b/>
                <w:color w:val="FF0000"/>
                <w:sz w:val="24"/>
                <w:szCs w:val="24"/>
                <w:highlight w:val="none"/>
              </w:rPr>
            </w:pPr>
          </w:p>
          <w:p>
            <w:pPr>
              <w:pStyle w:val="11"/>
              <w:rPr>
                <w:rFonts w:ascii="Times New Roman" w:hAnsi="Times New Roman" w:eastAsia="宋体"/>
                <w:b/>
                <w:color w:val="FF0000"/>
                <w:sz w:val="24"/>
                <w:szCs w:val="24"/>
                <w:highlight w:val="none"/>
              </w:rPr>
            </w:pPr>
          </w:p>
          <w:p>
            <w:pPr>
              <w:rPr>
                <w:rFonts w:ascii="Times New Roman" w:hAnsi="Times New Roman" w:eastAsia="宋体"/>
                <w:b/>
                <w:color w:val="FF0000"/>
                <w:sz w:val="24"/>
                <w:szCs w:val="24"/>
                <w:highlight w:val="none"/>
              </w:rPr>
            </w:pPr>
          </w:p>
          <w:p>
            <w:pPr>
              <w:pStyle w:val="16"/>
              <w:rPr>
                <w:rFonts w:ascii="Times New Roman" w:hAnsi="Times New Roman" w:eastAsia="宋体"/>
                <w:b/>
                <w:color w:val="FF0000"/>
                <w:sz w:val="24"/>
                <w:szCs w:val="24"/>
                <w:highlight w:val="none"/>
              </w:rPr>
            </w:pPr>
          </w:p>
          <w:p>
            <w:pPr>
              <w:pStyle w:val="11"/>
              <w:rPr>
                <w:rFonts w:ascii="Times New Roman" w:hAnsi="Times New Roman" w:eastAsia="宋体"/>
                <w:b/>
                <w:color w:val="FF0000"/>
                <w:sz w:val="24"/>
                <w:szCs w:val="24"/>
                <w:highlight w:val="none"/>
              </w:rPr>
            </w:pPr>
          </w:p>
          <w:p>
            <w:pPr>
              <w:rPr>
                <w:rFonts w:ascii="Times New Roman" w:hAnsi="Times New Roman" w:eastAsia="宋体"/>
                <w:b/>
                <w:color w:val="FF0000"/>
                <w:sz w:val="24"/>
                <w:szCs w:val="24"/>
                <w:highlight w:val="none"/>
              </w:rPr>
            </w:pPr>
          </w:p>
          <w:p>
            <w:pPr>
              <w:pStyle w:val="16"/>
              <w:rPr>
                <w:rFonts w:ascii="Times New Roman" w:hAnsi="Times New Roman" w:eastAsia="宋体"/>
                <w:b/>
                <w:color w:val="FF0000"/>
                <w:sz w:val="24"/>
                <w:szCs w:val="24"/>
                <w:highlight w:val="none"/>
              </w:rPr>
            </w:pPr>
          </w:p>
          <w:p>
            <w:pPr>
              <w:pStyle w:val="11"/>
              <w:rPr>
                <w:rFonts w:ascii="Times New Roman" w:hAnsi="Times New Roman" w:eastAsia="宋体"/>
                <w:b/>
                <w:color w:val="FF0000"/>
                <w:sz w:val="24"/>
                <w:szCs w:val="24"/>
                <w:highlight w:val="none"/>
              </w:rPr>
            </w:pPr>
          </w:p>
          <w:p>
            <w:pPr>
              <w:rPr>
                <w:rFonts w:ascii="Times New Roman" w:hAnsi="Times New Roman" w:eastAsia="宋体"/>
                <w:b/>
                <w:color w:val="FF0000"/>
                <w:sz w:val="24"/>
                <w:szCs w:val="24"/>
                <w:highlight w:val="none"/>
              </w:rPr>
            </w:pPr>
          </w:p>
          <w:p>
            <w:pPr>
              <w:pStyle w:val="16"/>
              <w:rPr>
                <w:rFonts w:ascii="Times New Roman" w:hAnsi="Times New Roman" w:eastAsia="宋体"/>
                <w:b/>
                <w:color w:val="FF0000"/>
                <w:sz w:val="24"/>
                <w:szCs w:val="24"/>
                <w:highlight w:val="none"/>
              </w:rPr>
            </w:pPr>
          </w:p>
          <w:p>
            <w:pPr>
              <w:pStyle w:val="11"/>
              <w:rPr>
                <w:rFonts w:ascii="Times New Roman" w:hAnsi="Times New Roman" w:eastAsia="宋体"/>
                <w:b/>
                <w:color w:val="FF0000"/>
                <w:sz w:val="24"/>
                <w:szCs w:val="24"/>
                <w:highlight w:val="none"/>
              </w:rPr>
            </w:pPr>
          </w:p>
          <w:p>
            <w:pPr>
              <w:rPr>
                <w:rFonts w:ascii="Times New Roman" w:hAnsi="Times New Roman" w:eastAsia="宋体"/>
                <w:b/>
                <w:color w:val="FF0000"/>
                <w:sz w:val="24"/>
                <w:szCs w:val="24"/>
                <w:highlight w:val="none"/>
              </w:rPr>
            </w:pPr>
          </w:p>
          <w:p>
            <w:pPr>
              <w:pStyle w:val="16"/>
              <w:rPr>
                <w:rFonts w:ascii="Times New Roman" w:hAnsi="Times New Roman" w:eastAsia="宋体"/>
                <w:b/>
                <w:color w:val="FF0000"/>
                <w:sz w:val="24"/>
                <w:szCs w:val="24"/>
                <w:highlight w:val="none"/>
              </w:rPr>
            </w:pPr>
          </w:p>
          <w:p>
            <w:pPr>
              <w:pStyle w:val="11"/>
            </w:pPr>
          </w:p>
          <w:p>
            <w:pPr>
              <w:spacing w:line="360" w:lineRule="auto"/>
              <w:ind w:firstLine="482" w:firstLineChars="200"/>
              <w:jc w:val="center"/>
              <w:rPr>
                <w:rFonts w:ascii="Times New Roman" w:hAnsi="Times New Roman" w:eastAsia="宋体"/>
                <w:b/>
                <w:color w:val="FF0000"/>
                <w:sz w:val="24"/>
                <w:szCs w:val="24"/>
                <w:highlight w:val="none"/>
              </w:rPr>
            </w:pPr>
          </w:p>
          <w:p>
            <w:pPr>
              <w:spacing w:line="360" w:lineRule="auto"/>
              <w:ind w:firstLine="482" w:firstLineChars="200"/>
              <w:jc w:val="center"/>
              <w:rPr>
                <w:rFonts w:ascii="Times New Roman" w:hAnsi="Times New Roman" w:eastAsia="宋体"/>
                <w:b/>
                <w:color w:val="FF0000"/>
                <w:sz w:val="24"/>
                <w:szCs w:val="24"/>
                <w:highlight w:val="none"/>
              </w:rPr>
            </w:pPr>
          </w:p>
          <w:p>
            <w:pPr>
              <w:pStyle w:val="16"/>
              <w:rPr>
                <w:rFonts w:ascii="Times New Roman" w:hAnsi="Times New Roman" w:eastAsia="宋体"/>
              </w:rPr>
            </w:pPr>
          </w:p>
          <w:p>
            <w:pPr>
              <w:spacing w:line="360" w:lineRule="auto"/>
              <w:ind w:firstLine="482" w:firstLineChars="200"/>
              <w:jc w:val="center"/>
              <w:rPr>
                <w:rFonts w:ascii="Times New Roman" w:hAnsi="Times New Roman" w:eastAsia="宋体"/>
                <w:b/>
                <w:color w:val="FF0000"/>
                <w:sz w:val="24"/>
                <w:szCs w:val="24"/>
                <w:highlight w:val="none"/>
              </w:rPr>
            </w:pPr>
          </w:p>
          <w:p>
            <w:pPr>
              <w:spacing w:line="360" w:lineRule="auto"/>
              <w:ind w:firstLine="482" w:firstLineChars="200"/>
              <w:jc w:val="center"/>
              <w:rPr>
                <w:rFonts w:ascii="Times New Roman" w:hAnsi="Times New Roman" w:eastAsia="宋体"/>
                <w:b/>
                <w:color w:val="FF0000"/>
                <w:sz w:val="24"/>
                <w:szCs w:val="24"/>
                <w:highlight w:val="none"/>
              </w:rPr>
            </w:pPr>
          </w:p>
          <w:p>
            <w:pPr>
              <w:spacing w:line="360" w:lineRule="auto"/>
              <w:ind w:firstLine="482" w:firstLineChars="200"/>
              <w:jc w:val="center"/>
              <w:rPr>
                <w:rFonts w:ascii="Times New Roman" w:hAnsi="Times New Roman" w:eastAsia="宋体"/>
                <w:b/>
                <w:color w:val="FF0000"/>
                <w:sz w:val="24"/>
                <w:szCs w:val="24"/>
                <w:highlight w:val="none"/>
              </w:rPr>
            </w:pPr>
          </w:p>
          <w:p>
            <w:pPr>
              <w:spacing w:line="360" w:lineRule="auto"/>
              <w:rPr>
                <w:rFonts w:ascii="Times New Roman" w:hAnsi="Times New Roman" w:eastAsia="宋体"/>
                <w:color w:val="000000"/>
                <w:sz w:val="24"/>
                <w:highlight w:val="none"/>
              </w:rPr>
            </w:pPr>
          </w:p>
        </w:tc>
      </w:tr>
    </w:tbl>
    <w:p>
      <w:pPr>
        <w:pStyle w:val="3"/>
        <w:rPr>
          <w:rFonts w:ascii="Times New Roman" w:hAnsi="Times New Roman" w:eastAsia="宋体"/>
        </w:rPr>
      </w:pPr>
      <w:r>
        <w:rPr>
          <w:rFonts w:hint="eastAsia" w:ascii="Times New Roman" w:hAnsi="Times New Roman" w:eastAsia="宋体"/>
          <w:lang w:eastAsia="zh-CN"/>
        </w:rPr>
        <w:t>二、</w:t>
      </w:r>
      <w:r>
        <w:rPr>
          <w:rFonts w:ascii="Times New Roman" w:hAnsi="Times New Roman" w:eastAsia="宋体"/>
        </w:rPr>
        <w:t>建设项目所在地自然环境简况</w:t>
      </w:r>
    </w:p>
    <w:tbl>
      <w:tblPr>
        <w:tblStyle w:val="2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2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08" w:hRule="atLeast"/>
          <w:jc w:val="center"/>
        </w:trPr>
        <w:tc>
          <w:tcPr>
            <w:tcW w:w="924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eastAsia="宋体"/>
                <w:b/>
                <w:color w:val="000000"/>
                <w:spacing w:val="-6"/>
                <w:sz w:val="28"/>
              </w:rPr>
            </w:pPr>
            <w:r>
              <w:rPr>
                <w:rFonts w:ascii="Times New Roman" w:hAnsi="Times New Roman" w:eastAsia="宋体"/>
                <w:b/>
                <w:color w:val="000000"/>
                <w:spacing w:val="-6"/>
                <w:sz w:val="28"/>
              </w:rPr>
              <w:t>自然环境简况（地形、地貌、地质、气候、气象、水文、植被、生物多样性等）：</w:t>
            </w:r>
          </w:p>
          <w:p>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rightChars="0" w:firstLine="482"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b/>
                <w:color w:val="auto"/>
                <w:sz w:val="24"/>
                <w:szCs w:val="24"/>
                <w:highlight w:val="none"/>
              </w:rPr>
              <w:t>1 、地理位置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芜湖市位于安徽省东南部，是沿江一座重要的港口城市。全市东西长 72km、南北长 100km，地处北纬 30°38′～31°31′、东经 117°58′～118°43′之间。全市面积 5988平方公里，人口 365 万，其中市区面积 1064.7 平方公里，人口 123.8 万。市区座落在长江和青弋江交汇处，距安徽省会合肥市 119km。芜湖是华东地区的水陆交通枢纽，4 条高速公路及 5 条铁路在此交汇，距南京禄口国际机场和合肥骆岗国际机场均约 1 小时车程。芜湖港岸线长 23.2km，江宽水深，终年可通行 5000t 级船舶，洪水期可停泊万吨海轮。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highlight w:val="none"/>
              </w:rPr>
            </w:pPr>
            <w:bookmarkStart w:id="3" w:name="_Toc491373885"/>
            <w:r>
              <w:rPr>
                <w:rFonts w:hint="default" w:ascii="Times New Roman" w:hAnsi="Times New Roman" w:eastAsia="宋体" w:cs="Times New Roman"/>
                <w:b/>
                <w:bCs/>
                <w:color w:val="auto"/>
                <w:sz w:val="24"/>
                <w:highlight w:val="none"/>
                <w:lang w:val="en-US" w:eastAsia="zh-CN"/>
              </w:rPr>
              <w:t>2、</w:t>
            </w:r>
            <w:r>
              <w:rPr>
                <w:rFonts w:hint="default" w:ascii="Times New Roman" w:hAnsi="Times New Roman" w:eastAsia="宋体" w:cs="Times New Roman"/>
                <w:b/>
                <w:bCs/>
                <w:color w:val="auto"/>
                <w:sz w:val="24"/>
                <w:highlight w:val="none"/>
              </w:rPr>
              <w:t>地形、地质、地貌</w:t>
            </w:r>
            <w:bookmarkEnd w:id="3"/>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芜湖市沿长江一带，地势平缓，大部分为三角洲沉积的饱和软土，属淮阳山字型构造前弧东翼宁芜盆地西南缘，基岩以岩浆为主，西部地层为上侏罗统龙王山组(T、L)基岩和中生代喷出岩及火山碎屑岩，东部为中性浅成岩和上白垩统浦口组沉积岩类，不整合接触，后经夷平并为砂质、淤泥质冲积物覆盖，构成现代平原的地貌基础。建设地基本为平地，地势平缓，高程在6～10米之间。项目建设地大部分为红壤，压缩性高，渗透性小。水文地质条件较复杂，上部为上层滞水和潜水层，下部为多层承压水。地下水埋深1米左右，水化学类型碳酸盐一一钙镁型，具有一定的承载力，下层软土地基为青灰色或黄色淤泥质亚粘土，再下层则为老粘土或风化岩层，整个冲击层厚度为40～50米，在地面标高10米以上残丘，一积为洪积，坡积层的粘土，亚粘土或风化岩层，地耐力为2～45</w:t>
            </w:r>
            <w:r>
              <w:rPr>
                <w:rFonts w:hint="eastAsia" w:ascii="Times New Roman" w:hAnsi="Times New Roman" w:eastAsia="宋体" w:cs="Times New Roman"/>
                <w:color w:val="auto"/>
                <w:sz w:val="24"/>
                <w:highlight w:val="none"/>
                <w:lang w:val="en-US" w:eastAsia="zh-CN"/>
              </w:rPr>
              <w:t>k</w:t>
            </w:r>
            <w:r>
              <w:rPr>
                <w:rFonts w:hint="default" w:ascii="Times New Roman" w:hAnsi="Times New Roman" w:eastAsia="宋体" w:cs="Times New Roman"/>
                <w:color w:val="auto"/>
                <w:sz w:val="24"/>
                <w:highlight w:val="none"/>
              </w:rPr>
              <w:t>g/cm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highlight w:val="none"/>
              </w:rPr>
            </w:pPr>
            <w:bookmarkStart w:id="4" w:name="_Toc491373886"/>
            <w:r>
              <w:rPr>
                <w:rFonts w:hint="default" w:ascii="Times New Roman" w:hAnsi="Times New Roman" w:eastAsia="宋体"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rPr>
              <w:t>气象资料</w:t>
            </w:r>
            <w:bookmarkEnd w:id="4"/>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芜湖市地处亚热带，纬度偏南，临江近海，属北亚热带季风性湿润气候，光照充足，四季分明，雨量充沛，冬冷夏热。年均降水量1240.7mm。历年平均气温16℃；历年最高气温39.5℃；历年最低气温-13℃，月平均气温最低为元月份 1.1℃，月平均气温最高为七月份31℃。年平均降雨量1200～1900mm；年最大降雨量2100mm；年最小降雨量566mm；日最大降雨量230mm。全年平均降雪日8～9天；历年最大积雪深度250mm；冰冻深度0.1m；无霜期240天左右。总日照时数2022个小时，日照率46％。区域常年主导风向为东风和东北风，最大风速28m/s；次主导风向为东北偏东风和东北风，其风频分别为16％、11％和9％；年静风频率较高，约为17％。多年平均风速3.5m/s，最大风速26.4m/s，年平均相对湿度78％。</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highlight w:val="none"/>
              </w:rPr>
            </w:pPr>
            <w:bookmarkStart w:id="5" w:name="_Toc491373887"/>
            <w:r>
              <w:rPr>
                <w:rFonts w:hint="default"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rPr>
              <w:t>水文资料</w:t>
            </w:r>
            <w:bookmarkEnd w:id="5"/>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芜湖市地处长江中下游，气候湿润，雨量丰富，河流纵横，地表水及地下水资源丰富，长江和青弋江为该区域主要地表水体，全市水面面积为478</w:t>
            </w:r>
            <w:r>
              <w:rPr>
                <w:rFonts w:hint="eastAsia" w:ascii="Times New Roman" w:hAnsi="Times New Roman" w:eastAsia="宋体" w:cs="Times New Roman"/>
                <w:color w:val="auto"/>
                <w:sz w:val="24"/>
                <w:highlight w:val="none"/>
                <w:lang w:val="en-US" w:eastAsia="zh-CN"/>
              </w:rPr>
              <w:t>k</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 xml:space="preserve"> ，占总面积的14.4%。</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长江为本工程废水的最终纳污水体，长江芜湖段江岸平直、稳定，为芜湖市的主要供水水源，兼有饮用、工业、家业、渔业、航运旅游、调节生态平衡等功能的多用途水体。据水文据统计资料表明：长江芜湖段的平均流量为28300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/s，最大流量92600m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/s，最枯流量4620m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/s。青弋江源于黟县，在芜湖县清水河与水阳江汇合后，折向西沿市区南境在关门洲注入长江，全长291km，有大小支流23条，流域面积4340km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流经市区的青弋江自卜家店至出口宝塔止河道长约9km，青弋江年平均水位7.52m，最高水位11.4m，最低水位4.50m，极端最高水位13.2m，极端最低水位4.17m。青弋江高水位出现在7、8、9三个月，低水位出现在12、1、2三个月；年平均流量29立方米/秒，最大流量为570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/s，最小流量为-490m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/s（因受江水顶托影响），一般最大正流量出现在2、3月，最大负流量则见于8月。另据西河镇水文站资料，青弋江年平均含沙量为0.19kg/m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，最高月平均0.548kg/m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，最低月平均为0.002kg/m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。自上游修建陈村水库后，在调蓄洪水方面发挥了很大的功能，水文动态已受人为控制，特别是对下游及芜湖市的防洪起了很大的作用。</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地下水文资料：芜湖属沿江沉降区，四周又为江河包围，地下水位高，一般在2.5米以上。有的地方高于10米。可分3种类型：壤中水、潜水和裂隙水。壤中水分布不规划，水位变化大，补给来源主要是大气降水和地表水。潜水升降幅度不大于2米，受大气降水的补给。裂隙水分布在个别地区。</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 xml:space="preserve">5、植被、生物多样性 </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芜湖市地貌分区为冲积平原、侵蚀残丘和长江古老阶地三个基本地貌单元，土壤类型复杂多样，自然土壤有黄棕壤土和砂质粘土，适合发展林业，耕作土壤为水稻土和砂壤土，宜于种植水稻、油菜和各种蔬菜。芜湖市属北亚热带落叶常绿阔叶混交林植被区。全市目前有林地65296.7h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 xml:space="preserve">，森林覆盖率28.5％。森林资源中，以松树、山树为主的人工林约占45％，次生林和竹林约占55％。据不完全统计，芜湖市有维管束植物1163种(包括变种的栽培种)，其中蕨类植物有21种32属39种；裸子植物有9科19属41种；被子植物有142科604属1083种。常见的常绿树种有栽培的樟树、棕榈、石南、女贞、拘骨等。池塘河湖生长有菱、黄实、莲、茭白、莆荠、水芹和芦苇等水生植物群落。 </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 xml:space="preserve">栽培植物以水稻为主，其次有油菜、紫云英、棉花、山芋、麻、小麦、茶叶、烟叶、桑、玉米、大豆、蔬菜、莲藕、中药材等，树木有亚热带常绿阔叶树和落叶阔叶树、苦槠、青冈、冬青、栎类、化香、枫香、山槐、松杉、柏、梨、苹果、葡萄、竹以及花卉。 </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 xml:space="preserve">野生植物资源十分丰富，有千余种。稀有珍贵树种有青钱柳、金钱松、紫楠、鹅掌揪和绞股兰等。 </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芜湖市域内动物区系处于古北界和东洋界两大界动物相互渗透的广泛过渡地带，动物种类丰富而复杂，一些典型的东洋界种如华南兔、猪獾、黄胸鼠、白头鹎、画眉、白腰文鸟、珠颈班鸠、石龙子、大头平胸龟、泽蛙等在芜湖市广泛分布，而古北界的东北刺猬、社鼠、灰喜鹊、云雀、红尾伯劳、蛇蝮等也有分布。另外，还保存古老珍稀动物的种类，如扬子鳄、白暨豚和白鲟等。据调查芜湖市有动物600多种，共有鸟类121种、鱼类57种。爬行类、两栖类、兽类动物种类繁多，现有两栖动物2目6科，爬行动物3目9科21种；哺乳动物8目19科50种。其中属安徽省重点保护的动物28种，国家重点保护的动物15种。其中水生动物6种(白暨豚、中华鲟、白鲟、江豚、胭脂鱼)，陆生动物9种(扬子鳄、穿山甲、豺、云豹、天鹅、鸳鸯、鸮形目、白鹇、水獭)，其中中国特有种两种(扬子鳄、白暨豚)。在消灭农村害虫维护生态平衡起重要作用的有益动物11种，有较大食用价值的动物28种，作为名贵中药材原料的动物15种，可用来制裘造革的动物22种，有重大科学研究价值的动物3种，具有可观赏性的动物28种，对农村生产有害的动物9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6</w:t>
            </w:r>
            <w:r>
              <w:rPr>
                <w:rFonts w:hint="default" w:ascii="Times New Roman" w:hAnsi="Times New Roman" w:eastAsia="宋体" w:cs="Times New Roman"/>
                <w:b/>
                <w:bCs/>
                <w:color w:val="auto"/>
                <w:sz w:val="24"/>
                <w:highlight w:val="none"/>
              </w:rPr>
              <w:t>、矿产资源</w:t>
            </w:r>
          </w:p>
          <w:p>
            <w:pPr>
              <w:spacing w:line="360" w:lineRule="auto"/>
              <w:ind w:firstLine="480" w:firstLineChars="200"/>
              <w:rPr>
                <w:rFonts w:ascii="Times New Roman" w:hAnsi="Times New Roman" w:eastAsia="宋体"/>
                <w:sz w:val="24"/>
              </w:rPr>
            </w:pPr>
            <w:r>
              <w:rPr>
                <w:rFonts w:hint="default" w:ascii="Times New Roman" w:hAnsi="Times New Roman" w:eastAsia="宋体" w:cs="Times New Roman"/>
                <w:color w:val="auto"/>
                <w:sz w:val="24"/>
                <w:highlight w:val="none"/>
              </w:rPr>
              <w:t>矿产资源比较丰富，至今已查明的矿产有55种，矿产地逾百处，但储量均不大，仅石灰石等非金属资源储量较大，主要分布在芜湖县白马山和繁昌荻港、马坝等地，其次为铁矿，分布在繁昌县桃冲等地，这些主要矿产均已被开发利用。开发区境内未发现有开采价值的矿产地。</w:t>
            </w:r>
          </w:p>
          <w:p>
            <w:pPr>
              <w:spacing w:line="360" w:lineRule="auto"/>
              <w:rPr>
                <w:rFonts w:ascii="Times New Roman" w:hAnsi="Times New Roman" w:eastAsia="宋体"/>
              </w:rPr>
            </w:pPr>
          </w:p>
          <w:p>
            <w:pPr>
              <w:spacing w:line="360" w:lineRule="auto"/>
              <w:rPr>
                <w:rFonts w:ascii="Times New Roman" w:hAnsi="Times New Roman" w:eastAsia="宋体"/>
              </w:rPr>
            </w:pPr>
          </w:p>
          <w:p>
            <w:pPr>
              <w:spacing w:line="360" w:lineRule="auto"/>
              <w:rPr>
                <w:rFonts w:ascii="Times New Roman" w:hAnsi="Times New Roman" w:eastAsia="宋体"/>
                <w:color w:val="000000"/>
                <w:sz w:val="24"/>
                <w:highlight w:val="yellow"/>
              </w:rPr>
            </w:pPr>
          </w:p>
        </w:tc>
      </w:tr>
    </w:tbl>
    <w:p>
      <w:pPr>
        <w:pStyle w:val="3"/>
        <w:rPr>
          <w:rFonts w:ascii="Times New Roman" w:hAnsi="Times New Roman" w:eastAsia="宋体"/>
        </w:rPr>
      </w:pPr>
      <w:r>
        <w:rPr>
          <w:rFonts w:hint="eastAsia" w:ascii="Times New Roman" w:hAnsi="Times New Roman" w:eastAsia="宋体"/>
          <w:lang w:eastAsia="zh-CN"/>
        </w:rPr>
        <w:t>三、</w:t>
      </w:r>
      <w:r>
        <w:rPr>
          <w:rFonts w:ascii="Times New Roman" w:hAnsi="Times New Roman" w:eastAsia="宋体"/>
        </w:rPr>
        <w:t>环境质量状况</w:t>
      </w:r>
    </w:p>
    <w:tbl>
      <w:tblPr>
        <w:tblStyle w:val="2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74" w:hRule="atLeast"/>
          <w:jc w:val="center"/>
        </w:trPr>
        <w:tc>
          <w:tcPr>
            <w:tcW w:w="928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eastAsia="宋体"/>
                <w:sz w:val="24"/>
                <w:szCs w:val="24"/>
              </w:rPr>
            </w:pPr>
            <w:r>
              <w:rPr>
                <w:rFonts w:ascii="Times New Roman" w:hAnsi="Times New Roman" w:eastAsia="宋体"/>
                <w:sz w:val="24"/>
                <w:szCs w:val="24"/>
              </w:rPr>
              <w:t>建设项目所在地区域环境质量现状及主要环境问题（环境空气、地面水、地下水、声环境、生态环境等）：</w:t>
            </w:r>
          </w:p>
          <w:p>
            <w:pPr>
              <w:spacing w:line="360" w:lineRule="auto"/>
              <w:ind w:firstLine="482" w:firstLineChars="200"/>
              <w:rPr>
                <w:rFonts w:ascii="Times New Roman" w:hAnsi="Times New Roman" w:eastAsia="宋体"/>
                <w:b/>
                <w:kern w:val="0"/>
                <w:sz w:val="24"/>
              </w:rPr>
            </w:pPr>
            <w:r>
              <w:rPr>
                <w:rFonts w:hint="eastAsia" w:ascii="Times New Roman" w:hAnsi="Times New Roman" w:eastAsia="宋体"/>
                <w:b/>
                <w:kern w:val="0"/>
                <w:sz w:val="24"/>
              </w:rPr>
              <w:t>1、环境空气质量现状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80" w:firstLineChars="200"/>
              <w:textAlignment w:val="auto"/>
              <w:rPr>
                <w:rFonts w:hint="default" w:ascii="Times New Roman" w:hAnsi="Times New Roman" w:eastAsia="宋体"/>
                <w:color w:val="000000"/>
                <w:sz w:val="24"/>
                <w:szCs w:val="24"/>
              </w:rPr>
            </w:pPr>
            <w:r>
              <w:rPr>
                <w:rFonts w:hint="default" w:ascii="Times New Roman" w:hAnsi="Times New Roman" w:eastAsia="宋体"/>
                <w:color w:val="000000"/>
                <w:sz w:val="24"/>
                <w:szCs w:val="24"/>
              </w:rPr>
              <w:t>根据《环境影响评价技术导则  大气环境》（HJ2.2-2018）</w:t>
            </w:r>
            <w:r>
              <w:rPr>
                <w:rFonts w:hint="eastAsia" w:ascii="Times New Roman" w:hAnsi="Times New Roman" w:eastAsia="宋体"/>
                <w:color w:val="000000"/>
                <w:sz w:val="24"/>
                <w:szCs w:val="24"/>
                <w:lang w:val="en-US" w:eastAsia="zh-CN"/>
              </w:rPr>
              <w:t>要求，选取</w:t>
            </w:r>
            <w:r>
              <w:rPr>
                <w:rFonts w:hint="default" w:ascii="Times New Roman" w:hAnsi="Times New Roman" w:eastAsia="宋体"/>
                <w:color w:val="000000"/>
                <w:sz w:val="24"/>
                <w:szCs w:val="24"/>
              </w:rPr>
              <w:t>SO</w:t>
            </w:r>
            <w:r>
              <w:rPr>
                <w:rFonts w:hint="default" w:ascii="Times New Roman" w:hAnsi="Times New Roman" w:eastAsia="宋体"/>
                <w:color w:val="000000"/>
                <w:sz w:val="24"/>
                <w:szCs w:val="24"/>
                <w:vertAlign w:val="subscript"/>
              </w:rPr>
              <w:t>2</w:t>
            </w:r>
            <w:r>
              <w:rPr>
                <w:rFonts w:hint="default" w:ascii="Times New Roman" w:hAnsi="Times New Roman" w:eastAsia="宋体"/>
                <w:color w:val="000000"/>
                <w:sz w:val="24"/>
                <w:szCs w:val="24"/>
              </w:rPr>
              <w:t>、NO</w:t>
            </w:r>
            <w:r>
              <w:rPr>
                <w:rFonts w:hint="default" w:ascii="Times New Roman" w:hAnsi="Times New Roman" w:eastAsia="宋体"/>
                <w:color w:val="000000"/>
                <w:sz w:val="24"/>
                <w:szCs w:val="24"/>
                <w:vertAlign w:val="subscript"/>
              </w:rPr>
              <w:t>2</w:t>
            </w:r>
            <w:r>
              <w:rPr>
                <w:rFonts w:hint="default" w:ascii="Times New Roman" w:hAnsi="Times New Roman" w:eastAsia="宋体"/>
                <w:color w:val="000000"/>
                <w:sz w:val="24"/>
                <w:szCs w:val="24"/>
              </w:rPr>
              <w:t>、PM</w:t>
            </w:r>
            <w:r>
              <w:rPr>
                <w:rFonts w:hint="default" w:ascii="Times New Roman" w:hAnsi="Times New Roman" w:eastAsia="宋体"/>
                <w:color w:val="000000"/>
                <w:sz w:val="24"/>
                <w:szCs w:val="24"/>
                <w:vertAlign w:val="subscript"/>
              </w:rPr>
              <w:t>10</w:t>
            </w:r>
            <w:r>
              <w:rPr>
                <w:rFonts w:hint="default" w:ascii="Times New Roman" w:hAnsi="Times New Roman" w:eastAsia="宋体"/>
                <w:color w:val="000000"/>
                <w:sz w:val="24"/>
                <w:szCs w:val="24"/>
              </w:rPr>
              <w:t>、PM</w:t>
            </w:r>
            <w:r>
              <w:rPr>
                <w:rFonts w:hint="eastAsia" w:ascii="Times New Roman" w:hAnsi="Times New Roman" w:eastAsia="宋体"/>
                <w:color w:val="000000"/>
                <w:sz w:val="24"/>
                <w:szCs w:val="24"/>
                <w:vertAlign w:val="subscript"/>
                <w:lang w:val="en-US" w:eastAsia="zh-CN"/>
              </w:rPr>
              <w:t>2.5</w:t>
            </w:r>
            <w:r>
              <w:rPr>
                <w:rFonts w:hint="default" w:ascii="Times New Roman" w:hAnsi="Times New Roman" w:eastAsia="宋体"/>
                <w:color w:val="000000"/>
                <w:sz w:val="24"/>
                <w:szCs w:val="24"/>
              </w:rPr>
              <w:t>、</w:t>
            </w:r>
            <w:r>
              <w:rPr>
                <w:rFonts w:hint="eastAsia" w:ascii="Times New Roman" w:hAnsi="Times New Roman" w:eastAsia="宋体"/>
                <w:color w:val="000000"/>
                <w:sz w:val="24"/>
                <w:szCs w:val="24"/>
                <w:lang w:val="en-US" w:eastAsia="zh-CN"/>
              </w:rPr>
              <w:t>CO和O</w:t>
            </w:r>
            <w:r>
              <w:rPr>
                <w:rFonts w:hint="eastAsia" w:ascii="Times New Roman" w:hAnsi="Times New Roman" w:eastAsia="宋体"/>
                <w:color w:val="000000"/>
                <w:sz w:val="24"/>
                <w:szCs w:val="24"/>
                <w:vertAlign w:val="subscript"/>
                <w:lang w:val="en-US" w:eastAsia="zh-CN"/>
              </w:rPr>
              <w:t>3</w:t>
            </w:r>
            <w:r>
              <w:rPr>
                <w:rFonts w:hint="eastAsia" w:ascii="Times New Roman" w:hAnsi="Times New Roman" w:eastAsia="宋体"/>
                <w:color w:val="000000"/>
                <w:sz w:val="24"/>
                <w:szCs w:val="24"/>
                <w:vertAlign w:val="baseline"/>
                <w:lang w:val="en-US" w:eastAsia="zh-CN"/>
              </w:rPr>
              <w:t>，共6个常规因子，本次评价将2019年定为本次评价达标区判定的基准年</w:t>
            </w:r>
            <w:r>
              <w:rPr>
                <w:rFonts w:hint="default" w:ascii="Times New Roman" w:hAnsi="Times New Roman" w:eastAsia="宋体"/>
                <w:color w:val="000000"/>
                <w:sz w:val="24"/>
                <w:szCs w:val="24"/>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80" w:firstLineChars="200"/>
              <w:textAlignment w:val="auto"/>
              <w:rPr>
                <w:rFonts w:hint="eastAsia" w:ascii="Times New Roman" w:hAnsi="Times New Roman" w:eastAsia="宋体"/>
                <w:color w:val="000000"/>
                <w:sz w:val="24"/>
                <w:szCs w:val="24"/>
                <w:lang w:val="en-US" w:eastAsia="zh-CN"/>
              </w:rPr>
            </w:pPr>
            <w:r>
              <w:rPr>
                <w:rFonts w:hint="default" w:ascii="Times New Roman" w:hAnsi="Times New Roman" w:eastAsia="宋体"/>
                <w:color w:val="000000"/>
                <w:sz w:val="24"/>
                <w:szCs w:val="24"/>
              </w:rPr>
              <w:t>根据《环境影响评价技术导则  大气环境》</w:t>
            </w:r>
            <w:r>
              <w:rPr>
                <w:rFonts w:hint="eastAsia" w:ascii="Times New Roman" w:hAnsi="Times New Roman" w:eastAsia="宋体"/>
                <w:color w:val="000000"/>
                <w:sz w:val="24"/>
                <w:szCs w:val="24"/>
                <w:lang w:eastAsia="zh-CN"/>
              </w:rPr>
              <w:t>（</w:t>
            </w:r>
            <w:r>
              <w:rPr>
                <w:rFonts w:hint="default" w:ascii="Times New Roman" w:hAnsi="Times New Roman" w:eastAsia="宋体"/>
                <w:color w:val="000000"/>
                <w:sz w:val="24"/>
                <w:szCs w:val="24"/>
              </w:rPr>
              <w:t>HJ2.2-2018）</w:t>
            </w:r>
            <w:r>
              <w:rPr>
                <w:rFonts w:hint="eastAsia" w:ascii="Times New Roman" w:hAnsi="Times New Roman" w:eastAsia="宋体"/>
                <w:color w:val="000000"/>
                <w:sz w:val="24"/>
                <w:szCs w:val="24"/>
                <w:lang w:val="en-US" w:eastAsia="zh-CN"/>
              </w:rPr>
              <w:t>要求，项目所在区域达标判定，优先采用国家或地方生态环境主管部门公开发布的评价基准年环境质量公告或环境质量报告中的数据或结论。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80" w:firstLineChars="200"/>
              <w:textAlignment w:val="auto"/>
              <w:rPr>
                <w:rFonts w:hint="eastAsia" w:ascii="Times New Roman" w:hAnsi="Times New Roman" w:eastAsia="宋体"/>
                <w:color w:val="000000"/>
                <w:sz w:val="24"/>
                <w:szCs w:val="24"/>
                <w:lang w:val="en-US" w:eastAsia="zh-CN"/>
              </w:rPr>
            </w:pPr>
            <w:r>
              <w:rPr>
                <w:rFonts w:hint="eastAsia" w:ascii="Times New Roman" w:hAnsi="Times New Roman" w:eastAsia="宋体"/>
                <w:color w:val="000000"/>
                <w:sz w:val="24"/>
                <w:szCs w:val="24"/>
                <w:lang w:val="en-US" w:eastAsia="zh-CN"/>
              </w:rPr>
              <w:t>根据芜湖市生态环境局网站公布的2019年芜湖市环境质量公报，2019年芜湖市大气环境质量监测见下表。</w:t>
            </w:r>
          </w:p>
          <w:p>
            <w:pPr>
              <w:pStyle w:val="86"/>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82" w:firstLineChars="200"/>
              <w:textAlignment w:val="auto"/>
              <w:rPr>
                <w:rFonts w:hint="default" w:ascii="Times New Roman" w:hAnsi="Times New Roman" w:eastAsia="宋体"/>
                <w:b/>
                <w:bCs/>
                <w:color w:val="000000"/>
                <w:sz w:val="24"/>
                <w:szCs w:val="24"/>
                <w:lang w:val="en-US" w:eastAsia="zh-CN"/>
              </w:rPr>
            </w:pPr>
            <w:r>
              <w:rPr>
                <w:rFonts w:hint="eastAsia" w:ascii="Times New Roman" w:hAnsi="Times New Roman" w:eastAsia="宋体"/>
                <w:b/>
                <w:bCs/>
                <w:color w:val="000000"/>
                <w:sz w:val="24"/>
                <w:szCs w:val="24"/>
                <w:lang w:val="en-US" w:eastAsia="zh-CN"/>
              </w:rPr>
              <w:t>表3-1  2019年度芜湖市环境空气质量现状评价表</w:t>
            </w:r>
          </w:p>
          <w:tbl>
            <w:tblPr>
              <w:tblStyle w:val="29"/>
              <w:tblW w:w="8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900"/>
              <w:gridCol w:w="1860"/>
              <w:gridCol w:w="780"/>
              <w:gridCol w:w="1155"/>
              <w:gridCol w:w="840"/>
              <w:gridCol w:w="915"/>
              <w:gridCol w:w="915"/>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序号</w:t>
                  </w:r>
                </w:p>
              </w:tc>
              <w:tc>
                <w:tcPr>
                  <w:tcW w:w="90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污染物</w:t>
                  </w:r>
                </w:p>
              </w:tc>
              <w:tc>
                <w:tcPr>
                  <w:tcW w:w="186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评价指标</w:t>
                  </w:r>
                </w:p>
              </w:tc>
              <w:tc>
                <w:tcPr>
                  <w:tcW w:w="78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单位</w:t>
                  </w:r>
                </w:p>
              </w:tc>
              <w:tc>
                <w:tcPr>
                  <w:tcW w:w="115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2019年基准年浓度</w:t>
                  </w:r>
                </w:p>
              </w:tc>
              <w:tc>
                <w:tcPr>
                  <w:tcW w:w="84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标准限值</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占标率%</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达标情况</w:t>
                  </w:r>
                </w:p>
              </w:tc>
              <w:tc>
                <w:tcPr>
                  <w:tcW w:w="796"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判定结果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1</w:t>
                  </w:r>
                </w:p>
              </w:tc>
              <w:tc>
                <w:tcPr>
                  <w:tcW w:w="90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SO</w:t>
                  </w:r>
                  <w:r>
                    <w:rPr>
                      <w:rFonts w:hint="default" w:ascii="Times New Roman" w:hAnsi="Times New Roman" w:eastAsia="宋体"/>
                      <w:color w:val="000000"/>
                      <w:vertAlign w:val="subscript"/>
                    </w:rPr>
                    <w:t>2</w:t>
                  </w:r>
                </w:p>
              </w:tc>
              <w:tc>
                <w:tcPr>
                  <w:tcW w:w="186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年平均浓度</w:t>
                  </w:r>
                </w:p>
              </w:tc>
              <w:tc>
                <w:tcPr>
                  <w:tcW w:w="78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μg/m</w:t>
                  </w:r>
                  <w:r>
                    <w:rPr>
                      <w:rFonts w:hint="eastAsia" w:ascii="Times New Roman" w:hAnsi="Times New Roman" w:eastAsia="宋体"/>
                      <w:color w:val="000000"/>
                      <w:vertAlign w:val="superscript"/>
                      <w:lang w:val="en-US" w:eastAsia="zh-CN"/>
                    </w:rPr>
                    <w:t>3</w:t>
                  </w:r>
                </w:p>
              </w:tc>
              <w:tc>
                <w:tcPr>
                  <w:tcW w:w="115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8</w:t>
                  </w:r>
                </w:p>
              </w:tc>
              <w:tc>
                <w:tcPr>
                  <w:tcW w:w="840" w:type="dxa"/>
                  <w:noWrap w:val="0"/>
                  <w:vAlign w:val="center"/>
                </w:tcPr>
                <w:p>
                  <w:pPr>
                    <w:pStyle w:val="7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000000"/>
                      <w:kern w:val="0"/>
                      <w:sz w:val="21"/>
                      <w:szCs w:val="18"/>
                      <w:lang w:val="en-US" w:eastAsia="zh-CN" w:bidi="ar-SA"/>
                    </w:rPr>
                  </w:pPr>
                  <w:r>
                    <w:rPr>
                      <w:rFonts w:hint="eastAsia" w:ascii="Times New Roman" w:hAnsi="Times New Roman" w:eastAsia="宋体"/>
                      <w:color w:val="000000"/>
                      <w:lang w:val="en-US" w:eastAsia="zh-CN"/>
                    </w:rPr>
                    <w:t>60</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13.3</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达标</w:t>
                  </w:r>
                </w:p>
              </w:tc>
              <w:tc>
                <w:tcPr>
                  <w:tcW w:w="796" w:type="dxa"/>
                  <w:vMerge w:val="restart"/>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不达标区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2</w:t>
                  </w:r>
                </w:p>
              </w:tc>
              <w:tc>
                <w:tcPr>
                  <w:tcW w:w="90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NO</w:t>
                  </w:r>
                  <w:r>
                    <w:rPr>
                      <w:rFonts w:hint="default" w:ascii="Times New Roman" w:hAnsi="Times New Roman" w:eastAsia="宋体"/>
                      <w:color w:val="000000"/>
                      <w:vertAlign w:val="subscript"/>
                    </w:rPr>
                    <w:t>2</w:t>
                  </w:r>
                </w:p>
              </w:tc>
              <w:tc>
                <w:tcPr>
                  <w:tcW w:w="186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年平均浓度</w:t>
                  </w:r>
                </w:p>
              </w:tc>
              <w:tc>
                <w:tcPr>
                  <w:tcW w:w="78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μg/m</w:t>
                  </w:r>
                  <w:r>
                    <w:rPr>
                      <w:rFonts w:hint="eastAsia" w:ascii="Times New Roman" w:hAnsi="Times New Roman" w:eastAsia="宋体"/>
                      <w:color w:val="000000"/>
                      <w:vertAlign w:val="superscript"/>
                      <w:lang w:val="en-US" w:eastAsia="zh-CN"/>
                    </w:rPr>
                    <w:t>3</w:t>
                  </w:r>
                </w:p>
              </w:tc>
              <w:tc>
                <w:tcPr>
                  <w:tcW w:w="115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44</w:t>
                  </w:r>
                </w:p>
              </w:tc>
              <w:tc>
                <w:tcPr>
                  <w:tcW w:w="840" w:type="dxa"/>
                  <w:noWrap w:val="0"/>
                  <w:vAlign w:val="center"/>
                </w:tcPr>
                <w:p>
                  <w:pPr>
                    <w:pStyle w:val="7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000000"/>
                      <w:kern w:val="0"/>
                      <w:sz w:val="21"/>
                      <w:szCs w:val="18"/>
                      <w:lang w:val="en-US" w:eastAsia="zh-CN" w:bidi="ar-SA"/>
                    </w:rPr>
                  </w:pPr>
                  <w:r>
                    <w:rPr>
                      <w:rFonts w:hint="eastAsia" w:ascii="Times New Roman" w:hAnsi="Times New Roman" w:eastAsia="宋体"/>
                      <w:color w:val="000000"/>
                      <w:lang w:val="en-US" w:eastAsia="zh-CN"/>
                    </w:rPr>
                    <w:t>40</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110</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不达标</w:t>
                  </w:r>
                </w:p>
              </w:tc>
              <w:tc>
                <w:tcPr>
                  <w:tcW w:w="796" w:type="dxa"/>
                  <w:vMerge w:val="continue"/>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3</w:t>
                  </w:r>
                </w:p>
              </w:tc>
              <w:tc>
                <w:tcPr>
                  <w:tcW w:w="90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PM</w:t>
                  </w:r>
                  <w:r>
                    <w:rPr>
                      <w:rFonts w:hint="default" w:ascii="Times New Roman" w:hAnsi="Times New Roman" w:eastAsia="宋体"/>
                      <w:color w:val="000000"/>
                      <w:vertAlign w:val="subscript"/>
                    </w:rPr>
                    <w:t>10</w:t>
                  </w:r>
                </w:p>
              </w:tc>
              <w:tc>
                <w:tcPr>
                  <w:tcW w:w="186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年平均浓度</w:t>
                  </w:r>
                </w:p>
              </w:tc>
              <w:tc>
                <w:tcPr>
                  <w:tcW w:w="78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μg/m</w:t>
                  </w:r>
                  <w:r>
                    <w:rPr>
                      <w:rFonts w:hint="eastAsia" w:ascii="Times New Roman" w:hAnsi="Times New Roman" w:eastAsia="宋体"/>
                      <w:color w:val="000000"/>
                      <w:vertAlign w:val="superscript"/>
                      <w:lang w:val="en-US" w:eastAsia="zh-CN"/>
                    </w:rPr>
                    <w:t>3</w:t>
                  </w:r>
                </w:p>
              </w:tc>
              <w:tc>
                <w:tcPr>
                  <w:tcW w:w="115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62</w:t>
                  </w:r>
                </w:p>
              </w:tc>
              <w:tc>
                <w:tcPr>
                  <w:tcW w:w="840" w:type="dxa"/>
                  <w:noWrap w:val="0"/>
                  <w:vAlign w:val="center"/>
                </w:tcPr>
                <w:p>
                  <w:pPr>
                    <w:pStyle w:val="7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000000"/>
                      <w:kern w:val="0"/>
                      <w:sz w:val="21"/>
                      <w:szCs w:val="18"/>
                      <w:lang w:val="en-US" w:eastAsia="zh-CN" w:bidi="ar-SA"/>
                    </w:rPr>
                  </w:pPr>
                  <w:r>
                    <w:rPr>
                      <w:rFonts w:hint="eastAsia" w:ascii="Times New Roman" w:hAnsi="Times New Roman" w:eastAsia="宋体"/>
                      <w:color w:val="000000"/>
                      <w:lang w:val="en-US" w:eastAsia="zh-CN"/>
                    </w:rPr>
                    <w:t>70</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88.6</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达标</w:t>
                  </w:r>
                </w:p>
              </w:tc>
              <w:tc>
                <w:tcPr>
                  <w:tcW w:w="796" w:type="dxa"/>
                  <w:vMerge w:val="continue"/>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4</w:t>
                  </w:r>
                </w:p>
              </w:tc>
              <w:tc>
                <w:tcPr>
                  <w:tcW w:w="90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PM</w:t>
                  </w:r>
                  <w:r>
                    <w:rPr>
                      <w:rFonts w:hint="eastAsia" w:ascii="Times New Roman" w:hAnsi="Times New Roman" w:eastAsia="宋体"/>
                      <w:color w:val="000000"/>
                      <w:vertAlign w:val="subscript"/>
                      <w:lang w:val="en-US" w:eastAsia="zh-CN"/>
                    </w:rPr>
                    <w:t>2.5</w:t>
                  </w:r>
                </w:p>
              </w:tc>
              <w:tc>
                <w:tcPr>
                  <w:tcW w:w="186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年平均浓度</w:t>
                  </w:r>
                </w:p>
              </w:tc>
              <w:tc>
                <w:tcPr>
                  <w:tcW w:w="78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μg/m</w:t>
                  </w:r>
                  <w:r>
                    <w:rPr>
                      <w:rFonts w:hint="eastAsia" w:ascii="Times New Roman" w:hAnsi="Times New Roman" w:eastAsia="宋体"/>
                      <w:color w:val="000000"/>
                      <w:vertAlign w:val="superscript"/>
                      <w:lang w:val="en-US" w:eastAsia="zh-CN"/>
                    </w:rPr>
                    <w:t>3</w:t>
                  </w:r>
                </w:p>
              </w:tc>
              <w:tc>
                <w:tcPr>
                  <w:tcW w:w="115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42</w:t>
                  </w:r>
                </w:p>
              </w:tc>
              <w:tc>
                <w:tcPr>
                  <w:tcW w:w="840" w:type="dxa"/>
                  <w:noWrap w:val="0"/>
                  <w:vAlign w:val="center"/>
                </w:tcPr>
                <w:p>
                  <w:pPr>
                    <w:pStyle w:val="7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000000"/>
                      <w:kern w:val="0"/>
                      <w:sz w:val="21"/>
                      <w:szCs w:val="18"/>
                      <w:lang w:val="en-US" w:eastAsia="zh-CN" w:bidi="ar-SA"/>
                    </w:rPr>
                  </w:pPr>
                  <w:r>
                    <w:rPr>
                      <w:rFonts w:hint="eastAsia" w:ascii="Times New Roman" w:hAnsi="Times New Roman" w:eastAsia="宋体"/>
                      <w:color w:val="000000"/>
                      <w:lang w:val="en-US" w:eastAsia="zh-CN"/>
                    </w:rPr>
                    <w:t>35</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120</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不达标</w:t>
                  </w:r>
                </w:p>
              </w:tc>
              <w:tc>
                <w:tcPr>
                  <w:tcW w:w="796" w:type="dxa"/>
                  <w:vMerge w:val="continue"/>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5</w:t>
                  </w:r>
                </w:p>
              </w:tc>
              <w:tc>
                <w:tcPr>
                  <w:tcW w:w="90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CO</w:t>
                  </w:r>
                </w:p>
              </w:tc>
              <w:tc>
                <w:tcPr>
                  <w:tcW w:w="1860" w:type="dxa"/>
                  <w:noWrap w:val="0"/>
                  <w:vAlign w:val="center"/>
                </w:tcPr>
                <w:p>
                  <w:pPr>
                    <w:pStyle w:val="7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000000"/>
                      <w:kern w:val="0"/>
                      <w:sz w:val="21"/>
                      <w:szCs w:val="18"/>
                      <w:lang w:val="en-US" w:eastAsia="zh-CN" w:bidi="ar-SA"/>
                    </w:rPr>
                  </w:pPr>
                  <w:r>
                    <w:rPr>
                      <w:rFonts w:hint="default" w:ascii="Times New Roman" w:hAnsi="Times New Roman" w:eastAsia="宋体"/>
                      <w:color w:val="000000"/>
                    </w:rPr>
                    <w:t>全年日均值</w:t>
                  </w:r>
                </w:p>
              </w:tc>
              <w:tc>
                <w:tcPr>
                  <w:tcW w:w="78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m</w:t>
                  </w:r>
                  <w:r>
                    <w:rPr>
                      <w:rFonts w:hint="default" w:ascii="Times New Roman" w:hAnsi="Times New Roman" w:eastAsia="宋体"/>
                      <w:color w:val="000000"/>
                    </w:rPr>
                    <w:t>g/m</w:t>
                  </w:r>
                  <w:r>
                    <w:rPr>
                      <w:rFonts w:hint="eastAsia" w:ascii="Times New Roman" w:hAnsi="Times New Roman" w:eastAsia="宋体"/>
                      <w:color w:val="000000"/>
                      <w:vertAlign w:val="superscript"/>
                      <w:lang w:val="en-US" w:eastAsia="zh-CN"/>
                    </w:rPr>
                    <w:t>3</w:t>
                  </w:r>
                </w:p>
              </w:tc>
              <w:tc>
                <w:tcPr>
                  <w:tcW w:w="115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1.3</w:t>
                  </w:r>
                </w:p>
              </w:tc>
              <w:tc>
                <w:tcPr>
                  <w:tcW w:w="84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4</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32.5</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达标</w:t>
                  </w:r>
                </w:p>
              </w:tc>
              <w:tc>
                <w:tcPr>
                  <w:tcW w:w="796" w:type="dxa"/>
                  <w:vMerge w:val="continue"/>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6</w:t>
                  </w:r>
                </w:p>
              </w:tc>
              <w:tc>
                <w:tcPr>
                  <w:tcW w:w="90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O</w:t>
                  </w:r>
                  <w:r>
                    <w:rPr>
                      <w:rFonts w:hint="eastAsia" w:ascii="Times New Roman" w:hAnsi="Times New Roman" w:eastAsia="宋体"/>
                      <w:color w:val="000000"/>
                      <w:vertAlign w:val="subscript"/>
                      <w:lang w:val="en-US" w:eastAsia="zh-CN"/>
                    </w:rPr>
                    <w:t>3</w:t>
                  </w:r>
                </w:p>
              </w:tc>
              <w:tc>
                <w:tcPr>
                  <w:tcW w:w="1860" w:type="dxa"/>
                  <w:noWrap w:val="0"/>
                  <w:vAlign w:val="center"/>
                </w:tcPr>
                <w:p>
                  <w:pPr>
                    <w:pStyle w:val="7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000000"/>
                      <w:kern w:val="0"/>
                      <w:sz w:val="21"/>
                      <w:szCs w:val="18"/>
                      <w:lang w:val="en-US" w:eastAsia="zh-CN" w:bidi="ar-SA"/>
                    </w:rPr>
                  </w:pPr>
                  <w:r>
                    <w:rPr>
                      <w:rFonts w:hint="default" w:ascii="Times New Roman" w:hAnsi="Times New Roman" w:eastAsia="宋体"/>
                      <w:color w:val="000000"/>
                    </w:rPr>
                    <w:t>全年日8小时均值</w:t>
                  </w:r>
                </w:p>
              </w:tc>
              <w:tc>
                <w:tcPr>
                  <w:tcW w:w="78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default" w:ascii="Times New Roman" w:hAnsi="Times New Roman" w:eastAsia="宋体"/>
                      <w:color w:val="000000"/>
                    </w:rPr>
                    <w:t>μg/m</w:t>
                  </w:r>
                  <w:r>
                    <w:rPr>
                      <w:rFonts w:hint="eastAsia" w:ascii="Times New Roman" w:hAnsi="Times New Roman" w:eastAsia="宋体"/>
                      <w:color w:val="000000"/>
                      <w:vertAlign w:val="superscript"/>
                      <w:lang w:val="en-US" w:eastAsia="zh-CN"/>
                    </w:rPr>
                    <w:t>3</w:t>
                  </w:r>
                </w:p>
              </w:tc>
              <w:tc>
                <w:tcPr>
                  <w:tcW w:w="115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170</w:t>
                  </w:r>
                </w:p>
              </w:tc>
              <w:tc>
                <w:tcPr>
                  <w:tcW w:w="840"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160</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vertAlign w:val="baseline"/>
                      <w:lang w:val="en-US" w:eastAsia="zh-CN"/>
                    </w:rPr>
                    <w:t>106.3</w:t>
                  </w:r>
                </w:p>
              </w:tc>
              <w:tc>
                <w:tcPr>
                  <w:tcW w:w="915" w:type="dxa"/>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r>
                    <w:rPr>
                      <w:rFonts w:hint="eastAsia" w:ascii="Times New Roman" w:hAnsi="Times New Roman" w:eastAsia="宋体"/>
                      <w:color w:val="000000"/>
                      <w:lang w:val="en-US" w:eastAsia="zh-CN"/>
                    </w:rPr>
                    <w:t>不达标</w:t>
                  </w:r>
                </w:p>
              </w:tc>
              <w:tc>
                <w:tcPr>
                  <w:tcW w:w="796" w:type="dxa"/>
                  <w:vMerge w:val="continue"/>
                  <w:noWrap w:val="0"/>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000000"/>
                      <w:vertAlign w:val="baseline"/>
                      <w:lang w:val="en-US" w:eastAsia="zh-CN"/>
                    </w:rPr>
                  </w:pP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000000"/>
                <w:sz w:val="24"/>
                <w:szCs w:val="22"/>
                <w:vertAlign w:val="baseline"/>
                <w:lang w:val="en-US" w:eastAsia="zh-CN"/>
              </w:rPr>
            </w:pPr>
            <w:r>
              <w:rPr>
                <w:rFonts w:hint="eastAsia" w:ascii="Times New Roman" w:hAnsi="Times New Roman" w:eastAsia="宋体"/>
                <w:color w:val="000000"/>
                <w:sz w:val="24"/>
                <w:szCs w:val="22"/>
                <w:lang w:val="en-US" w:eastAsia="zh-CN"/>
              </w:rPr>
              <w:t>根据</w:t>
            </w:r>
            <w:r>
              <w:rPr>
                <w:rFonts w:hint="default" w:ascii="Times New Roman" w:hAnsi="Times New Roman" w:eastAsia="宋体"/>
                <w:color w:val="000000"/>
                <w:sz w:val="24"/>
                <w:szCs w:val="22"/>
              </w:rPr>
              <w:t>《环境影响评价技术导则  大气环境》</w:t>
            </w:r>
            <w:r>
              <w:rPr>
                <w:rFonts w:hint="eastAsia" w:ascii="Times New Roman" w:hAnsi="Times New Roman" w:eastAsia="宋体"/>
                <w:color w:val="000000"/>
                <w:sz w:val="24"/>
                <w:szCs w:val="22"/>
                <w:lang w:eastAsia="zh-CN"/>
              </w:rPr>
              <w:t>（</w:t>
            </w:r>
            <w:r>
              <w:rPr>
                <w:rFonts w:hint="default" w:ascii="Times New Roman" w:hAnsi="Times New Roman" w:eastAsia="宋体"/>
                <w:color w:val="000000"/>
                <w:sz w:val="24"/>
                <w:szCs w:val="22"/>
              </w:rPr>
              <w:t>HJ2.2-2018）</w:t>
            </w:r>
            <w:r>
              <w:rPr>
                <w:rFonts w:hint="eastAsia" w:ascii="Times New Roman" w:hAnsi="Times New Roman" w:eastAsia="宋体"/>
                <w:color w:val="000000"/>
                <w:sz w:val="24"/>
                <w:szCs w:val="22"/>
                <w:lang w:eastAsia="zh-CN"/>
              </w:rPr>
              <w:t>，</w:t>
            </w:r>
            <w:r>
              <w:rPr>
                <w:rFonts w:hint="eastAsia" w:ascii="Times New Roman" w:hAnsi="Times New Roman" w:eastAsia="宋体"/>
                <w:color w:val="000000"/>
                <w:sz w:val="24"/>
                <w:szCs w:val="22"/>
                <w:lang w:val="en-US" w:eastAsia="zh-CN"/>
              </w:rPr>
              <w:t>城市环境空气质量达标情况评价指标为</w:t>
            </w:r>
            <w:r>
              <w:rPr>
                <w:rFonts w:hint="default" w:ascii="Times New Roman" w:hAnsi="Times New Roman" w:eastAsia="宋体"/>
                <w:color w:val="000000"/>
                <w:sz w:val="24"/>
                <w:szCs w:val="22"/>
              </w:rPr>
              <w:t>SO</w:t>
            </w:r>
            <w:r>
              <w:rPr>
                <w:rFonts w:hint="default" w:ascii="Times New Roman" w:hAnsi="Times New Roman" w:eastAsia="宋体"/>
                <w:color w:val="000000"/>
                <w:sz w:val="24"/>
                <w:szCs w:val="22"/>
                <w:vertAlign w:val="subscript"/>
              </w:rPr>
              <w:t>2</w:t>
            </w:r>
            <w:r>
              <w:rPr>
                <w:rFonts w:hint="default" w:ascii="Times New Roman" w:hAnsi="Times New Roman" w:eastAsia="宋体"/>
                <w:color w:val="000000"/>
                <w:sz w:val="24"/>
                <w:szCs w:val="22"/>
              </w:rPr>
              <w:t>、NO</w:t>
            </w:r>
            <w:r>
              <w:rPr>
                <w:rFonts w:hint="default" w:ascii="Times New Roman" w:hAnsi="Times New Roman" w:eastAsia="宋体"/>
                <w:color w:val="000000"/>
                <w:sz w:val="24"/>
                <w:szCs w:val="22"/>
                <w:vertAlign w:val="subscript"/>
              </w:rPr>
              <w:t>2</w:t>
            </w:r>
            <w:r>
              <w:rPr>
                <w:rFonts w:hint="default" w:ascii="Times New Roman" w:hAnsi="Times New Roman" w:eastAsia="宋体"/>
                <w:color w:val="000000"/>
                <w:sz w:val="24"/>
                <w:szCs w:val="22"/>
              </w:rPr>
              <w:t>、PM</w:t>
            </w:r>
            <w:r>
              <w:rPr>
                <w:rFonts w:hint="default" w:ascii="Times New Roman" w:hAnsi="Times New Roman" w:eastAsia="宋体"/>
                <w:color w:val="000000"/>
                <w:sz w:val="24"/>
                <w:szCs w:val="22"/>
                <w:vertAlign w:val="subscript"/>
              </w:rPr>
              <w:t>10</w:t>
            </w:r>
            <w:r>
              <w:rPr>
                <w:rFonts w:hint="default" w:ascii="Times New Roman" w:hAnsi="Times New Roman" w:eastAsia="宋体"/>
                <w:color w:val="000000"/>
                <w:sz w:val="24"/>
                <w:szCs w:val="22"/>
              </w:rPr>
              <w:t>、PM</w:t>
            </w:r>
            <w:r>
              <w:rPr>
                <w:rFonts w:hint="eastAsia" w:ascii="Times New Roman" w:hAnsi="Times New Roman" w:eastAsia="宋体"/>
                <w:color w:val="000000"/>
                <w:sz w:val="24"/>
                <w:szCs w:val="22"/>
                <w:vertAlign w:val="subscript"/>
                <w:lang w:val="en-US" w:eastAsia="zh-CN"/>
              </w:rPr>
              <w:t>2.5</w:t>
            </w:r>
            <w:r>
              <w:rPr>
                <w:rFonts w:hint="default" w:ascii="Times New Roman" w:hAnsi="Times New Roman" w:eastAsia="宋体"/>
                <w:color w:val="000000"/>
                <w:sz w:val="24"/>
                <w:szCs w:val="22"/>
              </w:rPr>
              <w:t>、</w:t>
            </w:r>
            <w:r>
              <w:rPr>
                <w:rFonts w:hint="eastAsia" w:ascii="Times New Roman" w:hAnsi="Times New Roman" w:eastAsia="宋体"/>
                <w:color w:val="000000"/>
                <w:sz w:val="24"/>
                <w:szCs w:val="22"/>
                <w:lang w:val="en-US" w:eastAsia="zh-CN"/>
              </w:rPr>
              <w:t>CO和O</w:t>
            </w:r>
            <w:r>
              <w:rPr>
                <w:rFonts w:hint="eastAsia" w:ascii="Times New Roman" w:hAnsi="Times New Roman" w:eastAsia="宋体"/>
                <w:color w:val="000000"/>
                <w:sz w:val="24"/>
                <w:szCs w:val="22"/>
                <w:vertAlign w:val="subscript"/>
                <w:lang w:val="en-US" w:eastAsia="zh-CN"/>
              </w:rPr>
              <w:t>3</w:t>
            </w:r>
            <w:r>
              <w:rPr>
                <w:rFonts w:hint="eastAsia" w:ascii="Times New Roman" w:hAnsi="Times New Roman" w:eastAsia="宋体"/>
                <w:color w:val="000000"/>
                <w:sz w:val="24"/>
                <w:szCs w:val="22"/>
                <w:vertAlign w:val="baseline"/>
                <w:lang w:val="en-US" w:eastAsia="zh-CN"/>
              </w:rPr>
              <w:t>，六项污染物全部达标即为城市空气质量达标。</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olor w:val="000000"/>
                <w:sz w:val="24"/>
                <w:szCs w:val="22"/>
                <w:vertAlign w:val="baseline"/>
                <w:lang w:val="en-US" w:eastAsia="zh-CN"/>
              </w:rPr>
            </w:pPr>
            <w:r>
              <w:rPr>
                <w:rFonts w:hint="eastAsia" w:ascii="Times New Roman" w:hAnsi="Times New Roman" w:eastAsia="宋体"/>
                <w:color w:val="000000"/>
                <w:sz w:val="24"/>
                <w:szCs w:val="22"/>
                <w:vertAlign w:val="baseline"/>
                <w:lang w:val="en-US" w:eastAsia="zh-CN"/>
              </w:rPr>
              <w:t>由上表可知，</w:t>
            </w:r>
            <w:r>
              <w:rPr>
                <w:rFonts w:hint="default" w:ascii="Times New Roman" w:hAnsi="Times New Roman" w:eastAsia="宋体"/>
                <w:color w:val="000000"/>
                <w:sz w:val="24"/>
                <w:szCs w:val="22"/>
              </w:rPr>
              <w:t>项目区域PM</w:t>
            </w:r>
            <w:r>
              <w:rPr>
                <w:rFonts w:hint="default" w:ascii="Times New Roman" w:hAnsi="Times New Roman" w:eastAsia="宋体"/>
                <w:color w:val="000000"/>
                <w:sz w:val="24"/>
                <w:szCs w:val="22"/>
                <w:vertAlign w:val="subscript"/>
              </w:rPr>
              <w:t>10</w:t>
            </w:r>
            <w:r>
              <w:rPr>
                <w:rFonts w:hint="default" w:ascii="Times New Roman" w:hAnsi="Times New Roman" w:eastAsia="宋体"/>
                <w:color w:val="000000"/>
                <w:sz w:val="24"/>
                <w:szCs w:val="22"/>
              </w:rPr>
              <w:t>、SO</w:t>
            </w:r>
            <w:r>
              <w:rPr>
                <w:rFonts w:hint="default" w:ascii="Times New Roman" w:hAnsi="Times New Roman" w:eastAsia="宋体"/>
                <w:color w:val="000000"/>
                <w:sz w:val="24"/>
                <w:szCs w:val="22"/>
                <w:vertAlign w:val="subscript"/>
              </w:rPr>
              <w:t>2</w:t>
            </w:r>
            <w:r>
              <w:rPr>
                <w:rFonts w:hint="default" w:ascii="Times New Roman" w:hAnsi="Times New Roman" w:eastAsia="宋体"/>
                <w:color w:val="000000"/>
                <w:sz w:val="24"/>
                <w:szCs w:val="22"/>
              </w:rPr>
              <w:t>年均浓度</w:t>
            </w:r>
            <w:r>
              <w:rPr>
                <w:rFonts w:hint="eastAsia" w:ascii="Times New Roman" w:hAnsi="Times New Roman" w:eastAsia="宋体"/>
                <w:color w:val="000000"/>
                <w:sz w:val="24"/>
                <w:szCs w:val="22"/>
                <w:lang w:val="en-US" w:eastAsia="zh-CN"/>
              </w:rPr>
              <w:t>达到</w:t>
            </w:r>
            <w:r>
              <w:rPr>
                <w:rFonts w:hint="default" w:ascii="Times New Roman" w:hAnsi="Times New Roman" w:eastAsia="宋体"/>
                <w:color w:val="000000"/>
                <w:sz w:val="24"/>
                <w:szCs w:val="22"/>
              </w:rPr>
              <w:t>《环境空气质量标准》（GB3095-2012）的二级标准</w:t>
            </w:r>
            <w:r>
              <w:rPr>
                <w:rFonts w:hint="eastAsia" w:ascii="Times New Roman" w:hAnsi="Times New Roman" w:eastAsia="宋体"/>
                <w:color w:val="000000"/>
                <w:sz w:val="24"/>
                <w:szCs w:val="22"/>
                <w:lang w:eastAsia="zh-CN"/>
              </w:rPr>
              <w:t>，</w:t>
            </w:r>
            <w:r>
              <w:rPr>
                <w:rFonts w:hint="default" w:ascii="Times New Roman" w:hAnsi="Times New Roman" w:eastAsia="宋体"/>
                <w:color w:val="000000"/>
                <w:sz w:val="24"/>
                <w:szCs w:val="22"/>
              </w:rPr>
              <w:t>CO日均浓度</w:t>
            </w:r>
            <w:r>
              <w:rPr>
                <w:rFonts w:hint="eastAsia" w:ascii="Times New Roman" w:hAnsi="Times New Roman" w:eastAsia="宋体"/>
                <w:color w:val="000000"/>
                <w:sz w:val="24"/>
                <w:szCs w:val="22"/>
                <w:lang w:val="en-US" w:eastAsia="zh-CN"/>
              </w:rPr>
              <w:t>达到</w:t>
            </w:r>
            <w:r>
              <w:rPr>
                <w:rFonts w:hint="default" w:ascii="Times New Roman" w:hAnsi="Times New Roman" w:eastAsia="宋体"/>
                <w:color w:val="000000"/>
                <w:sz w:val="24"/>
                <w:szCs w:val="22"/>
              </w:rPr>
              <w:t>《环境空气质量标准》（GB3095-2012）的二级标准</w:t>
            </w:r>
            <w:r>
              <w:rPr>
                <w:rFonts w:hint="eastAsia" w:ascii="Times New Roman" w:hAnsi="Times New Roman" w:eastAsia="宋体"/>
                <w:color w:val="000000"/>
                <w:sz w:val="24"/>
                <w:szCs w:val="22"/>
                <w:lang w:eastAsia="zh-CN"/>
              </w:rPr>
              <w:t>，</w:t>
            </w:r>
            <w:r>
              <w:rPr>
                <w:rFonts w:hint="default" w:ascii="Times New Roman" w:hAnsi="Times New Roman" w:eastAsia="宋体"/>
                <w:color w:val="000000"/>
                <w:sz w:val="24"/>
                <w:szCs w:val="22"/>
              </w:rPr>
              <w:t>PM</w:t>
            </w:r>
            <w:r>
              <w:rPr>
                <w:rFonts w:hint="default" w:ascii="Times New Roman" w:hAnsi="Times New Roman" w:eastAsia="宋体"/>
                <w:color w:val="000000"/>
                <w:sz w:val="24"/>
                <w:szCs w:val="22"/>
                <w:vertAlign w:val="subscript"/>
              </w:rPr>
              <w:t>2.5</w:t>
            </w:r>
            <w:r>
              <w:rPr>
                <w:rFonts w:hint="default" w:ascii="Times New Roman" w:hAnsi="Times New Roman" w:eastAsia="宋体"/>
                <w:color w:val="000000"/>
                <w:sz w:val="24"/>
                <w:szCs w:val="22"/>
              </w:rPr>
              <w:t>、NO</w:t>
            </w:r>
            <w:r>
              <w:rPr>
                <w:rFonts w:hint="default" w:ascii="Times New Roman" w:hAnsi="Times New Roman" w:eastAsia="宋体"/>
                <w:color w:val="000000"/>
                <w:sz w:val="24"/>
                <w:szCs w:val="22"/>
                <w:vertAlign w:val="subscript"/>
              </w:rPr>
              <w:t>2</w:t>
            </w:r>
            <w:r>
              <w:rPr>
                <w:rFonts w:hint="default" w:ascii="Times New Roman" w:hAnsi="Times New Roman" w:eastAsia="宋体"/>
                <w:color w:val="000000"/>
                <w:sz w:val="24"/>
                <w:szCs w:val="22"/>
              </w:rPr>
              <w:t>年均浓度与O</w:t>
            </w:r>
            <w:r>
              <w:rPr>
                <w:rFonts w:hint="default" w:ascii="Times New Roman" w:hAnsi="Times New Roman" w:eastAsia="宋体"/>
                <w:color w:val="000000"/>
                <w:sz w:val="24"/>
                <w:szCs w:val="22"/>
                <w:vertAlign w:val="subscript"/>
              </w:rPr>
              <w:t>3</w:t>
            </w:r>
            <w:r>
              <w:rPr>
                <w:rFonts w:hint="default" w:ascii="Times New Roman" w:hAnsi="Times New Roman" w:eastAsia="宋体"/>
                <w:color w:val="000000"/>
                <w:sz w:val="24"/>
                <w:szCs w:val="22"/>
              </w:rPr>
              <w:t>日最大8小时平均浓度均有超标现象，因此区域环境质量判定为不达标。</w:t>
            </w:r>
          </w:p>
          <w:p>
            <w:pPr>
              <w:spacing w:line="360" w:lineRule="auto"/>
              <w:ind w:firstLine="480" w:firstLineChars="200"/>
              <w:rPr>
                <w:rFonts w:hint="eastAsia" w:ascii="Times New Roman" w:hAnsi="Times New Roman" w:eastAsia="宋体"/>
                <w:kern w:val="0"/>
                <w:sz w:val="24"/>
              </w:rPr>
            </w:pPr>
            <w:r>
              <w:rPr>
                <w:rFonts w:ascii="Times New Roman" w:hAnsi="Times New Roman" w:eastAsia="宋体"/>
                <w:color w:val="000000"/>
                <w:sz w:val="24"/>
                <w:szCs w:val="24"/>
              </w:rPr>
              <w:t>根据《芜湖市大气污染防治行动计划实施方案》、《芜湖市进一步加强高污染燃料禁燃区管理工作实施方案》等工作文件，芜湖市通过加快重点行业工业企业治理，对电力、钢铁、水泥、平板玻璃等重点行业实施烟气排放超标改造，开展</w:t>
            </w:r>
            <w:r>
              <w:rPr>
                <w:rFonts w:hint="eastAsia" w:ascii="Times New Roman" w:hAnsi="Times New Roman" w:eastAsia="宋体"/>
                <w:color w:val="000000"/>
                <w:sz w:val="24"/>
                <w:szCs w:val="24"/>
              </w:rPr>
              <w:t>VOCs</w:t>
            </w:r>
            <w:r>
              <w:rPr>
                <w:rFonts w:ascii="Times New Roman" w:hAnsi="Times New Roman" w:eastAsia="宋体"/>
                <w:color w:val="000000"/>
                <w:sz w:val="24"/>
                <w:szCs w:val="24"/>
              </w:rPr>
              <w:t>（挥发性有机化合物）综合治理，落实扬尘整治措施，强化移动源污染监管，加强燃煤锅炉小锅炉淘汰、餐饮油烟治理等措施改善环境空气质量。</w:t>
            </w:r>
          </w:p>
          <w:p>
            <w:pPr>
              <w:spacing w:line="440" w:lineRule="exact"/>
              <w:ind w:left="-4" w:leftChars="-2" w:firstLine="482" w:firstLineChars="200"/>
              <w:rPr>
                <w:rFonts w:ascii="Times New Roman" w:hAnsi="Times New Roman" w:eastAsia="宋体"/>
                <w:b/>
                <w:bCs/>
                <w:sz w:val="24"/>
              </w:rPr>
            </w:pPr>
            <w:r>
              <w:rPr>
                <w:rFonts w:ascii="Times New Roman" w:hAnsi="Times New Roman" w:eastAsia="宋体"/>
                <w:b/>
                <w:bCs/>
                <w:sz w:val="24"/>
              </w:rPr>
              <w:t>2、地表水环境质量现状</w:t>
            </w:r>
          </w:p>
          <w:p>
            <w:pPr>
              <w:spacing w:line="500" w:lineRule="exact"/>
              <w:ind w:firstLine="480" w:firstLineChars="200"/>
              <w:rPr>
                <w:rFonts w:ascii="Times New Roman" w:hAnsi="Times New Roman" w:eastAsia="宋体"/>
                <w:sz w:val="24"/>
              </w:rPr>
            </w:pPr>
            <w:r>
              <w:rPr>
                <w:rFonts w:ascii="Times New Roman" w:hAnsi="Times New Roman" w:eastAsia="宋体"/>
                <w:sz w:val="24"/>
              </w:rPr>
              <w:t>项目附近地表水体为长江，本次环评地表水质量现状数据引用《弋江区中祥汽配橡塑密封件厂年产40吨橡胶密封件项目环境影响报告书》地表水环境现状监测数据，检测日期为2018年5月11日～5月13日，引用数据可行、有效，其监测内容情况如下。</w:t>
            </w:r>
          </w:p>
          <w:p>
            <w:pPr>
              <w:spacing w:line="500" w:lineRule="exact"/>
              <w:ind w:firstLine="480" w:firstLineChars="200"/>
              <w:jc w:val="left"/>
              <w:rPr>
                <w:rFonts w:ascii="Times New Roman" w:hAnsi="Times New Roman" w:eastAsia="宋体"/>
                <w:sz w:val="24"/>
              </w:rPr>
            </w:pPr>
            <w:r>
              <w:rPr>
                <w:rFonts w:ascii="Times New Roman" w:hAnsi="Times New Roman" w:eastAsia="宋体"/>
                <w:sz w:val="24"/>
              </w:rPr>
              <w:t>（1）监测因子</w:t>
            </w:r>
          </w:p>
          <w:p>
            <w:pPr>
              <w:spacing w:line="500" w:lineRule="exact"/>
              <w:ind w:firstLine="480" w:firstLineChars="200"/>
              <w:jc w:val="left"/>
              <w:rPr>
                <w:rFonts w:ascii="Times New Roman" w:hAnsi="Times New Roman" w:eastAsia="宋体"/>
                <w:sz w:val="24"/>
              </w:rPr>
            </w:pPr>
            <w:r>
              <w:rPr>
                <w:rFonts w:ascii="Times New Roman" w:hAnsi="Times New Roman" w:eastAsia="宋体"/>
                <w:sz w:val="24"/>
              </w:rPr>
              <w:t>监测项目为pH、BOD</w:t>
            </w:r>
            <w:r>
              <w:rPr>
                <w:rFonts w:ascii="Times New Roman" w:hAnsi="Times New Roman" w:eastAsia="宋体"/>
                <w:sz w:val="24"/>
                <w:vertAlign w:val="subscript"/>
              </w:rPr>
              <w:t>5</w:t>
            </w:r>
            <w:r>
              <w:rPr>
                <w:rFonts w:ascii="Times New Roman" w:hAnsi="Times New Roman" w:eastAsia="宋体"/>
                <w:sz w:val="24"/>
              </w:rPr>
              <w:t>、COD、NH</w:t>
            </w:r>
            <w:r>
              <w:rPr>
                <w:rFonts w:ascii="Times New Roman" w:hAnsi="Times New Roman" w:eastAsia="宋体"/>
                <w:sz w:val="24"/>
                <w:vertAlign w:val="subscript"/>
              </w:rPr>
              <w:t>3</w:t>
            </w:r>
            <w:r>
              <w:rPr>
                <w:rFonts w:ascii="Times New Roman" w:hAnsi="Times New Roman" w:eastAsia="宋体"/>
                <w:sz w:val="24"/>
              </w:rPr>
              <w:t>-N、总磷、SS、TN、石油类。</w:t>
            </w:r>
          </w:p>
          <w:p>
            <w:pPr>
              <w:spacing w:line="500" w:lineRule="exact"/>
              <w:ind w:firstLine="480" w:firstLineChars="200"/>
              <w:jc w:val="left"/>
              <w:rPr>
                <w:rFonts w:ascii="Times New Roman" w:hAnsi="Times New Roman" w:eastAsia="宋体"/>
                <w:sz w:val="24"/>
              </w:rPr>
            </w:pPr>
            <w:r>
              <w:rPr>
                <w:rFonts w:ascii="Times New Roman" w:hAnsi="Times New Roman" w:eastAsia="宋体"/>
                <w:sz w:val="24"/>
              </w:rPr>
              <w:t>（2）监测时间</w:t>
            </w:r>
          </w:p>
          <w:p>
            <w:pPr>
              <w:spacing w:line="500" w:lineRule="exact"/>
              <w:ind w:firstLine="480"/>
              <w:jc w:val="left"/>
              <w:rPr>
                <w:rFonts w:ascii="Times New Roman" w:hAnsi="Times New Roman" w:eastAsia="宋体"/>
                <w:sz w:val="24"/>
              </w:rPr>
            </w:pPr>
            <w:r>
              <w:rPr>
                <w:rFonts w:ascii="Times New Roman" w:hAnsi="Times New Roman" w:eastAsia="宋体"/>
                <w:sz w:val="24"/>
              </w:rPr>
              <w:t>2018年5月11日～5月13日。</w:t>
            </w:r>
          </w:p>
          <w:p>
            <w:pPr>
              <w:spacing w:line="500" w:lineRule="exact"/>
              <w:ind w:firstLine="482"/>
              <w:rPr>
                <w:rFonts w:ascii="Times New Roman" w:hAnsi="Times New Roman" w:eastAsia="宋体"/>
                <w:sz w:val="24"/>
              </w:rPr>
            </w:pPr>
            <w:r>
              <w:rPr>
                <w:rFonts w:ascii="Times New Roman" w:hAnsi="Times New Roman" w:eastAsia="宋体"/>
                <w:sz w:val="24"/>
              </w:rPr>
              <w:t>（3）监测断面</w:t>
            </w:r>
          </w:p>
          <w:p>
            <w:pPr>
              <w:spacing w:line="500" w:lineRule="exact"/>
              <w:ind w:firstLine="480"/>
              <w:rPr>
                <w:rFonts w:ascii="Times New Roman" w:hAnsi="Times New Roman" w:eastAsia="宋体"/>
                <w:sz w:val="24"/>
              </w:rPr>
            </w:pPr>
            <w:r>
              <w:rPr>
                <w:rFonts w:ascii="Times New Roman" w:hAnsi="Times New Roman" w:eastAsia="宋体"/>
                <w:sz w:val="24"/>
              </w:rPr>
              <w:t>监测断面共有3个，具体断面布设位置见下表所示。</w:t>
            </w:r>
          </w:p>
          <w:p>
            <w:pPr>
              <w:spacing w:line="500" w:lineRule="exact"/>
              <w:jc w:val="center"/>
              <w:rPr>
                <w:rFonts w:ascii="Times New Roman" w:hAnsi="Times New Roman" w:eastAsia="宋体"/>
                <w:sz w:val="24"/>
              </w:rPr>
            </w:pPr>
            <w:r>
              <w:rPr>
                <w:rFonts w:ascii="Times New Roman" w:hAnsi="Times New Roman" w:eastAsia="宋体"/>
                <w:b/>
                <w:kern w:val="0"/>
                <w:sz w:val="24"/>
                <w:lang w:bidi="en-US"/>
              </w:rPr>
              <w:t>表</w:t>
            </w:r>
            <w:r>
              <w:rPr>
                <w:rFonts w:hint="eastAsia" w:ascii="Times New Roman" w:hAnsi="Times New Roman" w:eastAsia="宋体"/>
                <w:b/>
                <w:kern w:val="0"/>
                <w:sz w:val="24"/>
                <w:lang w:val="en-US" w:eastAsia="zh-CN" w:bidi="en-US"/>
              </w:rPr>
              <w:t>3-2</w:t>
            </w:r>
            <w:r>
              <w:rPr>
                <w:rFonts w:ascii="Times New Roman" w:hAnsi="Times New Roman" w:eastAsia="宋体"/>
                <w:b/>
                <w:kern w:val="0"/>
                <w:sz w:val="24"/>
                <w:lang w:bidi="en-US"/>
              </w:rPr>
              <w:t xml:space="preserve">  地表水水质监测断面一览表</w:t>
            </w:r>
          </w:p>
          <w:tbl>
            <w:tblPr>
              <w:tblStyle w:val="28"/>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179"/>
              <w:gridCol w:w="1815"/>
              <w:gridCol w:w="4270"/>
              <w:gridCol w:w="177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652" w:type="pct"/>
                  <w:noWrap w:val="0"/>
                  <w:vAlign w:val="center"/>
                </w:tcPr>
                <w:p>
                  <w:pPr>
                    <w:jc w:val="center"/>
                    <w:rPr>
                      <w:rFonts w:ascii="Times New Roman" w:hAnsi="Times New Roman" w:eastAsia="宋体"/>
                      <w:b/>
                      <w:bCs/>
                      <w:szCs w:val="21"/>
                    </w:rPr>
                  </w:pPr>
                  <w:r>
                    <w:rPr>
                      <w:rFonts w:ascii="Times New Roman" w:hAnsi="Times New Roman" w:eastAsia="宋体"/>
                      <w:b/>
                      <w:bCs/>
                      <w:szCs w:val="21"/>
                    </w:rPr>
                    <w:t>序号</w:t>
                  </w:r>
                </w:p>
              </w:tc>
              <w:tc>
                <w:tcPr>
                  <w:tcW w:w="1004" w:type="pct"/>
                  <w:noWrap w:val="0"/>
                  <w:vAlign w:val="center"/>
                </w:tcPr>
                <w:p>
                  <w:pPr>
                    <w:jc w:val="center"/>
                    <w:rPr>
                      <w:rFonts w:ascii="Times New Roman" w:hAnsi="Times New Roman" w:eastAsia="宋体"/>
                      <w:b/>
                      <w:bCs/>
                      <w:szCs w:val="21"/>
                    </w:rPr>
                  </w:pPr>
                  <w:r>
                    <w:rPr>
                      <w:rFonts w:ascii="Times New Roman" w:hAnsi="Times New Roman" w:eastAsia="宋体"/>
                      <w:b/>
                      <w:bCs/>
                      <w:szCs w:val="21"/>
                    </w:rPr>
                    <w:t>监测河流</w:t>
                  </w:r>
                </w:p>
              </w:tc>
              <w:tc>
                <w:tcPr>
                  <w:tcW w:w="2362" w:type="pct"/>
                  <w:noWrap w:val="0"/>
                  <w:vAlign w:val="center"/>
                </w:tcPr>
                <w:p>
                  <w:pPr>
                    <w:jc w:val="center"/>
                    <w:rPr>
                      <w:rFonts w:ascii="Times New Roman" w:hAnsi="Times New Roman" w:eastAsia="宋体"/>
                      <w:b/>
                      <w:bCs/>
                      <w:szCs w:val="21"/>
                    </w:rPr>
                  </w:pPr>
                  <w:r>
                    <w:rPr>
                      <w:rFonts w:ascii="Times New Roman" w:hAnsi="Times New Roman" w:eastAsia="宋体"/>
                      <w:b/>
                      <w:bCs/>
                      <w:szCs w:val="21"/>
                    </w:rPr>
                    <w:t>断面位置</w:t>
                  </w:r>
                </w:p>
              </w:tc>
              <w:tc>
                <w:tcPr>
                  <w:tcW w:w="982" w:type="pct"/>
                  <w:noWrap w:val="0"/>
                  <w:vAlign w:val="center"/>
                </w:tcPr>
                <w:p>
                  <w:pPr>
                    <w:jc w:val="center"/>
                    <w:rPr>
                      <w:rFonts w:ascii="Times New Roman" w:hAnsi="Times New Roman" w:eastAsia="宋体"/>
                      <w:b/>
                      <w:bCs/>
                      <w:szCs w:val="21"/>
                    </w:rPr>
                  </w:pPr>
                  <w:r>
                    <w:rPr>
                      <w:rFonts w:ascii="Times New Roman" w:hAnsi="Times New Roman" w:eastAsia="宋体"/>
                      <w:b/>
                      <w:bCs/>
                      <w:szCs w:val="21"/>
                    </w:rPr>
                    <w:t>功能</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652" w:type="pct"/>
                  <w:noWrap w:val="0"/>
                  <w:vAlign w:val="center"/>
                </w:tcPr>
                <w:p>
                  <w:pPr>
                    <w:jc w:val="center"/>
                    <w:rPr>
                      <w:rFonts w:ascii="Times New Roman" w:hAnsi="Times New Roman" w:eastAsia="宋体"/>
                      <w:szCs w:val="21"/>
                    </w:rPr>
                  </w:pPr>
                  <w:r>
                    <w:rPr>
                      <w:rFonts w:ascii="Times New Roman" w:hAnsi="Times New Roman" w:eastAsia="宋体"/>
                      <w:szCs w:val="21"/>
                    </w:rPr>
                    <w:t>W1</w:t>
                  </w:r>
                </w:p>
              </w:tc>
              <w:tc>
                <w:tcPr>
                  <w:tcW w:w="1004" w:type="pct"/>
                  <w:vMerge w:val="restart"/>
                  <w:noWrap w:val="0"/>
                  <w:vAlign w:val="center"/>
                </w:tcPr>
                <w:p>
                  <w:pPr>
                    <w:jc w:val="center"/>
                    <w:rPr>
                      <w:rFonts w:ascii="Times New Roman" w:hAnsi="Times New Roman" w:eastAsia="宋体"/>
                      <w:szCs w:val="21"/>
                    </w:rPr>
                  </w:pPr>
                  <w:r>
                    <w:rPr>
                      <w:rFonts w:ascii="Times New Roman" w:hAnsi="Times New Roman" w:eastAsia="宋体"/>
                      <w:szCs w:val="21"/>
                    </w:rPr>
                    <w:t>长江</w:t>
                  </w:r>
                </w:p>
              </w:tc>
              <w:tc>
                <w:tcPr>
                  <w:tcW w:w="2362" w:type="pct"/>
                  <w:noWrap w:val="0"/>
                  <w:vAlign w:val="center"/>
                </w:tcPr>
                <w:p>
                  <w:pPr>
                    <w:jc w:val="center"/>
                    <w:rPr>
                      <w:rFonts w:ascii="Times New Roman" w:hAnsi="Times New Roman" w:eastAsia="宋体"/>
                      <w:szCs w:val="21"/>
                    </w:rPr>
                  </w:pPr>
                  <w:r>
                    <w:rPr>
                      <w:rFonts w:ascii="Times New Roman" w:hAnsi="Times New Roman" w:eastAsia="宋体"/>
                      <w:szCs w:val="21"/>
                    </w:rPr>
                    <w:t>城南污水处理厂排口上游500m</w:t>
                  </w:r>
                </w:p>
              </w:tc>
              <w:tc>
                <w:tcPr>
                  <w:tcW w:w="982" w:type="pct"/>
                  <w:noWrap w:val="0"/>
                  <w:vAlign w:val="center"/>
                </w:tcPr>
                <w:p>
                  <w:pPr>
                    <w:jc w:val="center"/>
                    <w:rPr>
                      <w:rFonts w:ascii="Times New Roman" w:hAnsi="Times New Roman" w:eastAsia="宋体"/>
                      <w:szCs w:val="21"/>
                    </w:rPr>
                  </w:pPr>
                  <w:r>
                    <w:rPr>
                      <w:rFonts w:ascii="Times New Roman" w:hAnsi="Times New Roman" w:eastAsia="宋体"/>
                      <w:szCs w:val="21"/>
                    </w:rPr>
                    <w:t>对照断面</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340" w:hRule="atLeast"/>
                <w:jc w:val="center"/>
              </w:trPr>
              <w:tc>
                <w:tcPr>
                  <w:tcW w:w="652" w:type="pct"/>
                  <w:noWrap w:val="0"/>
                  <w:vAlign w:val="center"/>
                </w:tcPr>
                <w:p>
                  <w:pPr>
                    <w:jc w:val="center"/>
                    <w:rPr>
                      <w:rFonts w:ascii="Times New Roman" w:hAnsi="Times New Roman" w:eastAsia="宋体"/>
                      <w:szCs w:val="21"/>
                    </w:rPr>
                  </w:pPr>
                  <w:r>
                    <w:rPr>
                      <w:rFonts w:ascii="Times New Roman" w:hAnsi="Times New Roman" w:eastAsia="宋体"/>
                      <w:szCs w:val="21"/>
                    </w:rPr>
                    <w:t>W2</w:t>
                  </w:r>
                </w:p>
              </w:tc>
              <w:tc>
                <w:tcPr>
                  <w:tcW w:w="1004" w:type="pct"/>
                  <w:vMerge w:val="continue"/>
                  <w:noWrap w:val="0"/>
                  <w:vAlign w:val="center"/>
                </w:tcPr>
                <w:p>
                  <w:pPr>
                    <w:jc w:val="center"/>
                    <w:rPr>
                      <w:rFonts w:ascii="Times New Roman" w:hAnsi="Times New Roman" w:eastAsia="宋体"/>
                      <w:szCs w:val="21"/>
                    </w:rPr>
                  </w:pPr>
                </w:p>
              </w:tc>
              <w:tc>
                <w:tcPr>
                  <w:tcW w:w="2362" w:type="pct"/>
                  <w:noWrap w:val="0"/>
                  <w:vAlign w:val="center"/>
                </w:tcPr>
                <w:p>
                  <w:pPr>
                    <w:jc w:val="center"/>
                    <w:rPr>
                      <w:rFonts w:ascii="Times New Roman" w:hAnsi="Times New Roman" w:eastAsia="宋体"/>
                      <w:szCs w:val="21"/>
                    </w:rPr>
                  </w:pPr>
                  <w:r>
                    <w:rPr>
                      <w:rFonts w:ascii="Times New Roman" w:hAnsi="Times New Roman" w:eastAsia="宋体"/>
                      <w:szCs w:val="21"/>
                    </w:rPr>
                    <w:t>城南污水处理厂排口下游500m</w:t>
                  </w:r>
                </w:p>
              </w:tc>
              <w:tc>
                <w:tcPr>
                  <w:tcW w:w="982" w:type="pct"/>
                  <w:noWrap w:val="0"/>
                  <w:vAlign w:val="center"/>
                </w:tcPr>
                <w:p>
                  <w:pPr>
                    <w:jc w:val="center"/>
                    <w:rPr>
                      <w:rFonts w:ascii="Times New Roman" w:hAnsi="Times New Roman" w:eastAsia="宋体"/>
                      <w:szCs w:val="21"/>
                    </w:rPr>
                  </w:pPr>
                  <w:r>
                    <w:rPr>
                      <w:rFonts w:ascii="Times New Roman" w:hAnsi="Times New Roman" w:eastAsia="宋体"/>
                      <w:szCs w:val="21"/>
                    </w:rPr>
                    <w:t>控制断面</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652" w:type="pct"/>
                  <w:noWrap w:val="0"/>
                  <w:vAlign w:val="center"/>
                </w:tcPr>
                <w:p>
                  <w:pPr>
                    <w:jc w:val="center"/>
                    <w:rPr>
                      <w:rFonts w:ascii="Times New Roman" w:hAnsi="Times New Roman" w:eastAsia="宋体"/>
                      <w:szCs w:val="21"/>
                    </w:rPr>
                  </w:pPr>
                  <w:r>
                    <w:rPr>
                      <w:rFonts w:ascii="Times New Roman" w:hAnsi="Times New Roman" w:eastAsia="宋体"/>
                      <w:szCs w:val="21"/>
                    </w:rPr>
                    <w:t>W3</w:t>
                  </w:r>
                </w:p>
              </w:tc>
              <w:tc>
                <w:tcPr>
                  <w:tcW w:w="1004" w:type="pct"/>
                  <w:vMerge w:val="continue"/>
                  <w:noWrap w:val="0"/>
                  <w:vAlign w:val="center"/>
                </w:tcPr>
                <w:p>
                  <w:pPr>
                    <w:jc w:val="center"/>
                    <w:rPr>
                      <w:rFonts w:ascii="Times New Roman" w:hAnsi="Times New Roman" w:eastAsia="宋体"/>
                      <w:szCs w:val="21"/>
                    </w:rPr>
                  </w:pPr>
                </w:p>
              </w:tc>
              <w:tc>
                <w:tcPr>
                  <w:tcW w:w="2362" w:type="pct"/>
                  <w:noWrap w:val="0"/>
                  <w:vAlign w:val="center"/>
                </w:tcPr>
                <w:p>
                  <w:pPr>
                    <w:jc w:val="center"/>
                    <w:rPr>
                      <w:rFonts w:ascii="Times New Roman" w:hAnsi="Times New Roman" w:eastAsia="宋体"/>
                      <w:szCs w:val="21"/>
                    </w:rPr>
                  </w:pPr>
                  <w:r>
                    <w:rPr>
                      <w:rFonts w:ascii="Times New Roman" w:hAnsi="Times New Roman" w:eastAsia="宋体"/>
                      <w:szCs w:val="21"/>
                    </w:rPr>
                    <w:t>城南污水处理厂排口下游2000m</w:t>
                  </w:r>
                </w:p>
              </w:tc>
              <w:tc>
                <w:tcPr>
                  <w:tcW w:w="982" w:type="pct"/>
                  <w:noWrap w:val="0"/>
                  <w:vAlign w:val="center"/>
                </w:tcPr>
                <w:p>
                  <w:pPr>
                    <w:jc w:val="center"/>
                    <w:rPr>
                      <w:rFonts w:ascii="Times New Roman" w:hAnsi="Times New Roman" w:eastAsia="宋体"/>
                      <w:szCs w:val="21"/>
                    </w:rPr>
                  </w:pPr>
                  <w:r>
                    <w:rPr>
                      <w:rFonts w:ascii="Times New Roman" w:hAnsi="Times New Roman" w:eastAsia="宋体"/>
                      <w:szCs w:val="21"/>
                    </w:rPr>
                    <w:t>削减断面</w:t>
                  </w:r>
                </w:p>
              </w:tc>
            </w:tr>
          </w:tbl>
          <w:p>
            <w:pPr>
              <w:spacing w:line="500" w:lineRule="exact"/>
              <w:ind w:firstLine="482"/>
              <w:rPr>
                <w:rFonts w:ascii="Times New Roman" w:hAnsi="Times New Roman" w:eastAsia="宋体"/>
                <w:sz w:val="24"/>
              </w:rPr>
            </w:pPr>
            <w:r>
              <w:rPr>
                <w:rFonts w:ascii="Times New Roman" w:hAnsi="Times New Roman" w:eastAsia="宋体"/>
                <w:sz w:val="24"/>
              </w:rPr>
              <w:t>（4）监测结果</w:t>
            </w:r>
          </w:p>
          <w:p>
            <w:pPr>
              <w:spacing w:line="500" w:lineRule="exact"/>
              <w:ind w:firstLine="480"/>
              <w:rPr>
                <w:rFonts w:ascii="Times New Roman" w:hAnsi="Times New Roman" w:eastAsia="宋体"/>
                <w:sz w:val="24"/>
              </w:rPr>
            </w:pPr>
            <w:r>
              <w:rPr>
                <w:rFonts w:ascii="Times New Roman" w:hAnsi="Times New Roman" w:eastAsia="宋体"/>
                <w:sz w:val="24"/>
              </w:rPr>
              <w:t>地表水环境质量监测结果见下表。</w:t>
            </w:r>
          </w:p>
          <w:p>
            <w:pPr>
              <w:spacing w:line="500" w:lineRule="exact"/>
              <w:jc w:val="center"/>
              <w:rPr>
                <w:rFonts w:ascii="Times New Roman" w:hAnsi="Times New Roman" w:eastAsia="宋体"/>
                <w:kern w:val="0"/>
                <w:sz w:val="24"/>
                <w:lang w:bidi="en-US"/>
              </w:rPr>
            </w:pPr>
            <w:r>
              <w:rPr>
                <w:rFonts w:ascii="Times New Roman" w:hAnsi="Times New Roman" w:eastAsia="宋体"/>
                <w:b/>
                <w:kern w:val="0"/>
                <w:sz w:val="24"/>
                <w:lang w:bidi="en-US"/>
              </w:rPr>
              <w:t xml:space="preserve">                     表</w:t>
            </w:r>
            <w:r>
              <w:rPr>
                <w:rFonts w:hint="eastAsia" w:ascii="Times New Roman" w:hAnsi="Times New Roman" w:eastAsia="宋体"/>
                <w:b/>
                <w:kern w:val="0"/>
                <w:sz w:val="24"/>
                <w:lang w:val="en-US" w:eastAsia="zh-CN" w:bidi="en-US"/>
              </w:rPr>
              <w:t>3-3</w:t>
            </w:r>
            <w:r>
              <w:rPr>
                <w:rFonts w:ascii="Times New Roman" w:hAnsi="Times New Roman" w:eastAsia="宋体"/>
                <w:b/>
                <w:kern w:val="0"/>
                <w:sz w:val="24"/>
                <w:lang w:bidi="en-US"/>
              </w:rPr>
              <w:t xml:space="preserve">  水质监测结果统计表    </w:t>
            </w:r>
            <w:r>
              <w:rPr>
                <w:rFonts w:ascii="Times New Roman" w:hAnsi="Times New Roman" w:eastAsia="宋体"/>
                <w:kern w:val="0"/>
                <w:sz w:val="24"/>
                <w:lang w:bidi="en-US"/>
              </w:rPr>
              <w:t>单位：mg/L（pH无量纲）</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240"/>
              <w:gridCol w:w="696"/>
              <w:gridCol w:w="691"/>
              <w:gridCol w:w="828"/>
              <w:gridCol w:w="965"/>
              <w:gridCol w:w="830"/>
              <w:gridCol w:w="940"/>
              <w:gridCol w:w="1029"/>
              <w:gridCol w:w="10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restart"/>
                  <w:tcBorders>
                    <w:tl2br w:val="nil"/>
                    <w:tr2bl w:val="nil"/>
                  </w:tcBorders>
                  <w:noWrap w:val="0"/>
                  <w:vAlign w:val="center"/>
                </w:tcPr>
                <w:p>
                  <w:pPr>
                    <w:widowControl/>
                    <w:jc w:val="center"/>
                    <w:rPr>
                      <w:rFonts w:ascii="Times New Roman" w:hAnsi="Times New Roman" w:eastAsia="宋体"/>
                      <w:b/>
                      <w:kern w:val="0"/>
                      <w:szCs w:val="21"/>
                    </w:rPr>
                  </w:pPr>
                  <w:r>
                    <w:rPr>
                      <w:rFonts w:ascii="Times New Roman" w:hAnsi="Times New Roman" w:eastAsia="宋体"/>
                      <w:b/>
                      <w:kern w:val="0"/>
                      <w:szCs w:val="21"/>
                    </w:rPr>
                    <w:t>监测断面</w:t>
                  </w:r>
                </w:p>
              </w:tc>
              <w:tc>
                <w:tcPr>
                  <w:tcW w:w="686" w:type="pct"/>
                  <w:vMerge w:val="restart"/>
                  <w:tcBorders>
                    <w:tl2br w:val="nil"/>
                    <w:tr2bl w:val="nil"/>
                  </w:tcBorders>
                  <w:noWrap w:val="0"/>
                  <w:vAlign w:val="center"/>
                </w:tcPr>
                <w:p>
                  <w:pPr>
                    <w:widowControl/>
                    <w:jc w:val="center"/>
                    <w:rPr>
                      <w:rFonts w:ascii="Times New Roman" w:hAnsi="Times New Roman" w:eastAsia="宋体"/>
                      <w:b/>
                      <w:kern w:val="0"/>
                      <w:szCs w:val="21"/>
                    </w:rPr>
                  </w:pPr>
                  <w:r>
                    <w:rPr>
                      <w:rFonts w:ascii="Times New Roman" w:hAnsi="Times New Roman" w:eastAsia="宋体"/>
                      <w:b/>
                      <w:kern w:val="0"/>
                      <w:szCs w:val="21"/>
                    </w:rPr>
                    <w:t>采样时间</w:t>
                  </w:r>
                </w:p>
              </w:tc>
              <w:tc>
                <w:tcPr>
                  <w:tcW w:w="3876" w:type="pct"/>
                  <w:gridSpan w:val="8"/>
                  <w:tcBorders>
                    <w:tl2br w:val="nil"/>
                    <w:tr2bl w:val="nil"/>
                  </w:tcBorders>
                  <w:noWrap w:val="0"/>
                  <w:vAlign w:val="center"/>
                </w:tcPr>
                <w:p>
                  <w:pPr>
                    <w:widowControl/>
                    <w:jc w:val="center"/>
                    <w:rPr>
                      <w:rFonts w:ascii="Times New Roman" w:hAnsi="Times New Roman" w:eastAsia="宋体"/>
                      <w:b/>
                      <w:kern w:val="0"/>
                      <w:szCs w:val="21"/>
                    </w:rPr>
                  </w:pPr>
                  <w:r>
                    <w:rPr>
                      <w:rFonts w:ascii="Times New Roman" w:hAnsi="Times New Roman" w:eastAsia="宋体"/>
                      <w:b/>
                      <w:kern w:val="0"/>
                      <w:szCs w:val="21"/>
                    </w:rPr>
                    <w:t>监 测 结 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b/>
                      <w:kern w:val="0"/>
                      <w:szCs w:val="21"/>
                    </w:rPr>
                  </w:pPr>
                </w:p>
              </w:tc>
              <w:tc>
                <w:tcPr>
                  <w:tcW w:w="686" w:type="pct"/>
                  <w:vMerge w:val="continue"/>
                  <w:tcBorders>
                    <w:tl2br w:val="nil"/>
                    <w:tr2bl w:val="nil"/>
                  </w:tcBorders>
                  <w:noWrap w:val="0"/>
                  <w:vAlign w:val="center"/>
                </w:tcPr>
                <w:p>
                  <w:pPr>
                    <w:widowControl/>
                    <w:jc w:val="center"/>
                    <w:rPr>
                      <w:rFonts w:ascii="Times New Roman" w:hAnsi="Times New Roman" w:eastAsia="宋体"/>
                      <w:b/>
                      <w:kern w:val="0"/>
                      <w:szCs w:val="21"/>
                    </w:rPr>
                  </w:pPr>
                </w:p>
              </w:tc>
              <w:tc>
                <w:tcPr>
                  <w:tcW w:w="385" w:type="pct"/>
                  <w:tcBorders>
                    <w:tl2br w:val="nil"/>
                    <w:tr2bl w:val="nil"/>
                  </w:tcBorders>
                  <w:noWrap w:val="0"/>
                  <w:vAlign w:val="center"/>
                </w:tcPr>
                <w:p>
                  <w:pPr>
                    <w:jc w:val="center"/>
                    <w:rPr>
                      <w:rFonts w:ascii="Times New Roman" w:hAnsi="Times New Roman" w:eastAsia="宋体"/>
                      <w:b/>
                      <w:kern w:val="0"/>
                      <w:szCs w:val="21"/>
                    </w:rPr>
                  </w:pPr>
                  <w:r>
                    <w:rPr>
                      <w:rFonts w:ascii="Times New Roman" w:hAnsi="Times New Roman" w:eastAsia="宋体"/>
                      <w:b/>
                      <w:kern w:val="0"/>
                      <w:szCs w:val="21"/>
                    </w:rPr>
                    <w:t>pH</w:t>
                  </w:r>
                </w:p>
              </w:tc>
              <w:tc>
                <w:tcPr>
                  <w:tcW w:w="382" w:type="pct"/>
                  <w:tcBorders>
                    <w:tl2br w:val="nil"/>
                    <w:tr2bl w:val="nil"/>
                  </w:tcBorders>
                  <w:noWrap w:val="0"/>
                  <w:vAlign w:val="center"/>
                </w:tcPr>
                <w:p>
                  <w:pPr>
                    <w:jc w:val="center"/>
                    <w:rPr>
                      <w:rFonts w:ascii="Times New Roman" w:hAnsi="Times New Roman" w:eastAsia="宋体"/>
                      <w:b/>
                      <w:spacing w:val="-12"/>
                      <w:kern w:val="0"/>
                      <w:szCs w:val="21"/>
                    </w:rPr>
                  </w:pPr>
                  <w:r>
                    <w:rPr>
                      <w:rFonts w:ascii="Times New Roman" w:hAnsi="Times New Roman" w:eastAsia="宋体"/>
                      <w:b/>
                      <w:kern w:val="0"/>
                      <w:szCs w:val="21"/>
                    </w:rPr>
                    <w:t>COD</w:t>
                  </w:r>
                </w:p>
              </w:tc>
              <w:tc>
                <w:tcPr>
                  <w:tcW w:w="458" w:type="pct"/>
                  <w:tcBorders>
                    <w:tl2br w:val="nil"/>
                    <w:tr2bl w:val="nil"/>
                  </w:tcBorders>
                  <w:noWrap w:val="0"/>
                  <w:vAlign w:val="center"/>
                </w:tcPr>
                <w:p>
                  <w:pPr>
                    <w:jc w:val="center"/>
                    <w:rPr>
                      <w:rFonts w:ascii="Times New Roman" w:hAnsi="Times New Roman" w:eastAsia="宋体"/>
                      <w:b/>
                      <w:spacing w:val="-12"/>
                      <w:kern w:val="0"/>
                      <w:szCs w:val="21"/>
                    </w:rPr>
                  </w:pPr>
                  <w:r>
                    <w:rPr>
                      <w:rFonts w:ascii="Times New Roman" w:hAnsi="Times New Roman" w:eastAsia="宋体"/>
                      <w:b/>
                      <w:kern w:val="0"/>
                      <w:szCs w:val="21"/>
                    </w:rPr>
                    <w:t>BOD</w:t>
                  </w:r>
                  <w:r>
                    <w:rPr>
                      <w:rFonts w:ascii="Times New Roman" w:hAnsi="Times New Roman" w:eastAsia="宋体"/>
                      <w:b/>
                      <w:kern w:val="0"/>
                      <w:szCs w:val="21"/>
                      <w:vertAlign w:val="subscript"/>
                    </w:rPr>
                    <w:t>5</w:t>
                  </w:r>
                </w:p>
              </w:tc>
              <w:tc>
                <w:tcPr>
                  <w:tcW w:w="534" w:type="pct"/>
                  <w:tcBorders>
                    <w:tl2br w:val="nil"/>
                    <w:tr2bl w:val="nil"/>
                  </w:tcBorders>
                  <w:noWrap w:val="0"/>
                  <w:vAlign w:val="center"/>
                </w:tcPr>
                <w:p>
                  <w:pPr>
                    <w:jc w:val="center"/>
                    <w:rPr>
                      <w:rFonts w:ascii="Times New Roman" w:hAnsi="Times New Roman" w:eastAsia="宋体"/>
                      <w:b/>
                      <w:kern w:val="0"/>
                      <w:szCs w:val="21"/>
                    </w:rPr>
                  </w:pPr>
                  <w:r>
                    <w:rPr>
                      <w:rFonts w:ascii="Times New Roman" w:hAnsi="Times New Roman" w:eastAsia="宋体"/>
                      <w:b/>
                      <w:szCs w:val="21"/>
                    </w:rPr>
                    <w:t>氨氮</w:t>
                  </w:r>
                </w:p>
              </w:tc>
              <w:tc>
                <w:tcPr>
                  <w:tcW w:w="459" w:type="pct"/>
                  <w:tcBorders>
                    <w:tl2br w:val="nil"/>
                    <w:tr2bl w:val="nil"/>
                  </w:tcBorders>
                  <w:noWrap w:val="0"/>
                  <w:vAlign w:val="center"/>
                </w:tcPr>
                <w:p>
                  <w:pPr>
                    <w:jc w:val="center"/>
                    <w:rPr>
                      <w:rFonts w:ascii="Times New Roman" w:hAnsi="Times New Roman" w:eastAsia="宋体"/>
                      <w:b/>
                      <w:kern w:val="0"/>
                      <w:szCs w:val="21"/>
                    </w:rPr>
                  </w:pPr>
                  <w:r>
                    <w:rPr>
                      <w:rFonts w:ascii="Times New Roman" w:hAnsi="Times New Roman" w:eastAsia="宋体"/>
                      <w:b/>
                      <w:szCs w:val="21"/>
                    </w:rPr>
                    <w:t>总磷</w:t>
                  </w:r>
                </w:p>
              </w:tc>
              <w:tc>
                <w:tcPr>
                  <w:tcW w:w="520" w:type="pct"/>
                  <w:tcBorders>
                    <w:tl2br w:val="nil"/>
                    <w:tr2bl w:val="nil"/>
                  </w:tcBorders>
                  <w:noWrap w:val="0"/>
                  <w:vAlign w:val="center"/>
                </w:tcPr>
                <w:p>
                  <w:pPr>
                    <w:jc w:val="center"/>
                    <w:rPr>
                      <w:rFonts w:ascii="Times New Roman" w:hAnsi="Times New Roman" w:eastAsia="宋体"/>
                      <w:b/>
                      <w:kern w:val="0"/>
                      <w:szCs w:val="21"/>
                    </w:rPr>
                  </w:pPr>
                  <w:r>
                    <w:rPr>
                      <w:rFonts w:ascii="Times New Roman" w:hAnsi="Times New Roman" w:eastAsia="宋体"/>
                      <w:b/>
                      <w:kern w:val="0"/>
                      <w:szCs w:val="21"/>
                    </w:rPr>
                    <w:t>SS</w:t>
                  </w:r>
                </w:p>
              </w:tc>
              <w:tc>
                <w:tcPr>
                  <w:tcW w:w="569" w:type="pct"/>
                  <w:tcBorders>
                    <w:tl2br w:val="nil"/>
                    <w:tr2bl w:val="nil"/>
                  </w:tcBorders>
                  <w:noWrap w:val="0"/>
                  <w:vAlign w:val="center"/>
                </w:tcPr>
                <w:p>
                  <w:pPr>
                    <w:jc w:val="center"/>
                    <w:rPr>
                      <w:rFonts w:ascii="Times New Roman" w:hAnsi="Times New Roman" w:eastAsia="宋体"/>
                      <w:b/>
                      <w:kern w:val="0"/>
                      <w:szCs w:val="21"/>
                    </w:rPr>
                  </w:pPr>
                  <w:r>
                    <w:rPr>
                      <w:rFonts w:ascii="Times New Roman" w:hAnsi="Times New Roman" w:eastAsia="宋体"/>
                      <w:b/>
                      <w:kern w:val="0"/>
                      <w:szCs w:val="21"/>
                    </w:rPr>
                    <w:t>总氮</w:t>
                  </w:r>
                </w:p>
              </w:tc>
              <w:tc>
                <w:tcPr>
                  <w:tcW w:w="568" w:type="pct"/>
                  <w:tcBorders>
                    <w:tl2br w:val="nil"/>
                    <w:tr2bl w:val="nil"/>
                  </w:tcBorders>
                  <w:noWrap w:val="0"/>
                  <w:vAlign w:val="center"/>
                </w:tcPr>
                <w:p>
                  <w:pPr>
                    <w:jc w:val="center"/>
                    <w:rPr>
                      <w:rFonts w:ascii="Times New Roman" w:hAnsi="Times New Roman" w:eastAsia="宋体"/>
                      <w:b/>
                      <w:kern w:val="0"/>
                      <w:szCs w:val="21"/>
                    </w:rPr>
                  </w:pPr>
                  <w:r>
                    <w:rPr>
                      <w:rFonts w:ascii="Times New Roman" w:hAnsi="Times New Roman" w:eastAsia="宋体"/>
                      <w:b/>
                      <w:kern w:val="0"/>
                      <w:szCs w:val="21"/>
                    </w:rPr>
                    <w:t>石油类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restar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W1</w:t>
                  </w: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2018.5.11</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7.35</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11</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2.5</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0.485</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0.05</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8</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0.617</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szCs w:val="21"/>
                    </w:rPr>
                    <w:t>0.175</w:t>
                  </w:r>
                </w:p>
              </w:tc>
              <w:tc>
                <w:tcPr>
                  <w:tcW w:w="382"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szCs w:val="21"/>
                    </w:rPr>
                    <w:t>0.55</w:t>
                  </w:r>
                </w:p>
              </w:tc>
              <w:tc>
                <w:tcPr>
                  <w:tcW w:w="458"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szCs w:val="21"/>
                    </w:rPr>
                    <w:t>0.625</w:t>
                  </w:r>
                </w:p>
              </w:tc>
              <w:tc>
                <w:tcPr>
                  <w:tcW w:w="534"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szCs w:val="21"/>
                    </w:rPr>
                    <w:t>0.485</w:t>
                  </w:r>
                </w:p>
              </w:tc>
              <w:tc>
                <w:tcPr>
                  <w:tcW w:w="459"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szCs w:val="21"/>
                    </w:rPr>
                    <w:t>0.25</w:t>
                  </w:r>
                </w:p>
              </w:tc>
              <w:tc>
                <w:tcPr>
                  <w:tcW w:w="520"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szCs w:val="21"/>
                    </w:rPr>
                    <w:t>0.267</w:t>
                  </w:r>
                </w:p>
              </w:tc>
              <w:tc>
                <w:tcPr>
                  <w:tcW w:w="569"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szCs w:val="21"/>
                    </w:rPr>
                    <w:t>0.617</w:t>
                  </w:r>
                </w:p>
              </w:tc>
              <w:tc>
                <w:tcPr>
                  <w:tcW w:w="568"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szCs w:val="21"/>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2018.5.12</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7.31</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12</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2.7</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0.473</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0.04</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9</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0.638</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0.155</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0.60</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0.675</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0.473</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0.20</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0.300</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0.638</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2018.5.13</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7.37</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10</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2.3</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0.497</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0.04</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8</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0.603</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0.185</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0.50</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0.575</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0.497</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0.20</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0.267</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0.603</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restar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W2</w:t>
                  </w: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2018.5.11</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7.46</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14</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3.4</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0.537</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0.07</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11</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0.804</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0.230</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0.70</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0.850</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0.537</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0.35</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0.367</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0.804</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2018.5.12</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7.39</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15</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3.2</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0.522</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0.08</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10</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0.829</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0.195</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0.75</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0.800</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0.522</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0.40</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0.333</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0.829</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2018.5.13</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7.46</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14</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2.9</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0.546</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0.07</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12</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0.784</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0.230</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0.70</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0.725</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0.546</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0.35</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0.400</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0.784</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restar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W3</w:t>
                  </w: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2018.5.11</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7.41</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12</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2.8</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0.471</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0.05</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0.695</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0.205</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0.60</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0.700</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0.471</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0.25</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0.233</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0.695</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2018.5.12</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7.34</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11</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2.6</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0.480</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0.06</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6</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0.621</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0.170</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0.55</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0.650</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0.480</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0.30</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0.200</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0.621</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2018.5.13</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7.38</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12</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2.5</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0.486</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0.05</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10</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0.637</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 w:type="pct"/>
                  <w:vMerge w:val="continue"/>
                  <w:tcBorders>
                    <w:tl2br w:val="nil"/>
                    <w:tr2bl w:val="nil"/>
                  </w:tcBorders>
                  <w:noWrap w:val="0"/>
                  <w:vAlign w:val="center"/>
                </w:tcPr>
                <w:p>
                  <w:pPr>
                    <w:widowControl/>
                    <w:jc w:val="center"/>
                    <w:rPr>
                      <w:rFonts w:ascii="Times New Roman" w:hAnsi="Times New Roman" w:eastAsia="宋体"/>
                      <w:kern w:val="0"/>
                      <w:szCs w:val="21"/>
                    </w:rPr>
                  </w:pPr>
                </w:p>
              </w:tc>
              <w:tc>
                <w:tcPr>
                  <w:tcW w:w="686" w:type="pct"/>
                  <w:tcBorders>
                    <w:tl2br w:val="nil"/>
                    <w:tr2bl w:val="nil"/>
                  </w:tcBorders>
                  <w:noWrap w:val="0"/>
                  <w:vAlign w:val="center"/>
                </w:tcPr>
                <w:p>
                  <w:pPr>
                    <w:widowControl/>
                    <w:jc w:val="center"/>
                    <w:rPr>
                      <w:rFonts w:ascii="Times New Roman" w:hAnsi="Times New Roman" w:eastAsia="宋体"/>
                      <w:kern w:val="0"/>
                      <w:szCs w:val="21"/>
                    </w:rPr>
                  </w:pPr>
                  <w:r>
                    <w:rPr>
                      <w:rFonts w:ascii="Times New Roman" w:hAnsi="Times New Roman" w:eastAsia="宋体"/>
                      <w:kern w:val="0"/>
                      <w:szCs w:val="21"/>
                    </w:rPr>
                    <w:t>单因子指数</w:t>
                  </w:r>
                </w:p>
              </w:tc>
              <w:tc>
                <w:tcPr>
                  <w:tcW w:w="385"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0.190</w:t>
                  </w:r>
                </w:p>
              </w:tc>
              <w:tc>
                <w:tcPr>
                  <w:tcW w:w="382"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0.60</w:t>
                  </w:r>
                </w:p>
              </w:tc>
              <w:tc>
                <w:tcPr>
                  <w:tcW w:w="45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0.625</w:t>
                  </w:r>
                </w:p>
              </w:tc>
              <w:tc>
                <w:tcPr>
                  <w:tcW w:w="534"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0.486</w:t>
                  </w:r>
                </w:p>
              </w:tc>
              <w:tc>
                <w:tcPr>
                  <w:tcW w:w="45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0.25</w:t>
                  </w:r>
                </w:p>
              </w:tc>
              <w:tc>
                <w:tcPr>
                  <w:tcW w:w="520"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0.333</w:t>
                  </w:r>
                </w:p>
              </w:tc>
              <w:tc>
                <w:tcPr>
                  <w:tcW w:w="569"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0.637</w:t>
                  </w:r>
                </w:p>
              </w:tc>
              <w:tc>
                <w:tcPr>
                  <w:tcW w:w="568" w:type="pct"/>
                  <w:tcBorders>
                    <w:tl2br w:val="nil"/>
                    <w:tr2bl w:val="nil"/>
                  </w:tcBorders>
                  <w:noWrap w:val="0"/>
                  <w:vAlign w:val="center"/>
                </w:tcPr>
                <w:p>
                  <w:pPr>
                    <w:jc w:val="center"/>
                    <w:rPr>
                      <w:rFonts w:ascii="Times New Roman" w:hAnsi="Times New Roman" w:eastAsia="宋体"/>
                      <w:szCs w:val="21"/>
                    </w:rPr>
                  </w:pPr>
                  <w:r>
                    <w:rPr>
                      <w:rFonts w:ascii="Times New Roman" w:hAnsi="Times New Roman" w:eastAsia="宋体"/>
                      <w:szCs w:val="21"/>
                    </w:rPr>
                    <w:t>0.15</w:t>
                  </w:r>
                </w:p>
              </w:tc>
            </w:tr>
          </w:tbl>
          <w:p>
            <w:pPr>
              <w:spacing w:line="440" w:lineRule="exact"/>
              <w:ind w:left="-4" w:leftChars="-2" w:firstLine="480" w:firstLineChars="200"/>
              <w:rPr>
                <w:rFonts w:ascii="Times New Roman" w:hAnsi="Times New Roman" w:eastAsia="宋体" w:cs="Times New Roman"/>
                <w:kern w:val="2"/>
                <w:sz w:val="24"/>
                <w:szCs w:val="22"/>
              </w:rPr>
            </w:pPr>
            <w:r>
              <w:rPr>
                <w:rFonts w:ascii="Times New Roman" w:hAnsi="Times New Roman" w:eastAsia="宋体" w:cs="Times New Roman"/>
                <w:kern w:val="2"/>
                <w:sz w:val="24"/>
                <w:szCs w:val="22"/>
              </w:rPr>
              <w:t>监测结果表明，3个断面所有地表水监测因子均小于标准值，地表水长江（芜湖段）水质满足《地表水环境质量标准》（GB3838-2002）中</w:t>
            </w:r>
            <w:r>
              <w:rPr>
                <w:rFonts w:hint="eastAsia" w:ascii="Times New Roman" w:hAnsi="Times New Roman" w:eastAsia="宋体"/>
                <w:kern w:val="2"/>
                <w:sz w:val="24"/>
                <w:szCs w:val="22"/>
              </w:rPr>
              <w:t>Ⅲ</w:t>
            </w:r>
            <w:r>
              <w:rPr>
                <w:rFonts w:ascii="Times New Roman" w:hAnsi="Times New Roman" w:eastAsia="宋体" w:cs="Times New Roman"/>
                <w:kern w:val="2"/>
                <w:sz w:val="24"/>
                <w:szCs w:val="22"/>
              </w:rPr>
              <w:t>类水质标准及相关要求，长江（芜湖段）水质较好。</w:t>
            </w:r>
          </w:p>
          <w:p>
            <w:pPr>
              <w:spacing w:line="440" w:lineRule="exact"/>
              <w:ind w:left="-4" w:leftChars="-2" w:firstLine="482" w:firstLineChars="200"/>
              <w:rPr>
                <w:rFonts w:hint="eastAsia" w:ascii="Times New Roman" w:hAnsi="Times New Roman" w:eastAsia="宋体"/>
                <w:b/>
                <w:sz w:val="24"/>
              </w:rPr>
            </w:pPr>
            <w:r>
              <w:rPr>
                <w:rFonts w:ascii="Times New Roman" w:hAnsi="Times New Roman" w:eastAsia="宋体"/>
                <w:b/>
                <w:sz w:val="24"/>
              </w:rPr>
              <w:t>3、声环境质量现状</w:t>
            </w:r>
          </w:p>
          <w:p>
            <w:pPr>
              <w:pStyle w:val="69"/>
              <w:snapToGrid/>
              <w:ind w:firstLine="477" w:firstLineChars="199"/>
              <w:rPr>
                <w:rFonts w:ascii="Times New Roman" w:hAnsi="Times New Roman" w:eastAsia="宋体"/>
                <w:caps w:val="0"/>
              </w:rPr>
            </w:pPr>
            <w:r>
              <w:rPr>
                <w:rFonts w:ascii="Times New Roman" w:hAnsi="Times New Roman" w:eastAsia="宋体"/>
                <w:caps w:val="0"/>
                <w:color w:val="000000"/>
              </w:rPr>
              <w:t>为了解项目声环境质</w:t>
            </w:r>
            <w:r>
              <w:rPr>
                <w:rFonts w:ascii="Times New Roman" w:hAnsi="Times New Roman" w:eastAsia="宋体"/>
                <w:caps w:val="0"/>
              </w:rPr>
              <w:t>量现状，企业委托</w:t>
            </w:r>
            <w:r>
              <w:rPr>
                <w:rFonts w:hint="eastAsia" w:ascii="Times New Roman" w:hAnsi="Times New Roman" w:eastAsia="宋体"/>
                <w:caps w:val="0"/>
                <w:color w:val="000000"/>
                <w:sz w:val="24"/>
              </w:rPr>
              <w:t>安徽威正测试技术有限公司</w:t>
            </w:r>
            <w:r>
              <w:rPr>
                <w:rFonts w:ascii="Times New Roman" w:hAnsi="Times New Roman" w:eastAsia="宋体"/>
                <w:caps w:val="0"/>
              </w:rPr>
              <w:t>于2020年</w:t>
            </w:r>
            <w:r>
              <w:rPr>
                <w:rFonts w:hint="eastAsia" w:ascii="Times New Roman" w:hAnsi="Times New Roman"/>
                <w:caps w:val="0"/>
                <w:lang w:val="en-US" w:eastAsia="zh-CN"/>
              </w:rPr>
              <w:t>9</w:t>
            </w:r>
            <w:r>
              <w:rPr>
                <w:rFonts w:ascii="Times New Roman" w:hAnsi="Times New Roman" w:eastAsia="宋体"/>
                <w:caps w:val="0"/>
              </w:rPr>
              <w:t>月</w:t>
            </w:r>
            <w:r>
              <w:rPr>
                <w:rFonts w:hint="eastAsia" w:ascii="Times New Roman" w:hAnsi="Times New Roman"/>
                <w:caps w:val="0"/>
                <w:lang w:val="en-US" w:eastAsia="zh-CN"/>
              </w:rPr>
              <w:t>19</w:t>
            </w:r>
            <w:r>
              <w:rPr>
                <w:rFonts w:ascii="Times New Roman" w:hAnsi="Times New Roman" w:eastAsia="宋体"/>
                <w:caps w:val="0"/>
              </w:rPr>
              <w:t>日~</w:t>
            </w:r>
            <w:r>
              <w:rPr>
                <w:rFonts w:hint="eastAsia" w:ascii="Times New Roman" w:hAnsi="Times New Roman"/>
                <w:caps w:val="0"/>
                <w:lang w:val="en-US" w:eastAsia="zh-CN"/>
              </w:rPr>
              <w:t>20</w:t>
            </w:r>
            <w:r>
              <w:rPr>
                <w:rFonts w:ascii="Times New Roman" w:hAnsi="Times New Roman" w:eastAsia="宋体"/>
                <w:caps w:val="0"/>
              </w:rPr>
              <w:t>日对项目周边进行声环境质量现状监测，声环境质量现状监测结果见表3-</w:t>
            </w:r>
            <w:r>
              <w:rPr>
                <w:rFonts w:hint="eastAsia" w:ascii="Times New Roman" w:hAnsi="Times New Roman" w:eastAsia="宋体"/>
                <w:caps w:val="0"/>
                <w:lang w:val="en-US" w:eastAsia="zh-CN"/>
              </w:rPr>
              <w:t>4</w:t>
            </w:r>
            <w:r>
              <w:rPr>
                <w:rFonts w:ascii="Times New Roman" w:hAnsi="Times New Roman" w:eastAsia="宋体"/>
                <w:caps w:val="0"/>
              </w:rPr>
              <w:t>。</w:t>
            </w:r>
          </w:p>
          <w:p>
            <w:pPr>
              <w:spacing w:line="460" w:lineRule="exact"/>
              <w:jc w:val="center"/>
              <w:rPr>
                <w:rFonts w:ascii="Times New Roman" w:hAnsi="Times New Roman" w:eastAsia="宋体"/>
                <w:caps w:val="0"/>
                <w:sz w:val="2"/>
                <w:szCs w:val="2"/>
              </w:rPr>
            </w:pPr>
            <w:r>
              <w:rPr>
                <w:rFonts w:ascii="Times New Roman" w:hAnsi="Times New Roman" w:eastAsia="宋体"/>
                <w:b/>
                <w:caps w:val="0"/>
                <w:sz w:val="24"/>
              </w:rPr>
              <w:t>表 3-</w:t>
            </w:r>
            <w:r>
              <w:rPr>
                <w:rFonts w:hint="eastAsia" w:ascii="Times New Roman" w:hAnsi="Times New Roman" w:eastAsia="宋体"/>
                <w:b/>
                <w:caps w:val="0"/>
                <w:sz w:val="24"/>
                <w:lang w:val="en-US" w:eastAsia="zh-CN"/>
              </w:rPr>
              <w:t>4</w:t>
            </w:r>
            <w:r>
              <w:rPr>
                <w:rFonts w:ascii="Times New Roman" w:hAnsi="Times New Roman" w:eastAsia="宋体"/>
                <w:b/>
                <w:caps w:val="0"/>
                <w:sz w:val="24"/>
              </w:rPr>
              <w:tab/>
            </w:r>
            <w:r>
              <w:rPr>
                <w:rFonts w:ascii="Times New Roman" w:hAnsi="Times New Roman" w:eastAsia="宋体"/>
                <w:b/>
                <w:caps w:val="0"/>
                <w:sz w:val="24"/>
              </w:rPr>
              <w:t>声环境质量现状监测结果</w:t>
            </w:r>
            <w:r>
              <w:rPr>
                <w:rFonts w:ascii="Times New Roman" w:hAnsi="Times New Roman" w:eastAsia="宋体"/>
                <w:b/>
                <w:caps w:val="0"/>
                <w:sz w:val="24"/>
              </w:rPr>
              <w:tab/>
            </w:r>
            <w:r>
              <w:rPr>
                <w:rFonts w:ascii="Times New Roman" w:hAnsi="Times New Roman" w:eastAsia="宋体"/>
                <w:b/>
                <w:caps w:val="0"/>
                <w:sz w:val="24"/>
              </w:rPr>
              <w:t>单位：dB(A)</w:t>
            </w:r>
          </w:p>
          <w:tbl>
            <w:tblPr>
              <w:tblStyle w:val="14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878"/>
              <w:gridCol w:w="1950"/>
              <w:gridCol w:w="1802"/>
              <w:gridCol w:w="1842"/>
              <w:gridCol w:w="159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exact"/>
                <w:jc w:val="center"/>
              </w:trPr>
              <w:tc>
                <w:tcPr>
                  <w:tcW w:w="1035" w:type="pct"/>
                  <w:vMerge w:val="restart"/>
                  <w:noWrap w:val="0"/>
                  <w:vAlign w:val="center"/>
                </w:tcPr>
                <w:p>
                  <w:pPr>
                    <w:pStyle w:val="60"/>
                    <w:ind w:left="3"/>
                    <w:jc w:val="center"/>
                    <w:rPr>
                      <w:rFonts w:ascii="Times New Roman" w:hAnsi="Times New Roman" w:eastAsia="宋体"/>
                      <w:caps w:val="0"/>
                      <w:sz w:val="21"/>
                      <w:szCs w:val="21"/>
                      <w:lang w:eastAsia="zh-CN"/>
                    </w:rPr>
                  </w:pPr>
                  <w:r>
                    <w:rPr>
                      <w:rFonts w:hint="eastAsia" w:ascii="Times New Roman" w:hAnsi="Times New Roman" w:eastAsia="宋体"/>
                      <w:b/>
                      <w:bCs/>
                      <w:caps w:val="0"/>
                      <w:sz w:val="21"/>
                      <w:szCs w:val="21"/>
                      <w:lang w:eastAsia="zh-CN"/>
                    </w:rPr>
                    <w:t>测点编号</w:t>
                  </w:r>
                </w:p>
              </w:tc>
              <w:tc>
                <w:tcPr>
                  <w:tcW w:w="2068" w:type="pct"/>
                  <w:gridSpan w:val="2"/>
                  <w:noWrap w:val="0"/>
                  <w:vAlign w:val="center"/>
                </w:tcPr>
                <w:p>
                  <w:pPr>
                    <w:pStyle w:val="60"/>
                    <w:ind w:left="3"/>
                    <w:jc w:val="center"/>
                    <w:rPr>
                      <w:rFonts w:ascii="Times New Roman" w:hAnsi="Times New Roman" w:eastAsia="宋体"/>
                      <w:caps w:val="0"/>
                      <w:sz w:val="21"/>
                      <w:szCs w:val="21"/>
                      <w:lang w:eastAsia="zh-CN"/>
                    </w:rPr>
                  </w:pPr>
                  <w:r>
                    <w:rPr>
                      <w:rFonts w:ascii="Times New Roman" w:hAnsi="Times New Roman" w:eastAsia="宋体"/>
                      <w:b/>
                      <w:bCs/>
                      <w:caps w:val="0"/>
                      <w:sz w:val="21"/>
                      <w:szCs w:val="21"/>
                      <w:lang w:eastAsia="zh-CN"/>
                    </w:rPr>
                    <w:t>2020</w:t>
                  </w:r>
                  <w:r>
                    <w:rPr>
                      <w:rFonts w:hint="eastAsia" w:ascii="Times New Roman" w:hAnsi="Times New Roman" w:eastAsia="宋体"/>
                      <w:b/>
                      <w:bCs/>
                      <w:caps w:val="0"/>
                      <w:sz w:val="21"/>
                      <w:szCs w:val="21"/>
                      <w:lang w:eastAsia="zh-CN"/>
                    </w:rPr>
                    <w:t>年</w:t>
                  </w:r>
                  <w:r>
                    <w:rPr>
                      <w:rFonts w:hint="eastAsia" w:ascii="Times New Roman" w:hAnsi="Times New Roman"/>
                      <w:b/>
                      <w:bCs/>
                      <w:caps w:val="0"/>
                      <w:sz w:val="21"/>
                      <w:szCs w:val="21"/>
                      <w:lang w:val="en-US" w:eastAsia="zh-CN"/>
                    </w:rPr>
                    <w:t>9</w:t>
                  </w:r>
                  <w:r>
                    <w:rPr>
                      <w:rFonts w:hint="eastAsia" w:ascii="Times New Roman" w:hAnsi="Times New Roman" w:eastAsia="宋体"/>
                      <w:b/>
                      <w:bCs/>
                      <w:caps w:val="0"/>
                      <w:sz w:val="21"/>
                      <w:szCs w:val="21"/>
                      <w:lang w:eastAsia="zh-CN"/>
                    </w:rPr>
                    <w:t>月</w:t>
                  </w:r>
                  <w:r>
                    <w:rPr>
                      <w:rFonts w:hint="eastAsia" w:ascii="Times New Roman" w:hAnsi="Times New Roman"/>
                      <w:b/>
                      <w:bCs/>
                      <w:caps w:val="0"/>
                      <w:sz w:val="21"/>
                      <w:szCs w:val="21"/>
                      <w:lang w:val="en-US" w:eastAsia="zh-CN"/>
                    </w:rPr>
                    <w:t>19</w:t>
                  </w:r>
                  <w:r>
                    <w:rPr>
                      <w:rFonts w:hint="eastAsia" w:ascii="Times New Roman" w:hAnsi="Times New Roman" w:eastAsia="宋体"/>
                      <w:b/>
                      <w:bCs/>
                      <w:caps w:val="0"/>
                      <w:sz w:val="21"/>
                      <w:szCs w:val="21"/>
                      <w:lang w:eastAsia="zh-CN"/>
                    </w:rPr>
                    <w:t>日</w:t>
                  </w:r>
                </w:p>
              </w:tc>
              <w:tc>
                <w:tcPr>
                  <w:tcW w:w="1896" w:type="pct"/>
                  <w:gridSpan w:val="2"/>
                  <w:noWrap w:val="0"/>
                  <w:vAlign w:val="center"/>
                </w:tcPr>
                <w:p>
                  <w:pPr>
                    <w:pStyle w:val="60"/>
                    <w:jc w:val="center"/>
                    <w:rPr>
                      <w:rFonts w:ascii="Times New Roman" w:hAnsi="Times New Roman" w:eastAsia="宋体"/>
                      <w:caps w:val="0"/>
                      <w:sz w:val="21"/>
                      <w:szCs w:val="21"/>
                      <w:lang w:eastAsia="zh-CN"/>
                    </w:rPr>
                  </w:pPr>
                  <w:r>
                    <w:rPr>
                      <w:rFonts w:ascii="Times New Roman" w:hAnsi="Times New Roman" w:eastAsia="宋体"/>
                      <w:b/>
                      <w:bCs/>
                      <w:caps w:val="0"/>
                      <w:sz w:val="21"/>
                      <w:szCs w:val="21"/>
                      <w:lang w:eastAsia="zh-CN"/>
                    </w:rPr>
                    <w:t>2020</w:t>
                  </w:r>
                  <w:r>
                    <w:rPr>
                      <w:rFonts w:hint="eastAsia" w:ascii="Times New Roman" w:hAnsi="Times New Roman" w:eastAsia="宋体"/>
                      <w:b/>
                      <w:bCs/>
                      <w:caps w:val="0"/>
                      <w:sz w:val="21"/>
                      <w:szCs w:val="21"/>
                      <w:lang w:eastAsia="zh-CN"/>
                    </w:rPr>
                    <w:t>年</w:t>
                  </w:r>
                  <w:r>
                    <w:rPr>
                      <w:rFonts w:hint="eastAsia" w:ascii="Times New Roman" w:hAnsi="Times New Roman"/>
                      <w:b/>
                      <w:bCs/>
                      <w:caps w:val="0"/>
                      <w:sz w:val="21"/>
                      <w:szCs w:val="21"/>
                      <w:lang w:val="en-US" w:eastAsia="zh-CN"/>
                    </w:rPr>
                    <w:t>9</w:t>
                  </w:r>
                  <w:r>
                    <w:rPr>
                      <w:rFonts w:hint="eastAsia" w:ascii="Times New Roman" w:hAnsi="Times New Roman" w:eastAsia="宋体"/>
                      <w:b/>
                      <w:bCs/>
                      <w:caps w:val="0"/>
                      <w:sz w:val="21"/>
                      <w:szCs w:val="21"/>
                      <w:lang w:eastAsia="zh-CN"/>
                    </w:rPr>
                    <w:t>月</w:t>
                  </w:r>
                  <w:r>
                    <w:rPr>
                      <w:rFonts w:hint="eastAsia" w:ascii="Times New Roman" w:hAnsi="Times New Roman"/>
                      <w:b/>
                      <w:bCs/>
                      <w:caps w:val="0"/>
                      <w:sz w:val="21"/>
                      <w:szCs w:val="21"/>
                      <w:lang w:val="en-US" w:eastAsia="zh-CN"/>
                    </w:rPr>
                    <w:t>20</w:t>
                  </w:r>
                  <w:r>
                    <w:rPr>
                      <w:rFonts w:hint="eastAsia" w:ascii="Times New Roman" w:hAnsi="Times New Roman" w:eastAsia="宋体"/>
                      <w:b/>
                      <w:bCs/>
                      <w:caps w:val="0"/>
                      <w:sz w:val="21"/>
                      <w:szCs w:val="21"/>
                      <w:lang w:eastAsia="zh-CN"/>
                    </w:rPr>
                    <w:t>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exact"/>
                <w:jc w:val="center"/>
              </w:trPr>
              <w:tc>
                <w:tcPr>
                  <w:tcW w:w="1035" w:type="pct"/>
                  <w:vMerge w:val="continue"/>
                  <w:noWrap w:val="0"/>
                  <w:vAlign w:val="center"/>
                </w:tcPr>
                <w:p>
                  <w:pPr>
                    <w:jc w:val="center"/>
                    <w:rPr>
                      <w:rFonts w:ascii="Times New Roman" w:hAnsi="Times New Roman" w:eastAsia="宋体"/>
                      <w:caps w:val="0"/>
                      <w:color w:val="000000"/>
                      <w:sz w:val="21"/>
                      <w:szCs w:val="21"/>
                      <w:lang w:eastAsia="zh-CN"/>
                    </w:rPr>
                  </w:pPr>
                </w:p>
              </w:tc>
              <w:tc>
                <w:tcPr>
                  <w:tcW w:w="1075" w:type="pct"/>
                  <w:noWrap w:val="0"/>
                  <w:vAlign w:val="center"/>
                </w:tcPr>
                <w:p>
                  <w:pPr>
                    <w:pStyle w:val="60"/>
                    <w:spacing w:line="320" w:lineRule="exact"/>
                    <w:ind w:left="2"/>
                    <w:jc w:val="center"/>
                    <w:rPr>
                      <w:rFonts w:ascii="Times New Roman" w:hAnsi="Times New Roman" w:eastAsia="宋体"/>
                      <w:caps w:val="0"/>
                      <w:color w:val="000000"/>
                      <w:sz w:val="21"/>
                      <w:szCs w:val="21"/>
                      <w:lang w:eastAsia="zh-CN"/>
                    </w:rPr>
                  </w:pPr>
                  <w:r>
                    <w:rPr>
                      <w:rFonts w:hint="eastAsia" w:ascii="Times New Roman" w:hAnsi="Times New Roman" w:eastAsia="宋体"/>
                      <w:caps w:val="0"/>
                      <w:color w:val="000000"/>
                      <w:sz w:val="21"/>
                      <w:szCs w:val="21"/>
                      <w:lang w:eastAsia="zh-CN"/>
                    </w:rPr>
                    <w:t>昼间</w:t>
                  </w:r>
                </w:p>
              </w:tc>
              <w:tc>
                <w:tcPr>
                  <w:tcW w:w="993" w:type="pct"/>
                  <w:noWrap w:val="0"/>
                  <w:vAlign w:val="center"/>
                </w:tcPr>
                <w:p>
                  <w:pPr>
                    <w:pStyle w:val="60"/>
                    <w:spacing w:line="320" w:lineRule="exact"/>
                    <w:jc w:val="center"/>
                    <w:rPr>
                      <w:rFonts w:ascii="Times New Roman" w:hAnsi="Times New Roman" w:eastAsia="宋体"/>
                      <w:caps w:val="0"/>
                      <w:color w:val="000000"/>
                      <w:sz w:val="21"/>
                      <w:szCs w:val="21"/>
                      <w:lang w:eastAsia="zh-CN"/>
                    </w:rPr>
                  </w:pPr>
                  <w:r>
                    <w:rPr>
                      <w:rFonts w:hint="eastAsia" w:ascii="Times New Roman" w:hAnsi="Times New Roman" w:eastAsia="宋体"/>
                      <w:caps w:val="0"/>
                      <w:color w:val="000000"/>
                      <w:sz w:val="21"/>
                      <w:szCs w:val="21"/>
                      <w:lang w:eastAsia="zh-CN"/>
                    </w:rPr>
                    <w:t>夜间</w:t>
                  </w:r>
                </w:p>
              </w:tc>
              <w:tc>
                <w:tcPr>
                  <w:tcW w:w="1015" w:type="pct"/>
                  <w:noWrap w:val="0"/>
                  <w:vAlign w:val="center"/>
                </w:tcPr>
                <w:p>
                  <w:pPr>
                    <w:pStyle w:val="60"/>
                    <w:spacing w:line="320" w:lineRule="exact"/>
                    <w:jc w:val="center"/>
                    <w:rPr>
                      <w:rFonts w:ascii="Times New Roman" w:hAnsi="Times New Roman" w:eastAsia="宋体"/>
                      <w:caps w:val="0"/>
                      <w:color w:val="000000"/>
                      <w:sz w:val="21"/>
                      <w:szCs w:val="21"/>
                      <w:lang w:eastAsia="zh-CN"/>
                    </w:rPr>
                  </w:pPr>
                  <w:r>
                    <w:rPr>
                      <w:rFonts w:hint="eastAsia" w:ascii="Times New Roman" w:hAnsi="Times New Roman" w:eastAsia="宋体"/>
                      <w:caps w:val="0"/>
                      <w:color w:val="000000"/>
                      <w:sz w:val="21"/>
                      <w:szCs w:val="21"/>
                      <w:lang w:eastAsia="zh-CN"/>
                    </w:rPr>
                    <w:t>昼间</w:t>
                  </w:r>
                </w:p>
              </w:tc>
              <w:tc>
                <w:tcPr>
                  <w:tcW w:w="880" w:type="pct"/>
                  <w:noWrap w:val="0"/>
                  <w:vAlign w:val="center"/>
                </w:tcPr>
                <w:p>
                  <w:pPr>
                    <w:pStyle w:val="60"/>
                    <w:jc w:val="center"/>
                    <w:rPr>
                      <w:rFonts w:ascii="Times New Roman" w:hAnsi="Times New Roman" w:eastAsia="宋体"/>
                      <w:caps w:val="0"/>
                      <w:color w:val="000000"/>
                      <w:sz w:val="21"/>
                      <w:szCs w:val="21"/>
                      <w:lang w:eastAsia="zh-CN"/>
                    </w:rPr>
                  </w:pPr>
                  <w:r>
                    <w:rPr>
                      <w:rFonts w:hint="eastAsia" w:ascii="Times New Roman" w:hAnsi="Times New Roman" w:eastAsia="宋体"/>
                      <w:caps w:val="0"/>
                      <w:color w:val="000000"/>
                      <w:sz w:val="21"/>
                      <w:szCs w:val="21"/>
                      <w:lang w:eastAsia="zh-CN"/>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noWrap w:val="0"/>
                  <w:vAlign w:val="center"/>
                </w:tcPr>
                <w:p>
                  <w:pPr>
                    <w:pStyle w:val="60"/>
                    <w:jc w:val="center"/>
                    <w:rPr>
                      <w:rFonts w:ascii="Times New Roman" w:hAnsi="Times New Roman" w:eastAsia="宋体"/>
                      <w:caps w:val="0"/>
                      <w:sz w:val="21"/>
                      <w:szCs w:val="21"/>
                      <w:lang w:eastAsia="zh-CN"/>
                    </w:rPr>
                  </w:pPr>
                  <w:r>
                    <w:rPr>
                      <w:rFonts w:ascii="Times New Roman" w:hAnsi="Times New Roman" w:eastAsia="宋体"/>
                      <w:caps w:val="0"/>
                      <w:sz w:val="21"/>
                      <w:szCs w:val="21"/>
                      <w:lang w:eastAsia="zh-CN"/>
                    </w:rPr>
                    <w:t>N1</w:t>
                  </w:r>
                  <w:r>
                    <w:rPr>
                      <w:rFonts w:hint="eastAsia" w:ascii="Times New Roman" w:hAnsi="Times New Roman" w:eastAsia="宋体"/>
                      <w:caps w:val="0"/>
                      <w:sz w:val="21"/>
                      <w:szCs w:val="21"/>
                      <w:lang w:eastAsia="zh-CN"/>
                    </w:rPr>
                    <w:t>东厂界外</w:t>
                  </w:r>
                  <w:r>
                    <w:rPr>
                      <w:rFonts w:ascii="Times New Roman" w:hAnsi="Times New Roman" w:eastAsia="宋体"/>
                      <w:caps w:val="0"/>
                      <w:sz w:val="21"/>
                      <w:szCs w:val="21"/>
                      <w:lang w:eastAsia="zh-CN"/>
                    </w:rPr>
                    <w:t>1m</w:t>
                  </w:r>
                </w:p>
              </w:tc>
              <w:tc>
                <w:tcPr>
                  <w:tcW w:w="1075" w:type="pct"/>
                  <w:noWrap w:val="0"/>
                  <w:vAlign w:val="center"/>
                </w:tcPr>
                <w:p>
                  <w:pPr>
                    <w:pStyle w:val="60"/>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54.5</w:t>
                  </w:r>
                </w:p>
              </w:tc>
              <w:tc>
                <w:tcPr>
                  <w:tcW w:w="993"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43.9</w:t>
                  </w:r>
                </w:p>
              </w:tc>
              <w:tc>
                <w:tcPr>
                  <w:tcW w:w="1015"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54.1</w:t>
                  </w:r>
                </w:p>
              </w:tc>
              <w:tc>
                <w:tcPr>
                  <w:tcW w:w="880"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43.7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noWrap w:val="0"/>
                  <w:vAlign w:val="center"/>
                </w:tcPr>
                <w:p>
                  <w:pPr>
                    <w:pStyle w:val="60"/>
                    <w:jc w:val="center"/>
                    <w:rPr>
                      <w:rFonts w:ascii="Times New Roman" w:hAnsi="Times New Roman" w:eastAsia="宋体"/>
                      <w:caps w:val="0"/>
                      <w:sz w:val="21"/>
                      <w:szCs w:val="21"/>
                      <w:lang w:eastAsia="zh-CN"/>
                    </w:rPr>
                  </w:pPr>
                  <w:r>
                    <w:rPr>
                      <w:rFonts w:ascii="Times New Roman" w:hAnsi="Times New Roman" w:eastAsia="宋体"/>
                      <w:caps w:val="0"/>
                      <w:sz w:val="21"/>
                      <w:szCs w:val="21"/>
                      <w:lang w:eastAsia="zh-CN"/>
                    </w:rPr>
                    <w:t>N2</w:t>
                  </w:r>
                  <w:r>
                    <w:rPr>
                      <w:rFonts w:hint="eastAsia" w:ascii="Times New Roman" w:hAnsi="Times New Roman" w:eastAsia="宋体"/>
                      <w:caps w:val="0"/>
                      <w:sz w:val="21"/>
                      <w:szCs w:val="21"/>
                      <w:lang w:eastAsia="zh-CN"/>
                    </w:rPr>
                    <w:t>南厂界外</w:t>
                  </w:r>
                  <w:r>
                    <w:rPr>
                      <w:rFonts w:ascii="Times New Roman" w:hAnsi="Times New Roman" w:eastAsia="宋体"/>
                      <w:caps w:val="0"/>
                      <w:sz w:val="21"/>
                      <w:szCs w:val="21"/>
                      <w:lang w:eastAsia="zh-CN"/>
                    </w:rPr>
                    <w:t>1m</w:t>
                  </w:r>
                </w:p>
              </w:tc>
              <w:tc>
                <w:tcPr>
                  <w:tcW w:w="1075" w:type="pct"/>
                  <w:noWrap w:val="0"/>
                  <w:vAlign w:val="center"/>
                </w:tcPr>
                <w:p>
                  <w:pPr>
                    <w:pStyle w:val="60"/>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53.4</w:t>
                  </w:r>
                </w:p>
              </w:tc>
              <w:tc>
                <w:tcPr>
                  <w:tcW w:w="993"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eastAsia="宋体"/>
                      <w:caps w:val="0"/>
                      <w:sz w:val="21"/>
                      <w:szCs w:val="21"/>
                      <w:lang w:val="en-US" w:eastAsia="zh-CN"/>
                    </w:rPr>
                    <w:t>43.5</w:t>
                  </w:r>
                </w:p>
              </w:tc>
              <w:tc>
                <w:tcPr>
                  <w:tcW w:w="1015"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52.8</w:t>
                  </w:r>
                </w:p>
              </w:tc>
              <w:tc>
                <w:tcPr>
                  <w:tcW w:w="880"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43.2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exact"/>
                <w:jc w:val="center"/>
              </w:trPr>
              <w:tc>
                <w:tcPr>
                  <w:tcW w:w="1035" w:type="pct"/>
                  <w:noWrap w:val="0"/>
                  <w:vAlign w:val="center"/>
                </w:tcPr>
                <w:p>
                  <w:pPr>
                    <w:pStyle w:val="60"/>
                    <w:jc w:val="center"/>
                    <w:rPr>
                      <w:rFonts w:ascii="Times New Roman" w:hAnsi="Times New Roman" w:eastAsia="宋体"/>
                      <w:caps w:val="0"/>
                      <w:sz w:val="21"/>
                      <w:szCs w:val="21"/>
                      <w:lang w:eastAsia="zh-CN"/>
                    </w:rPr>
                  </w:pPr>
                  <w:r>
                    <w:rPr>
                      <w:rFonts w:ascii="Times New Roman" w:hAnsi="Times New Roman" w:eastAsia="宋体"/>
                      <w:caps w:val="0"/>
                      <w:sz w:val="21"/>
                      <w:szCs w:val="21"/>
                      <w:lang w:eastAsia="zh-CN"/>
                    </w:rPr>
                    <w:t>N3</w:t>
                  </w:r>
                  <w:r>
                    <w:rPr>
                      <w:rFonts w:hint="eastAsia" w:ascii="Times New Roman" w:hAnsi="Times New Roman" w:eastAsia="宋体"/>
                      <w:caps w:val="0"/>
                      <w:sz w:val="21"/>
                      <w:szCs w:val="21"/>
                      <w:lang w:eastAsia="zh-CN"/>
                    </w:rPr>
                    <w:t>西厂界外</w:t>
                  </w:r>
                  <w:r>
                    <w:rPr>
                      <w:rFonts w:ascii="Times New Roman" w:hAnsi="Times New Roman" w:eastAsia="宋体"/>
                      <w:caps w:val="0"/>
                      <w:sz w:val="21"/>
                      <w:szCs w:val="21"/>
                      <w:lang w:eastAsia="zh-CN"/>
                    </w:rPr>
                    <w:t>1m</w:t>
                  </w:r>
                </w:p>
              </w:tc>
              <w:tc>
                <w:tcPr>
                  <w:tcW w:w="1075" w:type="pct"/>
                  <w:noWrap w:val="0"/>
                  <w:vAlign w:val="center"/>
                </w:tcPr>
                <w:p>
                  <w:pPr>
                    <w:pStyle w:val="60"/>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54.0</w:t>
                  </w:r>
                </w:p>
              </w:tc>
              <w:tc>
                <w:tcPr>
                  <w:tcW w:w="993"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44.0</w:t>
                  </w:r>
                </w:p>
              </w:tc>
              <w:tc>
                <w:tcPr>
                  <w:tcW w:w="1015"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53.6</w:t>
                  </w:r>
                </w:p>
              </w:tc>
              <w:tc>
                <w:tcPr>
                  <w:tcW w:w="880"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44.1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noWrap w:val="0"/>
                  <w:vAlign w:val="center"/>
                </w:tcPr>
                <w:p>
                  <w:pPr>
                    <w:pStyle w:val="60"/>
                    <w:jc w:val="center"/>
                    <w:rPr>
                      <w:rFonts w:ascii="Times New Roman" w:hAnsi="Times New Roman" w:eastAsia="宋体"/>
                      <w:caps w:val="0"/>
                      <w:sz w:val="21"/>
                      <w:szCs w:val="21"/>
                      <w:lang w:eastAsia="zh-CN"/>
                    </w:rPr>
                  </w:pPr>
                  <w:r>
                    <w:rPr>
                      <w:rFonts w:ascii="Times New Roman" w:hAnsi="Times New Roman" w:eastAsia="宋体"/>
                      <w:caps w:val="0"/>
                      <w:sz w:val="21"/>
                      <w:szCs w:val="21"/>
                      <w:lang w:eastAsia="zh-CN"/>
                    </w:rPr>
                    <w:t>N4</w:t>
                  </w:r>
                  <w:r>
                    <w:rPr>
                      <w:rFonts w:hint="eastAsia" w:ascii="Times New Roman" w:hAnsi="Times New Roman" w:eastAsia="宋体"/>
                      <w:caps w:val="0"/>
                      <w:sz w:val="21"/>
                      <w:szCs w:val="21"/>
                      <w:lang w:eastAsia="zh-CN"/>
                    </w:rPr>
                    <w:t>北厂界外</w:t>
                  </w:r>
                  <w:r>
                    <w:rPr>
                      <w:rFonts w:ascii="Times New Roman" w:hAnsi="Times New Roman" w:eastAsia="宋体"/>
                      <w:caps w:val="0"/>
                      <w:sz w:val="21"/>
                      <w:szCs w:val="21"/>
                      <w:lang w:eastAsia="zh-CN"/>
                    </w:rPr>
                    <w:t>1m</w:t>
                  </w:r>
                </w:p>
              </w:tc>
              <w:tc>
                <w:tcPr>
                  <w:tcW w:w="1075" w:type="pct"/>
                  <w:noWrap w:val="0"/>
                  <w:vAlign w:val="center"/>
                </w:tcPr>
                <w:p>
                  <w:pPr>
                    <w:pStyle w:val="60"/>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sz w:val="21"/>
                      <w:szCs w:val="21"/>
                      <w:lang w:val="en-US" w:eastAsia="zh-CN"/>
                    </w:rPr>
                    <w:t>54.7</w:t>
                  </w:r>
                </w:p>
              </w:tc>
              <w:tc>
                <w:tcPr>
                  <w:tcW w:w="993"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eastAsia="宋体"/>
                      <w:caps w:val="0"/>
                      <w:sz w:val="21"/>
                      <w:szCs w:val="21"/>
                      <w:lang w:val="en-US" w:eastAsia="zh-CN"/>
                    </w:rPr>
                    <w:t>44.7</w:t>
                  </w:r>
                </w:p>
              </w:tc>
              <w:tc>
                <w:tcPr>
                  <w:tcW w:w="1015"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54.3</w:t>
                  </w:r>
                </w:p>
              </w:tc>
              <w:tc>
                <w:tcPr>
                  <w:tcW w:w="880" w:type="pct"/>
                  <w:noWrap w:val="0"/>
                  <w:vAlign w:val="center"/>
                </w:tcPr>
                <w:p>
                  <w:pPr>
                    <w:pStyle w:val="60"/>
                    <w:ind w:right="2"/>
                    <w:jc w:val="center"/>
                    <w:rPr>
                      <w:rFonts w:hint="default" w:ascii="Times New Roman" w:hAnsi="Times New Roman" w:eastAsia="宋体"/>
                      <w:caps w:val="0"/>
                      <w:color w:val="FF0000"/>
                      <w:sz w:val="21"/>
                      <w:szCs w:val="21"/>
                      <w:lang w:val="en-US" w:eastAsia="zh-CN"/>
                    </w:rPr>
                  </w:pPr>
                  <w:r>
                    <w:rPr>
                      <w:rFonts w:hint="eastAsia" w:ascii="Times New Roman" w:hAnsi="Times New Roman"/>
                      <w:caps w:val="0"/>
                      <w:color w:val="000000"/>
                      <w:kern w:val="0"/>
                      <w:sz w:val="21"/>
                      <w:szCs w:val="21"/>
                      <w:lang w:val="en-US" w:eastAsia="zh-CN" w:bidi="ar"/>
                    </w:rPr>
                    <w:t>44.5</w:t>
                  </w:r>
                </w:p>
              </w:tc>
            </w:tr>
          </w:tbl>
          <w:p>
            <w:pPr>
              <w:pStyle w:val="69"/>
              <w:snapToGrid/>
              <w:ind w:firstLine="477" w:firstLineChars="199"/>
              <w:rPr>
                <w:rFonts w:hint="eastAsia" w:ascii="Times New Roman" w:hAnsi="Times New Roman" w:eastAsia="宋体"/>
                <w:caps w:val="0"/>
                <w:color w:val="000000"/>
                <w:lang w:val="en-US" w:eastAsia="zh-CN"/>
              </w:rPr>
            </w:pPr>
            <w:r>
              <w:rPr>
                <w:rFonts w:ascii="Times New Roman" w:hAnsi="Times New Roman" w:eastAsia="宋体"/>
                <w:caps w:val="0"/>
                <w:color w:val="000000"/>
              </w:rPr>
              <w:t>根据监测结果，建设项目各厂界的声环境质量现状监测值可满足《声环境质量标准》（GB3096-2008）中的3类标准要求</w:t>
            </w:r>
            <w:r>
              <w:rPr>
                <w:rFonts w:hint="eastAsia" w:ascii="Times New Roman" w:hAnsi="Times New Roman"/>
                <w:caps w:val="0"/>
                <w:color w:val="000000"/>
                <w:lang w:eastAsia="zh-CN"/>
              </w:rPr>
              <w:t>。</w:t>
            </w:r>
          </w:p>
          <w:p>
            <w:pPr>
              <w:spacing w:line="360" w:lineRule="auto"/>
              <w:ind w:firstLine="482" w:firstLineChars="200"/>
              <w:rPr>
                <w:rFonts w:ascii="Times New Roman" w:hAnsi="Times New Roman" w:eastAsia="宋体"/>
                <w:b/>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56" w:hRule="atLeast"/>
          <w:jc w:val="center"/>
        </w:trPr>
        <w:tc>
          <w:tcPr>
            <w:tcW w:w="928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eastAsia="宋体"/>
                <w:b/>
                <w:bCs/>
                <w:color w:val="000000"/>
                <w:sz w:val="28"/>
              </w:rPr>
            </w:pPr>
            <w:r>
              <w:rPr>
                <w:rFonts w:ascii="Times New Roman" w:hAnsi="Times New Roman" w:eastAsia="宋体"/>
                <w:b/>
                <w:bCs/>
                <w:color w:val="000000"/>
                <w:sz w:val="28"/>
              </w:rPr>
              <w:t>主要环境保护目标（列出名单及保护级别）：</w:t>
            </w:r>
          </w:p>
          <w:p>
            <w:pPr>
              <w:spacing w:line="360" w:lineRule="auto"/>
              <w:ind w:firstLine="480" w:firstLineChars="200"/>
              <w:rPr>
                <w:rFonts w:ascii="Times New Roman" w:hAnsi="Times New Roman" w:eastAsia="宋体"/>
                <w:sz w:val="24"/>
                <w:szCs w:val="24"/>
              </w:rPr>
            </w:pPr>
            <w:r>
              <w:rPr>
                <w:rFonts w:ascii="Times New Roman" w:hAnsi="Times New Roman" w:eastAsia="宋体"/>
                <w:color w:val="000000"/>
                <w:sz w:val="24"/>
              </w:rPr>
              <w:t>本项目位于</w:t>
            </w:r>
            <w:r>
              <w:rPr>
                <w:rFonts w:hint="eastAsia" w:ascii="Times New Roman" w:hAnsi="Times New Roman" w:eastAsia="宋体"/>
                <w:color w:val="000000"/>
                <w:sz w:val="24"/>
                <w:szCs w:val="24"/>
              </w:rPr>
              <w:t>芜湖市弋江区火龙岗街道永胜四联村</w:t>
            </w:r>
            <w:r>
              <w:rPr>
                <w:rFonts w:ascii="Times New Roman" w:hAnsi="Times New Roman" w:eastAsia="宋体"/>
                <w:color w:val="000000"/>
                <w:sz w:val="24"/>
              </w:rPr>
              <w:t>，根据现场踏勘结果，项目评价范围内无自然保护区、风景名胜区、饮用水源保护区和文物古迹等需要特殊保护的环境敏感对象。保护目标为总体上不因本项目的实施而改变区域环境现有功能，具体环境保护目标如下</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（1）区域地表水体长江以《地表水环境质量标准》（GB3838-2002）III类保护。</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（2）保护项目区域所在地环境空气质量达到《环境空气质量标准》（GB3095-2012）中的二级标准；</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（3）保护项目区周围环境噪声满足《声环境质量标准》（GB3096-2008）中3类功能区标准。</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其主要环境保护目标详见下表。</w:t>
            </w:r>
          </w:p>
          <w:p>
            <w:pPr>
              <w:spacing w:line="360" w:lineRule="auto"/>
              <w:jc w:val="center"/>
              <w:rPr>
                <w:rFonts w:ascii="Times New Roman" w:hAnsi="Times New Roman" w:eastAsia="宋体"/>
                <w:b/>
                <w:color w:val="000000"/>
                <w:szCs w:val="21"/>
                <w:highlight w:val="none"/>
              </w:rPr>
            </w:pPr>
            <w:r>
              <w:rPr>
                <w:rFonts w:ascii="Times New Roman" w:hAnsi="Times New Roman" w:eastAsia="宋体"/>
                <w:b/>
                <w:color w:val="000000"/>
                <w:sz w:val="24"/>
                <w:szCs w:val="24"/>
                <w:highlight w:val="none"/>
                <w:lang w:bidi="en-US"/>
              </w:rPr>
              <w:t>表</w:t>
            </w:r>
            <w:r>
              <w:rPr>
                <w:rFonts w:hint="eastAsia" w:ascii="Times New Roman" w:hAnsi="Times New Roman" w:eastAsia="宋体"/>
                <w:b/>
                <w:color w:val="000000"/>
                <w:sz w:val="24"/>
                <w:szCs w:val="24"/>
                <w:highlight w:val="none"/>
                <w:lang w:val="en-US" w:eastAsia="zh-CN" w:bidi="en-US"/>
              </w:rPr>
              <w:t>3-5</w:t>
            </w:r>
            <w:r>
              <w:rPr>
                <w:rFonts w:ascii="Times New Roman" w:hAnsi="Times New Roman" w:eastAsia="宋体"/>
                <w:b/>
                <w:color w:val="000000"/>
                <w:sz w:val="24"/>
                <w:szCs w:val="24"/>
                <w:highlight w:val="none"/>
                <w:lang w:bidi="en-US"/>
              </w:rPr>
              <w:t xml:space="preserve">  本项目环境空气保护目标一览表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986"/>
              <w:gridCol w:w="1000"/>
              <w:gridCol w:w="950"/>
              <w:gridCol w:w="1517"/>
              <w:gridCol w:w="1350"/>
              <w:gridCol w:w="933"/>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44" w:type="dxa"/>
                  <w:vMerge w:val="restart"/>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名称</w:t>
                  </w:r>
                </w:p>
              </w:tc>
              <w:tc>
                <w:tcPr>
                  <w:tcW w:w="1986" w:type="dxa"/>
                  <w:gridSpan w:val="2"/>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坐标/m</w:t>
                  </w:r>
                </w:p>
              </w:tc>
              <w:tc>
                <w:tcPr>
                  <w:tcW w:w="950" w:type="dxa"/>
                  <w:vMerge w:val="restart"/>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保护对象</w:t>
                  </w:r>
                </w:p>
              </w:tc>
              <w:tc>
                <w:tcPr>
                  <w:tcW w:w="1517" w:type="dxa"/>
                  <w:vMerge w:val="restart"/>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保护内容</w:t>
                  </w:r>
                </w:p>
              </w:tc>
              <w:tc>
                <w:tcPr>
                  <w:tcW w:w="1350" w:type="dxa"/>
                  <w:vMerge w:val="restart"/>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环境功能区</w:t>
                  </w:r>
                </w:p>
              </w:tc>
              <w:tc>
                <w:tcPr>
                  <w:tcW w:w="933" w:type="dxa"/>
                  <w:vMerge w:val="restart"/>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相对厂址位置</w:t>
                  </w:r>
                </w:p>
              </w:tc>
              <w:tc>
                <w:tcPr>
                  <w:tcW w:w="1064" w:type="dxa"/>
                  <w:vMerge w:val="restart"/>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044"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986" w:type="dxa"/>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X</w:t>
                  </w:r>
                </w:p>
              </w:tc>
              <w:tc>
                <w:tcPr>
                  <w:tcW w:w="1000" w:type="dxa"/>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Y</w:t>
                  </w:r>
                </w:p>
              </w:tc>
              <w:tc>
                <w:tcPr>
                  <w:tcW w:w="950"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1517"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1350"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933"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1064"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noWrap w:val="0"/>
                  <w:vAlign w:val="center"/>
                </w:tcPr>
                <w:p>
                  <w:pPr>
                    <w:pStyle w:val="60"/>
                    <w:autoSpaceDE w:val="0"/>
                    <w:autoSpaceDN w:val="0"/>
                    <w:spacing w:line="240" w:lineRule="atLeast"/>
                    <w:jc w:val="center"/>
                    <w:rPr>
                      <w:rFonts w:ascii="Times New Roman" w:hAnsi="Times New Roman" w:eastAsia="宋体"/>
                      <w:color w:val="000000"/>
                      <w:kern w:val="2"/>
                      <w:sz w:val="21"/>
                      <w:szCs w:val="21"/>
                      <w:highlight w:val="none"/>
                      <w:lang w:eastAsia="zh-CN"/>
                    </w:rPr>
                  </w:pPr>
                  <w:r>
                    <w:rPr>
                      <w:rFonts w:hint="eastAsia" w:ascii="Times New Roman" w:hAnsi="Times New Roman" w:eastAsia="宋体"/>
                      <w:color w:val="000000"/>
                      <w:kern w:val="2"/>
                      <w:sz w:val="21"/>
                      <w:szCs w:val="21"/>
                      <w:highlight w:val="none"/>
                      <w:lang w:eastAsia="zh-CN"/>
                    </w:rPr>
                    <w:t>海螺新村</w:t>
                  </w:r>
                </w:p>
              </w:tc>
              <w:tc>
                <w:tcPr>
                  <w:tcW w:w="986"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118.391826</w:t>
                  </w:r>
                </w:p>
              </w:tc>
              <w:tc>
                <w:tcPr>
                  <w:tcW w:w="1000"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31.226913</w:t>
                  </w:r>
                </w:p>
              </w:tc>
              <w:tc>
                <w:tcPr>
                  <w:tcW w:w="950" w:type="dxa"/>
                  <w:noWrap w:val="0"/>
                  <w:vAlign w:val="center"/>
                </w:tcPr>
                <w:p>
                  <w:pPr>
                    <w:spacing w:line="360" w:lineRule="exact"/>
                    <w:jc w:val="center"/>
                    <w:rPr>
                      <w:rFonts w:hint="eastAsia" w:ascii="Times New Roman" w:hAnsi="Times New Roman" w:eastAsia="宋体"/>
                      <w:color w:val="000000"/>
                      <w:sz w:val="21"/>
                      <w:szCs w:val="21"/>
                      <w:highlight w:val="none"/>
                      <w:lang w:eastAsia="zh-CN"/>
                    </w:rPr>
                  </w:pPr>
                  <w:r>
                    <w:rPr>
                      <w:rFonts w:hint="eastAsia" w:ascii="Times New Roman" w:hAnsi="Times New Roman" w:eastAsia="宋体"/>
                      <w:color w:val="000000"/>
                      <w:sz w:val="21"/>
                      <w:szCs w:val="21"/>
                      <w:highlight w:val="none"/>
                      <w:lang w:eastAsia="zh-CN"/>
                    </w:rPr>
                    <w:t>人群</w:t>
                  </w:r>
                </w:p>
              </w:tc>
              <w:tc>
                <w:tcPr>
                  <w:tcW w:w="1517" w:type="dxa"/>
                  <w:noWrap w:val="0"/>
                  <w:vAlign w:val="center"/>
                </w:tcPr>
                <w:p>
                  <w:pPr>
                    <w:spacing w:line="360" w:lineRule="exact"/>
                    <w:jc w:val="center"/>
                    <w:rPr>
                      <w:rFonts w:ascii="Times New Roman" w:hAnsi="Times New Roman" w:eastAsia="宋体"/>
                      <w:color w:val="000000"/>
                      <w:kern w:val="2"/>
                      <w:sz w:val="21"/>
                      <w:szCs w:val="21"/>
                      <w:highlight w:val="none"/>
                    </w:rPr>
                  </w:pPr>
                  <w:r>
                    <w:rPr>
                      <w:rFonts w:hint="eastAsia" w:ascii="Times New Roman" w:hAnsi="Times New Roman" w:eastAsia="宋体"/>
                      <w:color w:val="000000"/>
                      <w:sz w:val="21"/>
                      <w:szCs w:val="21"/>
                      <w:highlight w:val="none"/>
                      <w:lang w:eastAsia="zh-CN"/>
                    </w:rPr>
                    <w:t>居民</w:t>
                  </w:r>
                </w:p>
              </w:tc>
              <w:tc>
                <w:tcPr>
                  <w:tcW w:w="1350" w:type="dxa"/>
                  <w:vMerge w:val="restart"/>
                  <w:noWrap w:val="0"/>
                  <w:vAlign w:val="center"/>
                </w:tcPr>
                <w:p>
                  <w:pPr>
                    <w:spacing w:line="240" w:lineRule="atLeast"/>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《环境空气质量标准》（GB3095－2012）中二级标准要求</w:t>
                  </w:r>
                </w:p>
              </w:tc>
              <w:tc>
                <w:tcPr>
                  <w:tcW w:w="933" w:type="dxa"/>
                  <w:noWrap w:val="0"/>
                  <w:vAlign w:val="center"/>
                </w:tcPr>
                <w:p>
                  <w:pPr>
                    <w:pStyle w:val="60"/>
                    <w:autoSpaceDE w:val="0"/>
                    <w:autoSpaceDN w:val="0"/>
                    <w:spacing w:line="240" w:lineRule="atLeast"/>
                    <w:jc w:val="center"/>
                    <w:rPr>
                      <w:rFonts w:ascii="Times New Roman" w:hAnsi="Times New Roman" w:eastAsia="宋体"/>
                      <w:color w:val="000000"/>
                      <w:kern w:val="2"/>
                      <w:sz w:val="21"/>
                      <w:szCs w:val="21"/>
                      <w:highlight w:val="none"/>
                    </w:rPr>
                  </w:pPr>
                  <w:r>
                    <w:rPr>
                      <w:rFonts w:hint="eastAsia" w:ascii="Times New Roman" w:hAnsi="Times New Roman" w:eastAsia="宋体"/>
                      <w:color w:val="000000"/>
                      <w:kern w:val="2"/>
                      <w:sz w:val="21"/>
                      <w:szCs w:val="21"/>
                      <w:highlight w:val="none"/>
                      <w:lang w:eastAsia="zh-CN"/>
                    </w:rPr>
                    <w:t>E</w:t>
                  </w:r>
                </w:p>
              </w:tc>
              <w:tc>
                <w:tcPr>
                  <w:tcW w:w="1064" w:type="dxa"/>
                  <w:noWrap w:val="0"/>
                  <w:vAlign w:val="center"/>
                </w:tcPr>
                <w:p>
                  <w:pPr>
                    <w:pStyle w:val="60"/>
                    <w:autoSpaceDE w:val="0"/>
                    <w:autoSpaceDN w:val="0"/>
                    <w:spacing w:line="240" w:lineRule="atLeast"/>
                    <w:jc w:val="center"/>
                    <w:rPr>
                      <w:rFonts w:hint="default" w:ascii="Times New Roman" w:hAnsi="Times New Roman" w:eastAsia="宋体"/>
                      <w:color w:val="000000"/>
                      <w:kern w:val="2"/>
                      <w:sz w:val="21"/>
                      <w:szCs w:val="21"/>
                      <w:highlight w:val="none"/>
                      <w:lang w:val="en-US"/>
                    </w:rPr>
                  </w:pPr>
                  <w:r>
                    <w:rPr>
                      <w:rFonts w:hint="eastAsia" w:ascii="Times New Roman" w:hAnsi="Times New Roman" w:eastAsia="宋体"/>
                      <w:color w:val="000000"/>
                      <w:kern w:val="2"/>
                      <w:sz w:val="21"/>
                      <w:szCs w:val="21"/>
                      <w:highlight w:val="none"/>
                      <w:lang w:val="en-US" w:eastAsia="zh-CN"/>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noWrap w:val="0"/>
                  <w:vAlign w:val="center"/>
                </w:tcPr>
                <w:p>
                  <w:pPr>
                    <w:pStyle w:val="60"/>
                    <w:autoSpaceDE w:val="0"/>
                    <w:autoSpaceDN w:val="0"/>
                    <w:spacing w:line="240" w:lineRule="atLeast"/>
                    <w:jc w:val="center"/>
                    <w:rPr>
                      <w:rFonts w:ascii="Times New Roman" w:hAnsi="Times New Roman" w:eastAsia="宋体"/>
                      <w:color w:val="000000"/>
                      <w:kern w:val="2"/>
                      <w:sz w:val="21"/>
                      <w:szCs w:val="21"/>
                      <w:highlight w:val="none"/>
                      <w:lang w:eastAsia="zh-CN"/>
                    </w:rPr>
                  </w:pPr>
                  <w:r>
                    <w:rPr>
                      <w:rFonts w:hint="eastAsia" w:ascii="Times New Roman" w:hAnsi="Times New Roman" w:eastAsia="宋体"/>
                      <w:color w:val="000000"/>
                      <w:kern w:val="2"/>
                      <w:sz w:val="21"/>
                      <w:szCs w:val="21"/>
                      <w:highlight w:val="none"/>
                      <w:lang w:eastAsia="zh-CN"/>
                    </w:rPr>
                    <w:t>永盛花园</w:t>
                  </w:r>
                </w:p>
              </w:tc>
              <w:tc>
                <w:tcPr>
                  <w:tcW w:w="986"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118.392599</w:t>
                  </w:r>
                </w:p>
              </w:tc>
              <w:tc>
                <w:tcPr>
                  <w:tcW w:w="1000"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31.224289</w:t>
                  </w:r>
                </w:p>
              </w:tc>
              <w:tc>
                <w:tcPr>
                  <w:tcW w:w="950" w:type="dxa"/>
                  <w:noWrap w:val="0"/>
                  <w:vAlign w:val="center"/>
                </w:tcPr>
                <w:p>
                  <w:pPr>
                    <w:spacing w:line="360" w:lineRule="exac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lang w:eastAsia="zh-CN"/>
                    </w:rPr>
                    <w:t>人群</w:t>
                  </w:r>
                </w:p>
              </w:tc>
              <w:tc>
                <w:tcPr>
                  <w:tcW w:w="1517" w:type="dxa"/>
                  <w:noWrap w:val="0"/>
                  <w:vAlign w:val="center"/>
                </w:tcPr>
                <w:p>
                  <w:pPr>
                    <w:spacing w:line="360" w:lineRule="exact"/>
                    <w:jc w:val="center"/>
                    <w:rPr>
                      <w:rFonts w:ascii="Times New Roman" w:hAnsi="Times New Roman" w:eastAsia="宋体"/>
                      <w:color w:val="000000"/>
                      <w:kern w:val="2"/>
                      <w:sz w:val="21"/>
                      <w:szCs w:val="21"/>
                      <w:highlight w:val="none"/>
                    </w:rPr>
                  </w:pPr>
                  <w:r>
                    <w:rPr>
                      <w:rFonts w:ascii="Times New Roman" w:hAnsi="Times New Roman" w:eastAsia="宋体"/>
                      <w:color w:val="000000"/>
                      <w:sz w:val="21"/>
                      <w:szCs w:val="21"/>
                      <w:highlight w:val="none"/>
                    </w:rPr>
                    <w:t>居民</w:t>
                  </w:r>
                </w:p>
              </w:tc>
              <w:tc>
                <w:tcPr>
                  <w:tcW w:w="1350"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933" w:type="dxa"/>
                  <w:noWrap w:val="0"/>
                  <w:vAlign w:val="center"/>
                </w:tcPr>
                <w:p>
                  <w:pPr>
                    <w:pStyle w:val="60"/>
                    <w:autoSpaceDE w:val="0"/>
                    <w:autoSpaceDN w:val="0"/>
                    <w:spacing w:line="240" w:lineRule="atLeast"/>
                    <w:jc w:val="center"/>
                    <w:rPr>
                      <w:rFonts w:ascii="Times New Roman" w:hAnsi="Times New Roman" w:eastAsia="宋体"/>
                      <w:color w:val="000000"/>
                      <w:kern w:val="2"/>
                      <w:sz w:val="21"/>
                      <w:szCs w:val="21"/>
                      <w:highlight w:val="none"/>
                    </w:rPr>
                  </w:pPr>
                  <w:r>
                    <w:rPr>
                      <w:rFonts w:hint="eastAsia" w:ascii="Times New Roman" w:hAnsi="Times New Roman" w:eastAsia="宋体"/>
                      <w:color w:val="000000"/>
                      <w:kern w:val="2"/>
                      <w:sz w:val="21"/>
                      <w:szCs w:val="21"/>
                      <w:highlight w:val="none"/>
                      <w:lang w:val="en-US" w:eastAsia="zh-CN"/>
                    </w:rPr>
                    <w:t>E</w:t>
                  </w:r>
                </w:p>
              </w:tc>
              <w:tc>
                <w:tcPr>
                  <w:tcW w:w="1064" w:type="dxa"/>
                  <w:noWrap w:val="0"/>
                  <w:vAlign w:val="center"/>
                </w:tcPr>
                <w:p>
                  <w:pPr>
                    <w:pStyle w:val="60"/>
                    <w:autoSpaceDE w:val="0"/>
                    <w:autoSpaceDN w:val="0"/>
                    <w:spacing w:line="240" w:lineRule="atLeast"/>
                    <w:jc w:val="center"/>
                    <w:rPr>
                      <w:rFonts w:hint="default" w:ascii="Times New Roman" w:hAnsi="Times New Roman" w:eastAsia="宋体"/>
                      <w:color w:val="000000"/>
                      <w:kern w:val="2"/>
                      <w:sz w:val="21"/>
                      <w:szCs w:val="21"/>
                      <w:highlight w:val="none"/>
                      <w:lang w:val="en-US" w:eastAsia="zh-CN"/>
                    </w:rPr>
                  </w:pPr>
                  <w:r>
                    <w:rPr>
                      <w:rFonts w:hint="eastAsia" w:ascii="Times New Roman" w:hAnsi="Times New Roman" w:eastAsia="宋体"/>
                      <w:color w:val="000000"/>
                      <w:kern w:val="2"/>
                      <w:sz w:val="21"/>
                      <w:szCs w:val="21"/>
                      <w:highlight w:val="none"/>
                      <w:lang w:val="en-US" w:eastAsia="zh-CN"/>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autoSpaceDE w:val="0"/>
                    <w:autoSpaceDN w:val="0"/>
                    <w:spacing w:line="240" w:lineRule="atLeast"/>
                    <w:jc w:val="center"/>
                    <w:rPr>
                      <w:rFonts w:hint="eastAsia" w:ascii="Times New Roman" w:hAnsi="Times New Roman" w:eastAsia="宋体"/>
                      <w:color w:val="000000"/>
                      <w:sz w:val="21"/>
                      <w:szCs w:val="21"/>
                      <w:highlight w:val="none"/>
                      <w:lang w:eastAsia="zh-CN"/>
                    </w:rPr>
                  </w:pPr>
                  <w:r>
                    <w:rPr>
                      <w:rFonts w:hint="eastAsia" w:ascii="Times New Roman" w:hAnsi="Times New Roman" w:eastAsia="宋体"/>
                      <w:color w:val="000000"/>
                      <w:sz w:val="21"/>
                      <w:szCs w:val="21"/>
                      <w:highlight w:val="none"/>
                      <w:lang w:eastAsia="zh-CN"/>
                    </w:rPr>
                    <w:t>圣庭湖畔</w:t>
                  </w:r>
                </w:p>
              </w:tc>
              <w:tc>
                <w:tcPr>
                  <w:tcW w:w="986"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118.400388</w:t>
                  </w:r>
                </w:p>
              </w:tc>
              <w:tc>
                <w:tcPr>
                  <w:tcW w:w="1000"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31.223482</w:t>
                  </w:r>
                </w:p>
              </w:tc>
              <w:tc>
                <w:tcPr>
                  <w:tcW w:w="950" w:type="dxa"/>
                  <w:noWrap w:val="0"/>
                  <w:vAlign w:val="center"/>
                </w:tcPr>
                <w:p>
                  <w:pPr>
                    <w:spacing w:line="360" w:lineRule="exac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lang w:eastAsia="zh-CN"/>
                    </w:rPr>
                    <w:t>人群</w:t>
                  </w:r>
                </w:p>
              </w:tc>
              <w:tc>
                <w:tcPr>
                  <w:tcW w:w="1517" w:type="dxa"/>
                  <w:noWrap w:val="0"/>
                  <w:vAlign w:val="center"/>
                </w:tcPr>
                <w:p>
                  <w:pPr>
                    <w:spacing w:line="360" w:lineRule="exact"/>
                    <w:jc w:val="center"/>
                    <w:rPr>
                      <w:rFonts w:ascii="Times New Roman" w:hAnsi="Times New Roman" w:eastAsia="宋体"/>
                      <w:color w:val="000000"/>
                      <w:kern w:val="2"/>
                      <w:sz w:val="21"/>
                      <w:szCs w:val="21"/>
                      <w:highlight w:val="none"/>
                    </w:rPr>
                  </w:pPr>
                  <w:r>
                    <w:rPr>
                      <w:rFonts w:ascii="Times New Roman" w:hAnsi="Times New Roman" w:eastAsia="宋体"/>
                      <w:color w:val="000000"/>
                      <w:sz w:val="21"/>
                      <w:szCs w:val="21"/>
                      <w:highlight w:val="none"/>
                    </w:rPr>
                    <w:t>居民</w:t>
                  </w:r>
                </w:p>
              </w:tc>
              <w:tc>
                <w:tcPr>
                  <w:tcW w:w="1350"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933" w:type="dxa"/>
                  <w:noWrap w:val="0"/>
                  <w:vAlign w:val="center"/>
                </w:tcPr>
                <w:p>
                  <w:pPr>
                    <w:pStyle w:val="60"/>
                    <w:autoSpaceDE w:val="0"/>
                    <w:autoSpaceDN w:val="0"/>
                    <w:spacing w:line="240" w:lineRule="atLeast"/>
                    <w:jc w:val="center"/>
                    <w:rPr>
                      <w:rFonts w:ascii="Times New Roman" w:hAnsi="Times New Roman" w:eastAsia="宋体"/>
                      <w:color w:val="000000"/>
                      <w:kern w:val="2"/>
                      <w:sz w:val="21"/>
                      <w:szCs w:val="21"/>
                      <w:highlight w:val="none"/>
                    </w:rPr>
                  </w:pPr>
                  <w:r>
                    <w:rPr>
                      <w:rFonts w:hint="eastAsia" w:ascii="Times New Roman" w:hAnsi="Times New Roman" w:eastAsia="宋体"/>
                      <w:color w:val="000000"/>
                      <w:kern w:val="2"/>
                      <w:sz w:val="21"/>
                      <w:szCs w:val="21"/>
                      <w:highlight w:val="none"/>
                      <w:lang w:val="en-US" w:eastAsia="zh-CN"/>
                    </w:rPr>
                    <w:t>E</w:t>
                  </w:r>
                </w:p>
              </w:tc>
              <w:tc>
                <w:tcPr>
                  <w:tcW w:w="1064" w:type="dxa"/>
                  <w:noWrap w:val="0"/>
                  <w:vAlign w:val="center"/>
                </w:tcPr>
                <w:p>
                  <w:pPr>
                    <w:pStyle w:val="60"/>
                    <w:autoSpaceDE w:val="0"/>
                    <w:autoSpaceDN w:val="0"/>
                    <w:spacing w:line="240" w:lineRule="atLeast"/>
                    <w:jc w:val="center"/>
                    <w:rPr>
                      <w:rFonts w:hint="default" w:ascii="Times New Roman" w:hAnsi="Times New Roman" w:eastAsia="宋体"/>
                      <w:color w:val="000000"/>
                      <w:kern w:val="2"/>
                      <w:sz w:val="21"/>
                      <w:szCs w:val="21"/>
                      <w:highlight w:val="none"/>
                      <w:lang w:val="en-US" w:eastAsia="zh-CN"/>
                    </w:rPr>
                  </w:pPr>
                  <w:r>
                    <w:rPr>
                      <w:rFonts w:hint="eastAsia" w:ascii="Times New Roman" w:hAnsi="Times New Roman" w:eastAsia="宋体"/>
                      <w:color w:val="000000"/>
                      <w:kern w:val="2"/>
                      <w:sz w:val="21"/>
                      <w:szCs w:val="21"/>
                      <w:highlight w:val="none"/>
                      <w:lang w:val="en-US" w:eastAsia="zh-CN"/>
                    </w:rPr>
                    <w:t>1254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autoSpaceDE w:val="0"/>
                    <w:autoSpaceDN w:val="0"/>
                    <w:spacing w:line="240" w:lineRule="atLeast"/>
                    <w:jc w:val="center"/>
                    <w:rPr>
                      <w:rFonts w:hint="eastAsia" w:ascii="Times New Roman" w:hAnsi="Times New Roman" w:eastAsia="宋体"/>
                      <w:color w:val="000000"/>
                      <w:sz w:val="21"/>
                      <w:szCs w:val="21"/>
                      <w:highlight w:val="none"/>
                      <w:lang w:eastAsia="zh-CN"/>
                    </w:rPr>
                  </w:pPr>
                  <w:r>
                    <w:rPr>
                      <w:rFonts w:hint="eastAsia" w:ascii="Times New Roman" w:hAnsi="Times New Roman" w:eastAsia="宋体"/>
                      <w:color w:val="000000"/>
                      <w:sz w:val="21"/>
                      <w:szCs w:val="21"/>
                      <w:highlight w:val="none"/>
                      <w:lang w:eastAsia="zh-CN"/>
                    </w:rPr>
                    <w:t>白马小区</w:t>
                  </w:r>
                </w:p>
              </w:tc>
              <w:tc>
                <w:tcPr>
                  <w:tcW w:w="986"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118.398671</w:t>
                  </w:r>
                </w:p>
              </w:tc>
              <w:tc>
                <w:tcPr>
                  <w:tcW w:w="1000"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31.237646</w:t>
                  </w:r>
                </w:p>
              </w:tc>
              <w:tc>
                <w:tcPr>
                  <w:tcW w:w="950" w:type="dxa"/>
                  <w:noWrap w:val="0"/>
                  <w:vAlign w:val="center"/>
                </w:tcPr>
                <w:p>
                  <w:pPr>
                    <w:spacing w:line="360" w:lineRule="exac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lang w:eastAsia="zh-CN"/>
                    </w:rPr>
                    <w:t>人群</w:t>
                  </w:r>
                </w:p>
              </w:tc>
              <w:tc>
                <w:tcPr>
                  <w:tcW w:w="1517" w:type="dxa"/>
                  <w:noWrap w:val="0"/>
                  <w:vAlign w:val="center"/>
                </w:tcPr>
                <w:p>
                  <w:pPr>
                    <w:spacing w:line="360" w:lineRule="exact"/>
                    <w:jc w:val="center"/>
                    <w:rPr>
                      <w:rFonts w:ascii="Times New Roman" w:hAnsi="Times New Roman" w:eastAsia="宋体"/>
                      <w:color w:val="000000"/>
                      <w:kern w:val="2"/>
                      <w:sz w:val="21"/>
                      <w:szCs w:val="21"/>
                      <w:highlight w:val="none"/>
                    </w:rPr>
                  </w:pPr>
                  <w:r>
                    <w:rPr>
                      <w:rFonts w:ascii="Times New Roman" w:hAnsi="Times New Roman" w:eastAsia="宋体"/>
                      <w:color w:val="000000"/>
                      <w:sz w:val="21"/>
                      <w:szCs w:val="21"/>
                      <w:highlight w:val="none"/>
                    </w:rPr>
                    <w:t>居民</w:t>
                  </w:r>
                </w:p>
              </w:tc>
              <w:tc>
                <w:tcPr>
                  <w:tcW w:w="1350"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933" w:type="dxa"/>
                  <w:noWrap w:val="0"/>
                  <w:vAlign w:val="center"/>
                </w:tcPr>
                <w:p>
                  <w:pPr>
                    <w:autoSpaceDE w:val="0"/>
                    <w:autoSpaceDN w:val="0"/>
                    <w:spacing w:line="240" w:lineRule="atLeast"/>
                    <w:jc w:val="center"/>
                    <w:rPr>
                      <w:rFonts w:hint="eastAsia" w:ascii="Times New Roman" w:hAnsi="Times New Roman" w:eastAsia="宋体"/>
                      <w:color w:val="000000"/>
                      <w:sz w:val="21"/>
                      <w:szCs w:val="21"/>
                      <w:highlight w:val="none"/>
                      <w:lang w:eastAsia="zh-CN"/>
                    </w:rPr>
                  </w:pPr>
                  <w:r>
                    <w:rPr>
                      <w:rFonts w:ascii="Times New Roman" w:hAnsi="Times New Roman" w:eastAsia="宋体"/>
                      <w:color w:val="000000"/>
                      <w:sz w:val="21"/>
                      <w:szCs w:val="21"/>
                      <w:highlight w:val="none"/>
                    </w:rPr>
                    <w:t>N</w:t>
                  </w:r>
                  <w:r>
                    <w:rPr>
                      <w:rFonts w:hint="eastAsia" w:ascii="Times New Roman" w:hAnsi="Times New Roman" w:eastAsia="宋体"/>
                      <w:color w:val="000000"/>
                      <w:sz w:val="21"/>
                      <w:szCs w:val="21"/>
                      <w:highlight w:val="none"/>
                      <w:lang w:val="en-US" w:eastAsia="zh-CN"/>
                    </w:rPr>
                    <w:t>E</w:t>
                  </w:r>
                </w:p>
              </w:tc>
              <w:tc>
                <w:tcPr>
                  <w:tcW w:w="1064" w:type="dxa"/>
                  <w:noWrap w:val="0"/>
                  <w:vAlign w:val="center"/>
                </w:tcPr>
                <w:p>
                  <w:pPr>
                    <w:pStyle w:val="60"/>
                    <w:autoSpaceDE w:val="0"/>
                    <w:autoSpaceDN w:val="0"/>
                    <w:spacing w:line="240" w:lineRule="atLeast"/>
                    <w:jc w:val="center"/>
                    <w:rPr>
                      <w:rFonts w:hint="default" w:ascii="Times New Roman" w:hAnsi="Times New Roman" w:eastAsia="宋体"/>
                      <w:color w:val="000000"/>
                      <w:kern w:val="2"/>
                      <w:sz w:val="21"/>
                      <w:szCs w:val="21"/>
                      <w:highlight w:val="none"/>
                      <w:lang w:val="en-US"/>
                    </w:rPr>
                  </w:pPr>
                  <w:r>
                    <w:rPr>
                      <w:rFonts w:hint="eastAsia" w:ascii="Times New Roman" w:hAnsi="Times New Roman" w:eastAsia="宋体"/>
                      <w:color w:val="000000"/>
                      <w:kern w:val="2"/>
                      <w:sz w:val="21"/>
                      <w:szCs w:val="21"/>
                      <w:highlight w:val="none"/>
                      <w:lang w:val="en-US" w:eastAsia="zh-CN"/>
                    </w:rPr>
                    <w:t>1614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pStyle w:val="60"/>
                    <w:autoSpaceDE w:val="0"/>
                    <w:autoSpaceDN w:val="0"/>
                    <w:spacing w:line="240" w:lineRule="atLeast"/>
                    <w:jc w:val="center"/>
                    <w:rPr>
                      <w:rFonts w:ascii="Times New Roman" w:hAnsi="Times New Roman" w:eastAsia="宋体"/>
                      <w:color w:val="000000"/>
                      <w:kern w:val="2"/>
                      <w:sz w:val="21"/>
                      <w:szCs w:val="21"/>
                      <w:highlight w:val="none"/>
                      <w:lang w:eastAsia="zh-CN"/>
                    </w:rPr>
                  </w:pPr>
                  <w:r>
                    <w:rPr>
                      <w:rFonts w:hint="eastAsia" w:ascii="Times New Roman" w:hAnsi="Times New Roman" w:eastAsia="宋体"/>
                      <w:color w:val="000000"/>
                      <w:kern w:val="2"/>
                      <w:sz w:val="21"/>
                      <w:szCs w:val="21"/>
                      <w:highlight w:val="none"/>
                      <w:lang w:eastAsia="zh-CN"/>
                    </w:rPr>
                    <w:t>四联家园</w:t>
                  </w:r>
                </w:p>
              </w:tc>
              <w:tc>
                <w:tcPr>
                  <w:tcW w:w="986"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118.392427</w:t>
                  </w:r>
                </w:p>
              </w:tc>
              <w:tc>
                <w:tcPr>
                  <w:tcW w:w="1000" w:type="dxa"/>
                  <w:noWrap w:val="0"/>
                  <w:vAlign w:val="center"/>
                </w:tcPr>
                <w:p>
                  <w:pPr>
                    <w:spacing w:line="240" w:lineRule="atLeas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31.235591</w:t>
                  </w:r>
                </w:p>
              </w:tc>
              <w:tc>
                <w:tcPr>
                  <w:tcW w:w="950" w:type="dxa"/>
                  <w:noWrap w:val="0"/>
                  <w:vAlign w:val="center"/>
                </w:tcPr>
                <w:p>
                  <w:pPr>
                    <w:spacing w:line="360" w:lineRule="exact"/>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lang w:eastAsia="zh-CN"/>
                    </w:rPr>
                    <w:t>人群</w:t>
                  </w:r>
                </w:p>
              </w:tc>
              <w:tc>
                <w:tcPr>
                  <w:tcW w:w="1517" w:type="dxa"/>
                  <w:noWrap w:val="0"/>
                  <w:vAlign w:val="center"/>
                </w:tcPr>
                <w:p>
                  <w:pPr>
                    <w:spacing w:line="360" w:lineRule="exact"/>
                    <w:jc w:val="center"/>
                    <w:rPr>
                      <w:rFonts w:hint="eastAsia" w:ascii="Times New Roman" w:hAnsi="Times New Roman" w:eastAsia="宋体"/>
                      <w:color w:val="000000"/>
                      <w:kern w:val="2"/>
                      <w:sz w:val="21"/>
                      <w:szCs w:val="21"/>
                      <w:highlight w:val="none"/>
                      <w:lang w:eastAsia="zh-CN"/>
                    </w:rPr>
                  </w:pPr>
                  <w:r>
                    <w:rPr>
                      <w:rFonts w:hint="eastAsia" w:ascii="Times New Roman" w:hAnsi="Times New Roman" w:eastAsia="宋体"/>
                      <w:color w:val="000000"/>
                      <w:sz w:val="21"/>
                      <w:szCs w:val="21"/>
                      <w:highlight w:val="none"/>
                      <w:lang w:eastAsia="zh-CN"/>
                    </w:rPr>
                    <w:t>居民</w:t>
                  </w:r>
                </w:p>
              </w:tc>
              <w:tc>
                <w:tcPr>
                  <w:tcW w:w="1350" w:type="dxa"/>
                  <w:vMerge w:val="continue"/>
                  <w:noWrap w:val="0"/>
                  <w:vAlign w:val="center"/>
                </w:tcPr>
                <w:p>
                  <w:pPr>
                    <w:spacing w:line="240" w:lineRule="atLeast"/>
                    <w:jc w:val="center"/>
                    <w:rPr>
                      <w:rFonts w:ascii="Times New Roman" w:hAnsi="Times New Roman" w:eastAsia="宋体"/>
                      <w:color w:val="000000"/>
                      <w:sz w:val="21"/>
                      <w:szCs w:val="21"/>
                      <w:highlight w:val="none"/>
                    </w:rPr>
                  </w:pPr>
                </w:p>
              </w:tc>
              <w:tc>
                <w:tcPr>
                  <w:tcW w:w="933" w:type="dxa"/>
                  <w:noWrap w:val="0"/>
                  <w:vAlign w:val="center"/>
                </w:tcPr>
                <w:p>
                  <w:pPr>
                    <w:autoSpaceDE w:val="0"/>
                    <w:autoSpaceDN w:val="0"/>
                    <w:spacing w:line="240" w:lineRule="atLeast"/>
                    <w:jc w:val="center"/>
                    <w:rPr>
                      <w:rFonts w:hint="default" w:ascii="Times New Roman" w:hAnsi="Times New Roman" w:eastAsia="宋体"/>
                      <w:color w:val="000000"/>
                      <w:sz w:val="21"/>
                      <w:szCs w:val="21"/>
                      <w:highlight w:val="none"/>
                      <w:lang w:val="en-US" w:eastAsia="zh-CN"/>
                    </w:rPr>
                  </w:pPr>
                  <w:r>
                    <w:rPr>
                      <w:rFonts w:ascii="Times New Roman" w:hAnsi="Times New Roman" w:eastAsia="宋体"/>
                      <w:color w:val="000000"/>
                      <w:sz w:val="21"/>
                      <w:szCs w:val="21"/>
                      <w:highlight w:val="none"/>
                    </w:rPr>
                    <w:t>N</w:t>
                  </w:r>
                  <w:r>
                    <w:rPr>
                      <w:rFonts w:hint="eastAsia" w:ascii="Times New Roman" w:hAnsi="Times New Roman" w:eastAsia="宋体"/>
                      <w:color w:val="000000"/>
                      <w:sz w:val="21"/>
                      <w:szCs w:val="21"/>
                      <w:highlight w:val="none"/>
                      <w:lang w:val="en-US" w:eastAsia="zh-CN"/>
                    </w:rPr>
                    <w:t>E</w:t>
                  </w:r>
                </w:p>
              </w:tc>
              <w:tc>
                <w:tcPr>
                  <w:tcW w:w="1064" w:type="dxa"/>
                  <w:noWrap w:val="0"/>
                  <w:vAlign w:val="center"/>
                </w:tcPr>
                <w:p>
                  <w:pPr>
                    <w:pStyle w:val="60"/>
                    <w:autoSpaceDE w:val="0"/>
                    <w:autoSpaceDN w:val="0"/>
                    <w:spacing w:line="240" w:lineRule="atLeast"/>
                    <w:jc w:val="center"/>
                    <w:rPr>
                      <w:rFonts w:hint="default" w:ascii="Times New Roman" w:hAnsi="Times New Roman" w:eastAsia="宋体"/>
                      <w:color w:val="000000"/>
                      <w:kern w:val="2"/>
                      <w:sz w:val="21"/>
                      <w:szCs w:val="21"/>
                      <w:highlight w:val="none"/>
                      <w:lang w:val="en-US" w:eastAsia="zh-CN"/>
                    </w:rPr>
                  </w:pPr>
                  <w:r>
                    <w:rPr>
                      <w:rFonts w:hint="eastAsia" w:ascii="Times New Roman" w:hAnsi="Times New Roman" w:eastAsia="宋体"/>
                      <w:color w:val="000000"/>
                      <w:kern w:val="2"/>
                      <w:sz w:val="21"/>
                      <w:szCs w:val="21"/>
                      <w:highlight w:val="none"/>
                      <w:lang w:val="en-US" w:eastAsia="zh-CN"/>
                    </w:rPr>
                    <w:t>1307</w:t>
                  </w:r>
                </w:p>
              </w:tc>
            </w:tr>
          </w:tbl>
          <w:p>
            <w:pPr>
              <w:spacing w:line="360" w:lineRule="auto"/>
              <w:jc w:val="center"/>
              <w:rPr>
                <w:rFonts w:ascii="Times New Roman" w:hAnsi="Times New Roman" w:eastAsia="宋体"/>
                <w:b/>
                <w:color w:val="000000"/>
                <w:szCs w:val="21"/>
                <w:highlight w:val="none"/>
              </w:rPr>
            </w:pPr>
            <w:r>
              <w:rPr>
                <w:rFonts w:ascii="Times New Roman" w:hAnsi="Times New Roman" w:eastAsia="宋体"/>
                <w:b/>
                <w:color w:val="000000"/>
                <w:sz w:val="24"/>
                <w:highlight w:val="none"/>
              </w:rPr>
              <w:t>表3-</w:t>
            </w:r>
            <w:r>
              <w:rPr>
                <w:rFonts w:hint="eastAsia" w:ascii="Times New Roman" w:hAnsi="Times New Roman" w:eastAsia="宋体"/>
                <w:b/>
                <w:color w:val="000000"/>
                <w:sz w:val="24"/>
                <w:highlight w:val="none"/>
                <w:lang w:val="en-US" w:eastAsia="zh-CN"/>
              </w:rPr>
              <w:t>6</w:t>
            </w:r>
            <w:r>
              <w:rPr>
                <w:rFonts w:ascii="Times New Roman" w:hAnsi="Times New Roman" w:eastAsia="宋体"/>
                <w:b/>
                <w:color w:val="000000"/>
                <w:sz w:val="24"/>
                <w:highlight w:val="none"/>
              </w:rPr>
              <w:t xml:space="preserve"> </w:t>
            </w:r>
            <w:r>
              <w:rPr>
                <w:rFonts w:ascii="Times New Roman" w:hAnsi="Times New Roman" w:eastAsia="宋体"/>
                <w:b/>
                <w:sz w:val="24"/>
                <w:szCs w:val="24"/>
                <w:highlight w:val="none"/>
                <w:lang w:bidi="en-US"/>
              </w:rPr>
              <w:t>本项目</w:t>
            </w:r>
            <w:r>
              <w:rPr>
                <w:rFonts w:ascii="Times New Roman" w:hAnsi="Times New Roman" w:eastAsia="宋体"/>
                <w:b/>
                <w:color w:val="000000"/>
                <w:sz w:val="24"/>
                <w:highlight w:val="none"/>
              </w:rPr>
              <w:t>地表水环境和声环境保护目标一览表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475"/>
              <w:gridCol w:w="1113"/>
              <w:gridCol w:w="1570"/>
              <w:gridCol w:w="159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36"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环境</w:t>
                  </w:r>
                </w:p>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要素</w:t>
                  </w:r>
                </w:p>
              </w:tc>
              <w:tc>
                <w:tcPr>
                  <w:tcW w:w="1475"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名称</w:t>
                  </w:r>
                </w:p>
              </w:tc>
              <w:tc>
                <w:tcPr>
                  <w:tcW w:w="1113"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相对项</w:t>
                  </w:r>
                </w:p>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目方位</w:t>
                  </w:r>
                </w:p>
              </w:tc>
              <w:tc>
                <w:tcPr>
                  <w:tcW w:w="1570"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与项目厂界最近距离m</w:t>
                  </w:r>
                </w:p>
              </w:tc>
              <w:tc>
                <w:tcPr>
                  <w:tcW w:w="1590"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规模</w:t>
                  </w:r>
                </w:p>
              </w:tc>
              <w:tc>
                <w:tcPr>
                  <w:tcW w:w="2260"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环境保护级别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36"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水环境</w:t>
                  </w:r>
                </w:p>
              </w:tc>
              <w:tc>
                <w:tcPr>
                  <w:tcW w:w="1475" w:type="dxa"/>
                  <w:noWrap w:val="0"/>
                  <w:vAlign w:val="center"/>
                </w:tcPr>
                <w:p>
                  <w:pPr>
                    <w:pStyle w:val="60"/>
                    <w:autoSpaceDE w:val="0"/>
                    <w:autoSpaceDN w:val="0"/>
                    <w:spacing w:line="240" w:lineRule="atLeast"/>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漳河</w:t>
                  </w:r>
                </w:p>
              </w:tc>
              <w:tc>
                <w:tcPr>
                  <w:tcW w:w="1113" w:type="dxa"/>
                  <w:noWrap w:val="0"/>
                  <w:vAlign w:val="center"/>
                </w:tcPr>
                <w:p>
                  <w:pPr>
                    <w:pStyle w:val="60"/>
                    <w:autoSpaceDE w:val="0"/>
                    <w:autoSpaceDN w:val="0"/>
                    <w:spacing w:line="240" w:lineRule="atLeast"/>
                    <w:jc w:val="center"/>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lang w:val="en-US" w:eastAsia="zh-CN"/>
                    </w:rPr>
                    <w:t>N</w:t>
                  </w:r>
                </w:p>
              </w:tc>
              <w:tc>
                <w:tcPr>
                  <w:tcW w:w="1570" w:type="dxa"/>
                  <w:noWrap w:val="0"/>
                  <w:vAlign w:val="center"/>
                </w:tcPr>
                <w:p>
                  <w:pPr>
                    <w:pStyle w:val="60"/>
                    <w:autoSpaceDE w:val="0"/>
                    <w:autoSpaceDN w:val="0"/>
                    <w:spacing w:line="240" w:lineRule="atLeast"/>
                    <w:jc w:val="center"/>
                    <w:rPr>
                      <w:rFonts w:hint="default" w:ascii="Times New Roman" w:hAnsi="Times New Roman" w:eastAsia="宋体"/>
                      <w:kern w:val="2"/>
                      <w:sz w:val="21"/>
                      <w:szCs w:val="21"/>
                      <w:highlight w:val="none"/>
                      <w:lang w:val="en-US"/>
                    </w:rPr>
                  </w:pPr>
                  <w:r>
                    <w:rPr>
                      <w:rFonts w:hint="eastAsia" w:ascii="Times New Roman" w:hAnsi="Times New Roman" w:eastAsia="宋体"/>
                      <w:kern w:val="2"/>
                      <w:sz w:val="21"/>
                      <w:szCs w:val="21"/>
                      <w:highlight w:val="none"/>
                      <w:lang w:val="en-US" w:eastAsia="zh-CN"/>
                    </w:rPr>
                    <w:t>4300</w:t>
                  </w:r>
                </w:p>
              </w:tc>
              <w:tc>
                <w:tcPr>
                  <w:tcW w:w="1590" w:type="dxa"/>
                  <w:noWrap w:val="0"/>
                  <w:vAlign w:val="center"/>
                </w:tcPr>
                <w:p>
                  <w:pPr>
                    <w:pStyle w:val="60"/>
                    <w:autoSpaceDE w:val="0"/>
                    <w:autoSpaceDN w:val="0"/>
                    <w:spacing w:line="240" w:lineRule="atLeast"/>
                    <w:jc w:val="center"/>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lang w:eastAsia="zh-CN"/>
                    </w:rPr>
                    <w:t>中</w:t>
                  </w:r>
                  <w:r>
                    <w:rPr>
                      <w:rFonts w:ascii="Times New Roman" w:hAnsi="Times New Roman" w:eastAsia="宋体"/>
                      <w:kern w:val="2"/>
                      <w:sz w:val="21"/>
                      <w:szCs w:val="21"/>
                      <w:highlight w:val="none"/>
                      <w:lang w:eastAsia="zh-CN"/>
                    </w:rPr>
                    <w:t>型河流</w:t>
                  </w:r>
                </w:p>
              </w:tc>
              <w:tc>
                <w:tcPr>
                  <w:tcW w:w="2260"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《地表水环境质量标准》（GB3838-2002）中Ⅲ类标准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声环境</w:t>
                  </w:r>
                </w:p>
              </w:tc>
              <w:tc>
                <w:tcPr>
                  <w:tcW w:w="1475" w:type="dxa"/>
                  <w:noWrap w:val="0"/>
                  <w:vAlign w:val="center"/>
                </w:tcPr>
                <w:p>
                  <w:pPr>
                    <w:pStyle w:val="60"/>
                    <w:autoSpaceDE w:val="0"/>
                    <w:autoSpaceDN w:val="0"/>
                    <w:spacing w:line="240" w:lineRule="atLeast"/>
                    <w:jc w:val="center"/>
                    <w:rPr>
                      <w:rFonts w:ascii="Times New Roman" w:hAnsi="Times New Roman" w:eastAsia="宋体"/>
                      <w:kern w:val="2"/>
                      <w:sz w:val="21"/>
                      <w:szCs w:val="21"/>
                      <w:highlight w:val="none"/>
                    </w:rPr>
                  </w:pPr>
                  <w:r>
                    <w:rPr>
                      <w:rFonts w:ascii="Times New Roman" w:hAnsi="Times New Roman" w:eastAsia="宋体"/>
                      <w:kern w:val="2"/>
                      <w:sz w:val="21"/>
                      <w:szCs w:val="21"/>
                      <w:highlight w:val="none"/>
                      <w:lang w:eastAsia="zh-CN"/>
                    </w:rPr>
                    <w:t>厂界四周</w:t>
                  </w:r>
                </w:p>
              </w:tc>
              <w:tc>
                <w:tcPr>
                  <w:tcW w:w="1113" w:type="dxa"/>
                  <w:noWrap w:val="0"/>
                  <w:vAlign w:val="center"/>
                </w:tcPr>
                <w:p>
                  <w:pPr>
                    <w:pStyle w:val="60"/>
                    <w:autoSpaceDE w:val="0"/>
                    <w:autoSpaceDN w:val="0"/>
                    <w:spacing w:line="240" w:lineRule="atLeast"/>
                    <w:jc w:val="center"/>
                    <w:rPr>
                      <w:rFonts w:ascii="Times New Roman" w:hAnsi="Times New Roman" w:eastAsia="宋体"/>
                      <w:kern w:val="2"/>
                      <w:sz w:val="21"/>
                      <w:szCs w:val="21"/>
                      <w:highlight w:val="none"/>
                    </w:rPr>
                  </w:pPr>
                  <w:r>
                    <w:rPr>
                      <w:rFonts w:ascii="Times New Roman" w:hAnsi="Times New Roman" w:eastAsia="宋体"/>
                      <w:kern w:val="2"/>
                      <w:sz w:val="21"/>
                      <w:szCs w:val="21"/>
                      <w:highlight w:val="none"/>
                      <w:lang w:eastAsia="zh-CN"/>
                    </w:rPr>
                    <w:t>/</w:t>
                  </w:r>
                </w:p>
              </w:tc>
              <w:tc>
                <w:tcPr>
                  <w:tcW w:w="1570" w:type="dxa"/>
                  <w:noWrap w:val="0"/>
                  <w:vAlign w:val="center"/>
                </w:tcPr>
                <w:p>
                  <w:pPr>
                    <w:pStyle w:val="60"/>
                    <w:autoSpaceDE w:val="0"/>
                    <w:autoSpaceDN w:val="0"/>
                    <w:spacing w:line="240" w:lineRule="atLeast"/>
                    <w:jc w:val="center"/>
                    <w:rPr>
                      <w:rFonts w:ascii="Times New Roman" w:hAnsi="Times New Roman" w:eastAsia="宋体"/>
                      <w:kern w:val="2"/>
                      <w:sz w:val="21"/>
                      <w:szCs w:val="21"/>
                      <w:highlight w:val="none"/>
                    </w:rPr>
                  </w:pPr>
                  <w:r>
                    <w:rPr>
                      <w:rFonts w:ascii="Times New Roman" w:hAnsi="Times New Roman" w:eastAsia="宋体"/>
                      <w:kern w:val="2"/>
                      <w:sz w:val="21"/>
                      <w:szCs w:val="21"/>
                      <w:highlight w:val="none"/>
                      <w:lang w:eastAsia="zh-CN"/>
                    </w:rPr>
                    <w:t>/</w:t>
                  </w:r>
                </w:p>
              </w:tc>
              <w:tc>
                <w:tcPr>
                  <w:tcW w:w="1590" w:type="dxa"/>
                  <w:noWrap w:val="0"/>
                  <w:vAlign w:val="center"/>
                </w:tcPr>
                <w:p>
                  <w:pPr>
                    <w:pStyle w:val="60"/>
                    <w:autoSpaceDE w:val="0"/>
                    <w:autoSpaceDN w:val="0"/>
                    <w:spacing w:line="240" w:lineRule="atLeast"/>
                    <w:jc w:val="center"/>
                    <w:rPr>
                      <w:rFonts w:ascii="Times New Roman" w:hAnsi="Times New Roman" w:eastAsia="宋体"/>
                      <w:kern w:val="2"/>
                      <w:sz w:val="21"/>
                      <w:szCs w:val="21"/>
                      <w:highlight w:val="none"/>
                    </w:rPr>
                  </w:pPr>
                  <w:r>
                    <w:rPr>
                      <w:rFonts w:ascii="Times New Roman" w:hAnsi="Times New Roman" w:eastAsia="宋体"/>
                      <w:kern w:val="2"/>
                      <w:sz w:val="21"/>
                      <w:szCs w:val="21"/>
                      <w:highlight w:val="none"/>
                      <w:lang w:eastAsia="zh-CN"/>
                    </w:rPr>
                    <w:t>/</w:t>
                  </w:r>
                </w:p>
              </w:tc>
              <w:tc>
                <w:tcPr>
                  <w:tcW w:w="2260" w:type="dxa"/>
                  <w:noWrap w:val="0"/>
                  <w:vAlign w:val="center"/>
                </w:tcPr>
                <w:p>
                  <w:pPr>
                    <w:spacing w:line="240" w:lineRule="atLeast"/>
                    <w:jc w:val="center"/>
                    <w:rPr>
                      <w:rFonts w:ascii="Times New Roman" w:hAnsi="Times New Roman" w:eastAsia="宋体"/>
                      <w:sz w:val="21"/>
                      <w:szCs w:val="21"/>
                      <w:highlight w:val="none"/>
                    </w:rPr>
                  </w:pPr>
                  <w:r>
                    <w:rPr>
                      <w:rFonts w:ascii="Times New Roman" w:hAnsi="Times New Roman" w:eastAsia="宋体"/>
                      <w:sz w:val="21"/>
                      <w:szCs w:val="21"/>
                      <w:highlight w:val="none"/>
                    </w:rPr>
                    <w:t>《声环境质量标准》（3096-2008）中3类区标准要求</w:t>
                  </w:r>
                </w:p>
              </w:tc>
            </w:tr>
          </w:tbl>
          <w:p>
            <w:pPr>
              <w:rPr>
                <w:rFonts w:ascii="Times New Roman" w:hAnsi="Times New Roman" w:eastAsia="宋体"/>
                <w:highlight w:val="none"/>
              </w:rPr>
            </w:pPr>
          </w:p>
          <w:p>
            <w:pPr>
              <w:spacing w:line="360" w:lineRule="auto"/>
              <w:rPr>
                <w:rFonts w:ascii="Times New Roman" w:hAnsi="Times New Roman" w:eastAsia="宋体"/>
                <w:b/>
                <w:bCs/>
                <w:color w:val="000000"/>
                <w:sz w:val="24"/>
                <w:szCs w:val="24"/>
              </w:rPr>
            </w:pPr>
          </w:p>
        </w:tc>
      </w:tr>
    </w:tbl>
    <w:p>
      <w:pPr>
        <w:pStyle w:val="3"/>
        <w:rPr>
          <w:rFonts w:hint="eastAsia" w:ascii="Times New Roman" w:hAnsi="Times New Roman" w:eastAsia="宋体"/>
          <w:lang w:eastAsia="zh-CN"/>
        </w:rPr>
        <w:sectPr>
          <w:footerReference r:id="rId5" w:type="default"/>
          <w:pgSz w:w="11906" w:h="16838"/>
          <w:pgMar w:top="1440" w:right="1800" w:bottom="1558" w:left="1800" w:header="851" w:footer="992" w:gutter="0"/>
          <w:cols w:space="720" w:num="1"/>
          <w:docGrid w:type="lines" w:linePitch="312" w:charSpace="0"/>
        </w:sectPr>
      </w:pPr>
    </w:p>
    <w:p>
      <w:pPr>
        <w:pStyle w:val="3"/>
        <w:rPr>
          <w:rFonts w:ascii="Times New Roman" w:hAnsi="Times New Roman" w:eastAsia="宋体"/>
        </w:rPr>
      </w:pPr>
      <w:r>
        <w:rPr>
          <w:rFonts w:hint="eastAsia" w:ascii="Times New Roman" w:hAnsi="Times New Roman" w:eastAsia="宋体"/>
          <w:lang w:eastAsia="zh-CN"/>
        </w:rPr>
        <w:t>四、</w:t>
      </w:r>
      <w:r>
        <w:rPr>
          <w:rFonts w:ascii="Times New Roman" w:hAnsi="Times New Roman" w:eastAsia="宋体"/>
        </w:rPr>
        <w:t>评价适用标准</w:t>
      </w:r>
    </w:p>
    <w:tbl>
      <w:tblPr>
        <w:tblStyle w:val="28"/>
        <w:tblW w:w="0" w:type="auto"/>
        <w:jc w:val="center"/>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98"/>
        <w:gridCol w:w="8024"/>
      </w:tblGrid>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15" w:hRule="atLeast"/>
          <w:jc w:val="center"/>
        </w:trPr>
        <w:tc>
          <w:tcPr>
            <w:tcW w:w="504" w:type="dxa"/>
            <w:noWrap w:val="0"/>
            <w:vAlign w:val="center"/>
          </w:tcPr>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环</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境</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质</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量</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标</w:t>
            </w:r>
          </w:p>
          <w:p>
            <w:pPr>
              <w:spacing w:line="360" w:lineRule="auto"/>
              <w:jc w:val="center"/>
              <w:rPr>
                <w:rFonts w:ascii="Times New Roman" w:hAnsi="Times New Roman" w:eastAsia="宋体"/>
                <w:color w:val="000000"/>
                <w:sz w:val="28"/>
                <w:highlight w:val="yellow"/>
              </w:rPr>
            </w:pPr>
            <w:r>
              <w:rPr>
                <w:rFonts w:ascii="Times New Roman" w:hAnsi="Times New Roman" w:eastAsia="宋体"/>
                <w:color w:val="000000"/>
                <w:sz w:val="24"/>
                <w:szCs w:val="24"/>
              </w:rPr>
              <w:t>准</w:t>
            </w:r>
          </w:p>
        </w:tc>
        <w:tc>
          <w:tcPr>
            <w:tcW w:w="8499" w:type="dxa"/>
            <w:noWrap w:val="0"/>
            <w:vAlign w:val="top"/>
          </w:tcPr>
          <w:p>
            <w:pPr>
              <w:spacing w:line="480" w:lineRule="exact"/>
              <w:ind w:firstLine="480" w:firstLineChars="200"/>
              <w:rPr>
                <w:rFonts w:ascii="Times New Roman" w:hAnsi="Times New Roman" w:eastAsia="宋体"/>
                <w:sz w:val="24"/>
                <w:szCs w:val="24"/>
              </w:rPr>
            </w:pPr>
            <w:r>
              <w:rPr>
                <w:rFonts w:ascii="Times New Roman" w:hAnsi="Times New Roman" w:eastAsia="宋体"/>
                <w:sz w:val="24"/>
                <w:szCs w:val="24"/>
              </w:rPr>
              <w:t>1、环境空气</w:t>
            </w:r>
          </w:p>
          <w:p>
            <w:pPr>
              <w:spacing w:line="480" w:lineRule="exact"/>
              <w:ind w:firstLine="480" w:firstLineChars="200"/>
              <w:rPr>
                <w:rFonts w:ascii="Times New Roman" w:hAnsi="Times New Roman" w:eastAsia="宋体"/>
                <w:sz w:val="24"/>
                <w:szCs w:val="24"/>
              </w:rPr>
            </w:pPr>
            <w:r>
              <w:rPr>
                <w:rFonts w:ascii="Times New Roman" w:hAnsi="Times New Roman" w:eastAsia="宋体"/>
                <w:sz w:val="24"/>
                <w:szCs w:val="24"/>
              </w:rPr>
              <w:t>项目所在地环境空气功能区划类别为二类区，拟建项目周围环境空气常规因子执行《环境空气质量标准》（GB3095-2012）中的二级标准。其标准值详见下表。</w:t>
            </w:r>
          </w:p>
          <w:p>
            <w:pPr>
              <w:adjustRightInd w:val="0"/>
              <w:snapToGrid w:val="0"/>
              <w:spacing w:line="360" w:lineRule="auto"/>
              <w:jc w:val="center"/>
              <w:rPr>
                <w:rFonts w:ascii="Times New Roman" w:hAnsi="Times New Roman" w:eastAsia="宋体"/>
                <w:b/>
                <w:sz w:val="24"/>
                <w:szCs w:val="24"/>
              </w:rPr>
            </w:pPr>
            <w:r>
              <w:rPr>
                <w:rFonts w:ascii="Times New Roman" w:hAnsi="Times New Roman" w:eastAsia="宋体"/>
                <w:b/>
                <w:sz w:val="24"/>
                <w:szCs w:val="24"/>
              </w:rPr>
              <w:t>表4-1  环境空气质量标准</w:t>
            </w:r>
          </w:p>
          <w:tbl>
            <w:tblPr>
              <w:tblStyle w:val="28"/>
              <w:tblW w:w="0" w:type="auto"/>
              <w:jc w:val="center"/>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1856"/>
              <w:gridCol w:w="1820"/>
              <w:gridCol w:w="2869"/>
            </w:tblGrid>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noWrap w:val="0"/>
                  <w:vAlign w:val="center"/>
                </w:tcPr>
                <w:p>
                  <w:pPr>
                    <w:jc w:val="center"/>
                    <w:rPr>
                      <w:rFonts w:ascii="Times New Roman" w:hAnsi="Times New Roman" w:eastAsia="宋体"/>
                      <w:b/>
                      <w:bCs/>
                      <w:color w:val="000000"/>
                      <w:kern w:val="0"/>
                      <w:szCs w:val="21"/>
                    </w:rPr>
                  </w:pPr>
                  <w:r>
                    <w:rPr>
                      <w:rFonts w:ascii="Times New Roman" w:hAnsi="Times New Roman" w:eastAsia="宋体"/>
                      <w:b/>
                      <w:bCs/>
                      <w:color w:val="000000"/>
                      <w:kern w:val="0"/>
                      <w:szCs w:val="21"/>
                    </w:rPr>
                    <w:t>评价因子</w:t>
                  </w:r>
                </w:p>
              </w:tc>
              <w:tc>
                <w:tcPr>
                  <w:tcW w:w="1856" w:type="dxa"/>
                  <w:noWrap w:val="0"/>
                  <w:vAlign w:val="center"/>
                </w:tcPr>
                <w:p>
                  <w:pPr>
                    <w:jc w:val="center"/>
                    <w:rPr>
                      <w:rFonts w:ascii="Times New Roman" w:hAnsi="Times New Roman" w:eastAsia="宋体"/>
                      <w:b/>
                      <w:bCs/>
                      <w:color w:val="000000"/>
                      <w:kern w:val="0"/>
                      <w:szCs w:val="21"/>
                    </w:rPr>
                  </w:pPr>
                  <w:r>
                    <w:rPr>
                      <w:rFonts w:ascii="Times New Roman" w:hAnsi="Times New Roman" w:eastAsia="宋体"/>
                      <w:b/>
                      <w:bCs/>
                      <w:color w:val="000000"/>
                      <w:kern w:val="0"/>
                      <w:szCs w:val="21"/>
                    </w:rPr>
                    <w:t>平均时段</w:t>
                  </w:r>
                </w:p>
              </w:tc>
              <w:tc>
                <w:tcPr>
                  <w:tcW w:w="1820" w:type="dxa"/>
                  <w:noWrap w:val="0"/>
                  <w:vAlign w:val="center"/>
                </w:tcPr>
                <w:p>
                  <w:pPr>
                    <w:jc w:val="center"/>
                    <w:rPr>
                      <w:rFonts w:ascii="Times New Roman" w:hAnsi="Times New Roman" w:eastAsia="宋体"/>
                      <w:b/>
                      <w:bCs/>
                      <w:color w:val="000000"/>
                      <w:kern w:val="0"/>
                      <w:szCs w:val="21"/>
                    </w:rPr>
                  </w:pPr>
                  <w:r>
                    <w:rPr>
                      <w:rFonts w:ascii="Times New Roman" w:hAnsi="Times New Roman" w:eastAsia="宋体"/>
                      <w:b/>
                      <w:bCs/>
                      <w:color w:val="000000"/>
                      <w:kern w:val="0"/>
                      <w:szCs w:val="21"/>
                    </w:rPr>
                    <w:t>标准值（</w:t>
                  </w:r>
                  <w:r>
                    <w:rPr>
                      <w:rFonts w:ascii="Times New Roman" w:hAnsi="Times New Roman" w:eastAsia="宋体"/>
                      <w:b/>
                      <w:color w:val="000000"/>
                      <w:kern w:val="0"/>
                      <w:szCs w:val="21"/>
                    </w:rPr>
                    <w:t>ug/m</w:t>
                  </w:r>
                  <w:r>
                    <w:rPr>
                      <w:rFonts w:ascii="Times New Roman" w:hAnsi="Times New Roman" w:eastAsia="宋体"/>
                      <w:b/>
                      <w:color w:val="000000"/>
                      <w:kern w:val="0"/>
                      <w:szCs w:val="21"/>
                      <w:vertAlign w:val="superscript"/>
                    </w:rPr>
                    <w:t>3</w:t>
                  </w:r>
                  <w:r>
                    <w:rPr>
                      <w:rFonts w:ascii="Times New Roman" w:hAnsi="Times New Roman" w:eastAsia="宋体"/>
                      <w:b/>
                      <w:bCs/>
                      <w:color w:val="000000"/>
                      <w:kern w:val="0"/>
                      <w:szCs w:val="21"/>
                    </w:rPr>
                    <w:t>）</w:t>
                  </w:r>
                </w:p>
              </w:tc>
              <w:tc>
                <w:tcPr>
                  <w:tcW w:w="2869" w:type="dxa"/>
                  <w:noWrap w:val="0"/>
                  <w:vAlign w:val="center"/>
                </w:tcPr>
                <w:p>
                  <w:pPr>
                    <w:jc w:val="center"/>
                    <w:rPr>
                      <w:rFonts w:ascii="Times New Roman" w:hAnsi="Times New Roman" w:eastAsia="宋体"/>
                      <w:b/>
                      <w:bCs/>
                      <w:color w:val="000000"/>
                      <w:kern w:val="0"/>
                      <w:szCs w:val="21"/>
                    </w:rPr>
                  </w:pPr>
                  <w:r>
                    <w:rPr>
                      <w:rFonts w:ascii="Times New Roman" w:hAnsi="Times New Roman" w:eastAsia="宋体"/>
                      <w:b/>
                      <w:bCs/>
                      <w:color w:val="000000"/>
                      <w:kern w:val="0"/>
                      <w:szCs w:val="21"/>
                    </w:rPr>
                    <w:t>标准来源</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restart"/>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SO</w:t>
                  </w:r>
                  <w:r>
                    <w:rPr>
                      <w:rFonts w:ascii="Times New Roman" w:hAnsi="Times New Roman" w:eastAsia="宋体"/>
                      <w:bCs/>
                      <w:color w:val="000000"/>
                      <w:kern w:val="0"/>
                      <w:szCs w:val="21"/>
                      <w:vertAlign w:val="subscript"/>
                    </w:rPr>
                    <w:t>2</w:t>
                  </w: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年平均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60</w:t>
                  </w:r>
                </w:p>
              </w:tc>
              <w:tc>
                <w:tcPr>
                  <w:tcW w:w="2869" w:type="dxa"/>
                  <w:vMerge w:val="restart"/>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《环境空气质量标准》（GB3095-2012）中二级标准</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continue"/>
                  <w:noWrap w:val="0"/>
                  <w:vAlign w:val="center"/>
                </w:tcPr>
                <w:p>
                  <w:pPr>
                    <w:jc w:val="center"/>
                    <w:rPr>
                      <w:rFonts w:ascii="Times New Roman" w:hAnsi="Times New Roman" w:eastAsia="宋体"/>
                      <w:bCs/>
                      <w:color w:val="000000"/>
                      <w:kern w:val="0"/>
                      <w:szCs w:val="21"/>
                    </w:rPr>
                  </w:pP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24小时平均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150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continue"/>
                  <w:noWrap w:val="0"/>
                  <w:vAlign w:val="center"/>
                </w:tcPr>
                <w:p>
                  <w:pPr>
                    <w:jc w:val="center"/>
                    <w:rPr>
                      <w:rFonts w:ascii="Times New Roman" w:hAnsi="Times New Roman" w:eastAsia="宋体"/>
                      <w:bCs/>
                      <w:color w:val="000000"/>
                      <w:kern w:val="0"/>
                      <w:szCs w:val="21"/>
                    </w:rPr>
                  </w:pP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1小时平均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500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restart"/>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NO</w:t>
                  </w:r>
                  <w:r>
                    <w:rPr>
                      <w:rFonts w:ascii="Times New Roman" w:hAnsi="Times New Roman" w:eastAsia="宋体"/>
                      <w:bCs/>
                      <w:color w:val="000000"/>
                      <w:kern w:val="0"/>
                      <w:szCs w:val="21"/>
                      <w:vertAlign w:val="subscript"/>
                    </w:rPr>
                    <w:t>2</w:t>
                  </w: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年平均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40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continue"/>
                  <w:noWrap w:val="0"/>
                  <w:vAlign w:val="center"/>
                </w:tcPr>
                <w:p>
                  <w:pPr>
                    <w:jc w:val="center"/>
                    <w:rPr>
                      <w:rFonts w:ascii="Times New Roman" w:hAnsi="Times New Roman" w:eastAsia="宋体"/>
                      <w:bCs/>
                      <w:color w:val="000000"/>
                      <w:kern w:val="0"/>
                      <w:szCs w:val="21"/>
                    </w:rPr>
                  </w:pP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24小时平均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80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continue"/>
                  <w:noWrap w:val="0"/>
                  <w:vAlign w:val="center"/>
                </w:tcPr>
                <w:p>
                  <w:pPr>
                    <w:jc w:val="center"/>
                    <w:rPr>
                      <w:rFonts w:ascii="Times New Roman" w:hAnsi="Times New Roman" w:eastAsia="宋体"/>
                      <w:bCs/>
                      <w:color w:val="000000"/>
                      <w:kern w:val="0"/>
                      <w:szCs w:val="21"/>
                    </w:rPr>
                  </w:pP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1小时平均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200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restart"/>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CO</w:t>
                  </w: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24小时平均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4000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continue"/>
                  <w:noWrap w:val="0"/>
                  <w:vAlign w:val="center"/>
                </w:tcPr>
                <w:p>
                  <w:pPr>
                    <w:jc w:val="center"/>
                    <w:rPr>
                      <w:rFonts w:ascii="Times New Roman" w:hAnsi="Times New Roman" w:eastAsia="宋体"/>
                      <w:bCs/>
                      <w:color w:val="000000"/>
                      <w:kern w:val="0"/>
                      <w:szCs w:val="21"/>
                    </w:rPr>
                  </w:pP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1小时平均</w:t>
                  </w:r>
                </w:p>
              </w:tc>
              <w:tc>
                <w:tcPr>
                  <w:tcW w:w="1820" w:type="dxa"/>
                  <w:noWrap w:val="0"/>
                  <w:vAlign w:val="center"/>
                </w:tcPr>
                <w:p>
                  <w:pPr>
                    <w:jc w:val="center"/>
                    <w:rPr>
                      <w:rFonts w:ascii="Times New Roman" w:hAnsi="Times New Roman" w:eastAsia="宋体"/>
                      <w:bCs/>
                      <w:color w:val="000000"/>
                      <w:kern w:val="0"/>
                      <w:szCs w:val="21"/>
                    </w:rPr>
                  </w:pPr>
                  <w:r>
                    <w:rPr>
                      <w:rFonts w:hint="eastAsia" w:ascii="Times New Roman" w:hAnsi="Times New Roman" w:eastAsia="宋体"/>
                      <w:bCs/>
                      <w:color w:val="000000"/>
                      <w:kern w:val="0"/>
                      <w:szCs w:val="21"/>
                      <w:lang w:val="en-US" w:eastAsia="zh-CN"/>
                    </w:rPr>
                    <w:t>100</w:t>
                  </w:r>
                  <w:r>
                    <w:rPr>
                      <w:rFonts w:ascii="Times New Roman" w:hAnsi="Times New Roman" w:eastAsia="宋体"/>
                      <w:bCs/>
                      <w:color w:val="000000"/>
                      <w:kern w:val="0"/>
                      <w:szCs w:val="21"/>
                    </w:rPr>
                    <w:t>00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restart"/>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O</w:t>
                  </w:r>
                  <w:r>
                    <w:rPr>
                      <w:rFonts w:ascii="Times New Roman" w:hAnsi="Times New Roman" w:eastAsia="宋体"/>
                      <w:bCs/>
                      <w:color w:val="000000"/>
                      <w:kern w:val="0"/>
                      <w:szCs w:val="21"/>
                      <w:vertAlign w:val="subscript"/>
                    </w:rPr>
                    <w:t>3</w:t>
                  </w: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日最大8小时平均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160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continue"/>
                  <w:noWrap w:val="0"/>
                  <w:vAlign w:val="center"/>
                </w:tcPr>
                <w:p>
                  <w:pPr>
                    <w:jc w:val="center"/>
                    <w:rPr>
                      <w:rFonts w:ascii="Times New Roman" w:hAnsi="Times New Roman" w:eastAsia="宋体"/>
                      <w:bCs/>
                      <w:color w:val="000000"/>
                      <w:kern w:val="0"/>
                      <w:szCs w:val="21"/>
                    </w:rPr>
                  </w:pP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1小时平均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200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restart"/>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PM</w:t>
                  </w:r>
                  <w:r>
                    <w:rPr>
                      <w:rFonts w:ascii="Times New Roman" w:hAnsi="Times New Roman" w:eastAsia="宋体"/>
                      <w:bCs/>
                      <w:color w:val="000000"/>
                      <w:kern w:val="0"/>
                      <w:szCs w:val="21"/>
                      <w:vertAlign w:val="subscript"/>
                    </w:rPr>
                    <w:t>10</w:t>
                  </w: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年平均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70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continue"/>
                  <w:noWrap w:val="0"/>
                  <w:vAlign w:val="center"/>
                </w:tcPr>
                <w:p>
                  <w:pPr>
                    <w:jc w:val="center"/>
                    <w:rPr>
                      <w:rFonts w:ascii="Times New Roman" w:hAnsi="Times New Roman" w:eastAsia="宋体"/>
                      <w:bCs/>
                      <w:color w:val="000000"/>
                      <w:kern w:val="0"/>
                      <w:szCs w:val="21"/>
                    </w:rPr>
                  </w:pP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24小时平均</w:t>
                  </w:r>
                </w:p>
              </w:tc>
              <w:tc>
                <w:tcPr>
                  <w:tcW w:w="1820"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150</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restart"/>
                  <w:noWrap w:val="0"/>
                  <w:vAlign w:val="center"/>
                </w:tcPr>
                <w:p>
                  <w:pPr>
                    <w:jc w:val="center"/>
                    <w:rPr>
                      <w:rFonts w:hint="default" w:ascii="Times New Roman" w:hAnsi="Times New Roman" w:eastAsia="宋体"/>
                      <w:bCs/>
                      <w:color w:val="000000"/>
                      <w:kern w:val="0"/>
                      <w:szCs w:val="21"/>
                      <w:lang w:val="en-US" w:eastAsia="zh-CN"/>
                    </w:rPr>
                  </w:pPr>
                  <w:r>
                    <w:rPr>
                      <w:rFonts w:ascii="Times New Roman" w:hAnsi="Times New Roman" w:eastAsia="宋体"/>
                      <w:bCs/>
                      <w:color w:val="000000"/>
                      <w:kern w:val="0"/>
                      <w:szCs w:val="21"/>
                    </w:rPr>
                    <w:t>PM</w:t>
                  </w:r>
                  <w:r>
                    <w:rPr>
                      <w:rFonts w:hint="eastAsia" w:ascii="Times New Roman" w:hAnsi="Times New Roman" w:eastAsia="宋体"/>
                      <w:bCs/>
                      <w:color w:val="000000"/>
                      <w:kern w:val="0"/>
                      <w:szCs w:val="21"/>
                      <w:vertAlign w:val="subscript"/>
                      <w:lang w:val="en-US" w:eastAsia="zh-CN"/>
                    </w:rPr>
                    <w:t>2.5</w:t>
                  </w: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年平均</w:t>
                  </w:r>
                </w:p>
              </w:tc>
              <w:tc>
                <w:tcPr>
                  <w:tcW w:w="1820" w:type="dxa"/>
                  <w:noWrap w:val="0"/>
                  <w:vAlign w:val="center"/>
                </w:tcPr>
                <w:p>
                  <w:pPr>
                    <w:jc w:val="center"/>
                    <w:rPr>
                      <w:rFonts w:ascii="Times New Roman" w:hAnsi="Times New Roman" w:eastAsia="宋体"/>
                      <w:bCs/>
                      <w:color w:val="000000"/>
                      <w:kern w:val="0"/>
                      <w:szCs w:val="21"/>
                    </w:rPr>
                  </w:pPr>
                  <w:r>
                    <w:rPr>
                      <w:rFonts w:hint="eastAsia" w:ascii="Times New Roman" w:hAnsi="Times New Roman" w:eastAsia="宋体"/>
                      <w:bCs/>
                      <w:color w:val="000000"/>
                      <w:kern w:val="0"/>
                      <w:szCs w:val="21"/>
                      <w:lang w:val="en-US" w:eastAsia="zh-CN"/>
                    </w:rPr>
                    <w:t>35</w:t>
                  </w:r>
                </w:p>
              </w:tc>
              <w:tc>
                <w:tcPr>
                  <w:tcW w:w="2869" w:type="dxa"/>
                  <w:vMerge w:val="continue"/>
                  <w:noWrap w:val="0"/>
                  <w:vAlign w:val="center"/>
                </w:tcPr>
                <w:p>
                  <w:pPr>
                    <w:jc w:val="center"/>
                    <w:rPr>
                      <w:rFonts w:ascii="Times New Roman" w:hAnsi="Times New Roman" w:eastAsia="宋体"/>
                      <w:bCs/>
                      <w:color w:val="000000"/>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Merge w:val="continue"/>
                  <w:noWrap w:val="0"/>
                  <w:vAlign w:val="center"/>
                </w:tcPr>
                <w:p>
                  <w:pPr>
                    <w:jc w:val="center"/>
                    <w:rPr>
                      <w:rFonts w:ascii="Times New Roman" w:hAnsi="Times New Roman" w:eastAsia="宋体"/>
                      <w:bCs/>
                      <w:color w:val="000000"/>
                      <w:kern w:val="0"/>
                      <w:szCs w:val="21"/>
                    </w:rPr>
                  </w:pPr>
                </w:p>
              </w:tc>
              <w:tc>
                <w:tcPr>
                  <w:tcW w:w="1856" w:type="dxa"/>
                  <w:noWrap w:val="0"/>
                  <w:vAlign w:val="center"/>
                </w:tcPr>
                <w:p>
                  <w:pPr>
                    <w:jc w:val="center"/>
                    <w:rPr>
                      <w:rFonts w:ascii="Times New Roman" w:hAnsi="Times New Roman" w:eastAsia="宋体"/>
                      <w:bCs/>
                      <w:color w:val="000000"/>
                      <w:kern w:val="0"/>
                      <w:szCs w:val="21"/>
                    </w:rPr>
                  </w:pPr>
                  <w:r>
                    <w:rPr>
                      <w:rFonts w:ascii="Times New Roman" w:hAnsi="Times New Roman" w:eastAsia="宋体"/>
                      <w:bCs/>
                      <w:color w:val="000000"/>
                      <w:kern w:val="0"/>
                      <w:szCs w:val="21"/>
                    </w:rPr>
                    <w:t>24小时平均</w:t>
                  </w:r>
                </w:p>
              </w:tc>
              <w:tc>
                <w:tcPr>
                  <w:tcW w:w="1820" w:type="dxa"/>
                  <w:noWrap w:val="0"/>
                  <w:vAlign w:val="center"/>
                </w:tcPr>
                <w:p>
                  <w:pPr>
                    <w:jc w:val="center"/>
                    <w:rPr>
                      <w:rFonts w:ascii="Times New Roman" w:hAnsi="Times New Roman" w:eastAsia="宋体"/>
                      <w:bCs/>
                      <w:color w:val="000000"/>
                      <w:kern w:val="0"/>
                      <w:szCs w:val="21"/>
                    </w:rPr>
                  </w:pPr>
                  <w:r>
                    <w:rPr>
                      <w:rFonts w:hint="eastAsia" w:ascii="Times New Roman" w:hAnsi="Times New Roman" w:eastAsia="宋体"/>
                      <w:bCs/>
                      <w:color w:val="000000"/>
                      <w:kern w:val="0"/>
                      <w:szCs w:val="21"/>
                      <w:lang w:val="en-US" w:eastAsia="zh-CN"/>
                    </w:rPr>
                    <w:t>75</w:t>
                  </w:r>
                </w:p>
              </w:tc>
              <w:tc>
                <w:tcPr>
                  <w:tcW w:w="2869" w:type="dxa"/>
                  <w:vMerge w:val="continue"/>
                  <w:noWrap w:val="0"/>
                  <w:vAlign w:val="center"/>
                </w:tcPr>
                <w:p>
                  <w:pPr>
                    <w:jc w:val="center"/>
                    <w:rPr>
                      <w:rFonts w:ascii="Times New Roman" w:hAnsi="Times New Roman" w:eastAsia="宋体"/>
                      <w:bCs/>
                      <w:color w:val="000000"/>
                      <w:kern w:val="0"/>
                      <w:szCs w:val="21"/>
                    </w:rPr>
                  </w:pPr>
                </w:p>
              </w:tc>
            </w:tr>
          </w:tbl>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2、地表水</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根据区域地表水环境功能区划，项目所在区域地表水长江执行国家《地表水环境质量标准》（GB3838-2002）中Ⅲ类水域标准，标准值如下表：</w:t>
            </w:r>
          </w:p>
          <w:p>
            <w:pPr>
              <w:spacing w:line="360" w:lineRule="auto"/>
              <w:jc w:val="center"/>
              <w:rPr>
                <w:rFonts w:ascii="Times New Roman" w:hAnsi="Times New Roman" w:eastAsia="宋体"/>
                <w:b/>
                <w:bCs/>
                <w:sz w:val="24"/>
                <w:szCs w:val="24"/>
              </w:rPr>
            </w:pPr>
            <w:bookmarkStart w:id="6" w:name="_Hlk507534725"/>
            <w:r>
              <w:rPr>
                <w:rFonts w:ascii="Times New Roman" w:hAnsi="Times New Roman" w:eastAsia="宋体"/>
                <w:b/>
                <w:bCs/>
                <w:sz w:val="24"/>
                <w:szCs w:val="24"/>
              </w:rPr>
              <w:t>表4-2地表水环境质量标准   单位：mg/L，pH除外</w:t>
            </w:r>
          </w:p>
          <w:tbl>
            <w:tblPr>
              <w:tblStyle w:val="2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278"/>
              <w:gridCol w:w="2129"/>
              <w:gridCol w:w="33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2433" w:type="dxa"/>
                  <w:noWrap w:val="0"/>
                  <w:vAlign w:val="center"/>
                </w:tcPr>
                <w:p>
                  <w:pPr>
                    <w:spacing w:line="240" w:lineRule="atLeast"/>
                    <w:jc w:val="center"/>
                    <w:rPr>
                      <w:rFonts w:ascii="Times New Roman" w:hAnsi="Times New Roman" w:eastAsia="宋体"/>
                    </w:rPr>
                  </w:pPr>
                  <w:r>
                    <w:rPr>
                      <w:rFonts w:ascii="Times New Roman" w:hAnsi="Times New Roman" w:eastAsia="宋体"/>
                    </w:rPr>
                    <w:t>指  标</w:t>
                  </w:r>
                </w:p>
              </w:tc>
              <w:tc>
                <w:tcPr>
                  <w:tcW w:w="2293" w:type="dxa"/>
                  <w:tcBorders>
                    <w:right w:val="single" w:color="auto" w:sz="4" w:space="0"/>
                  </w:tcBorders>
                  <w:noWrap w:val="0"/>
                  <w:vAlign w:val="center"/>
                </w:tcPr>
                <w:p>
                  <w:pPr>
                    <w:spacing w:line="240" w:lineRule="atLeast"/>
                    <w:jc w:val="center"/>
                    <w:rPr>
                      <w:rFonts w:ascii="Times New Roman" w:hAnsi="Times New Roman" w:eastAsia="宋体"/>
                    </w:rPr>
                  </w:pPr>
                  <w:r>
                    <w:rPr>
                      <w:rFonts w:ascii="Times New Roman" w:hAnsi="Times New Roman" w:eastAsia="宋体"/>
                    </w:rPr>
                    <w:t>Ⅲ类标准值</w:t>
                  </w:r>
                </w:p>
              </w:tc>
              <w:tc>
                <w:tcPr>
                  <w:tcW w:w="3551" w:type="dxa"/>
                  <w:noWrap w:val="0"/>
                  <w:vAlign w:val="center"/>
                </w:tcPr>
                <w:p>
                  <w:pPr>
                    <w:spacing w:line="360" w:lineRule="auto"/>
                    <w:jc w:val="center"/>
                    <w:rPr>
                      <w:rFonts w:ascii="Times New Roman" w:hAnsi="Times New Roman" w:eastAsia="宋体"/>
                    </w:rPr>
                  </w:pPr>
                  <w:r>
                    <w:rPr>
                      <w:rFonts w:ascii="Times New Roman" w:hAnsi="Times New Roman" w:eastAsia="宋体"/>
                    </w:rPr>
                    <w:t>依  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noWrap w:val="0"/>
                  <w:vAlign w:val="center"/>
                </w:tcPr>
                <w:p>
                  <w:pPr>
                    <w:spacing w:line="240" w:lineRule="atLeast"/>
                    <w:jc w:val="center"/>
                    <w:rPr>
                      <w:rFonts w:ascii="Times New Roman" w:hAnsi="Times New Roman" w:eastAsia="宋体"/>
                    </w:rPr>
                  </w:pPr>
                  <w:r>
                    <w:rPr>
                      <w:rFonts w:ascii="Times New Roman" w:hAnsi="Times New Roman" w:eastAsia="宋体"/>
                    </w:rPr>
                    <w:t>pH</w:t>
                  </w:r>
                </w:p>
              </w:tc>
              <w:tc>
                <w:tcPr>
                  <w:tcW w:w="2293" w:type="dxa"/>
                  <w:tcBorders>
                    <w:right w:val="single" w:color="auto" w:sz="4" w:space="0"/>
                  </w:tcBorders>
                  <w:noWrap w:val="0"/>
                  <w:vAlign w:val="center"/>
                </w:tcPr>
                <w:p>
                  <w:pPr>
                    <w:spacing w:line="240" w:lineRule="atLeast"/>
                    <w:jc w:val="center"/>
                    <w:rPr>
                      <w:rFonts w:ascii="Times New Roman" w:hAnsi="Times New Roman" w:eastAsia="宋体"/>
                    </w:rPr>
                  </w:pPr>
                  <w:r>
                    <w:rPr>
                      <w:rFonts w:ascii="Times New Roman" w:hAnsi="Times New Roman" w:eastAsia="宋体"/>
                    </w:rPr>
                    <w:t>6～9</w:t>
                  </w:r>
                </w:p>
              </w:tc>
              <w:tc>
                <w:tcPr>
                  <w:tcW w:w="3551" w:type="dxa"/>
                  <w:vMerge w:val="restart"/>
                  <w:noWrap w:val="0"/>
                  <w:vAlign w:val="center"/>
                </w:tcPr>
                <w:p>
                  <w:pPr>
                    <w:spacing w:line="240" w:lineRule="atLeast"/>
                    <w:jc w:val="center"/>
                    <w:rPr>
                      <w:rFonts w:ascii="Times New Roman" w:hAnsi="Times New Roman" w:eastAsia="宋体"/>
                    </w:rPr>
                  </w:pPr>
                  <w:r>
                    <w:rPr>
                      <w:rFonts w:ascii="Times New Roman" w:hAnsi="Times New Roman" w:eastAsia="宋体"/>
                    </w:rPr>
                    <w:t>《地表水环境质量标准》（GB3838-2002）中的Ⅲ类水域标准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noWrap w:val="0"/>
                  <w:vAlign w:val="center"/>
                </w:tcPr>
                <w:p>
                  <w:pPr>
                    <w:spacing w:line="240" w:lineRule="atLeast"/>
                    <w:jc w:val="center"/>
                    <w:rPr>
                      <w:rFonts w:ascii="Times New Roman" w:hAnsi="Times New Roman" w:eastAsia="宋体"/>
                    </w:rPr>
                  </w:pPr>
                  <w:r>
                    <w:rPr>
                      <w:rFonts w:ascii="Times New Roman" w:hAnsi="Times New Roman" w:eastAsia="宋体"/>
                    </w:rPr>
                    <w:t>CODcr</w:t>
                  </w:r>
                </w:p>
              </w:tc>
              <w:tc>
                <w:tcPr>
                  <w:tcW w:w="2293" w:type="dxa"/>
                  <w:tcBorders>
                    <w:right w:val="single" w:color="auto" w:sz="4" w:space="0"/>
                  </w:tcBorders>
                  <w:noWrap w:val="0"/>
                  <w:vAlign w:val="center"/>
                </w:tcPr>
                <w:p>
                  <w:pPr>
                    <w:spacing w:line="240" w:lineRule="atLeast"/>
                    <w:jc w:val="center"/>
                    <w:rPr>
                      <w:rFonts w:ascii="Times New Roman" w:hAnsi="Times New Roman" w:eastAsia="宋体"/>
                    </w:rPr>
                  </w:pPr>
                  <w:r>
                    <w:rPr>
                      <w:rFonts w:ascii="Times New Roman" w:hAnsi="Times New Roman" w:eastAsia="宋体"/>
                    </w:rPr>
                    <w:t>≤20</w:t>
                  </w:r>
                </w:p>
              </w:tc>
              <w:tc>
                <w:tcPr>
                  <w:tcW w:w="3551" w:type="dxa"/>
                  <w:vMerge w:val="continue"/>
                  <w:noWrap w:val="0"/>
                  <w:vAlign w:val="center"/>
                </w:tcPr>
                <w:p>
                  <w:pPr>
                    <w:spacing w:line="360" w:lineRule="auto"/>
                    <w:rPr>
                      <w:rFonts w:ascii="Times New Roman" w:hAnsi="Times New Roman" w:eastAsia="宋体"/>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noWrap w:val="0"/>
                  <w:vAlign w:val="center"/>
                </w:tcPr>
                <w:p>
                  <w:pPr>
                    <w:spacing w:line="240" w:lineRule="atLeast"/>
                    <w:jc w:val="center"/>
                    <w:rPr>
                      <w:rFonts w:ascii="Times New Roman" w:hAnsi="Times New Roman" w:eastAsia="宋体"/>
                    </w:rPr>
                  </w:pPr>
                  <w:r>
                    <w:rPr>
                      <w:rFonts w:ascii="Times New Roman" w:hAnsi="Times New Roman" w:eastAsia="宋体"/>
                    </w:rPr>
                    <w:t>氨氮</w:t>
                  </w:r>
                </w:p>
              </w:tc>
              <w:tc>
                <w:tcPr>
                  <w:tcW w:w="2293" w:type="dxa"/>
                  <w:tcBorders>
                    <w:right w:val="single" w:color="auto" w:sz="4" w:space="0"/>
                  </w:tcBorders>
                  <w:noWrap w:val="0"/>
                  <w:vAlign w:val="center"/>
                </w:tcPr>
                <w:p>
                  <w:pPr>
                    <w:spacing w:line="240" w:lineRule="atLeast"/>
                    <w:jc w:val="center"/>
                    <w:rPr>
                      <w:rFonts w:ascii="Times New Roman" w:hAnsi="Times New Roman" w:eastAsia="宋体"/>
                    </w:rPr>
                  </w:pPr>
                  <w:r>
                    <w:rPr>
                      <w:rFonts w:ascii="Times New Roman" w:hAnsi="Times New Roman" w:eastAsia="宋体"/>
                    </w:rPr>
                    <w:t>≤1.0</w:t>
                  </w:r>
                </w:p>
              </w:tc>
              <w:tc>
                <w:tcPr>
                  <w:tcW w:w="3551" w:type="dxa"/>
                  <w:vMerge w:val="continue"/>
                  <w:noWrap w:val="0"/>
                  <w:vAlign w:val="center"/>
                </w:tcPr>
                <w:p>
                  <w:pPr>
                    <w:spacing w:line="360" w:lineRule="auto"/>
                    <w:rPr>
                      <w:rFonts w:ascii="Times New Roman" w:hAnsi="Times New Roman" w:eastAsia="宋体"/>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noWrap w:val="0"/>
                  <w:vAlign w:val="center"/>
                </w:tcPr>
                <w:p>
                  <w:pPr>
                    <w:spacing w:line="240" w:lineRule="atLeast"/>
                    <w:jc w:val="center"/>
                    <w:rPr>
                      <w:rFonts w:ascii="Times New Roman" w:hAnsi="Times New Roman" w:eastAsia="宋体"/>
                    </w:rPr>
                  </w:pPr>
                  <w:r>
                    <w:rPr>
                      <w:rFonts w:ascii="Times New Roman" w:hAnsi="Times New Roman" w:eastAsia="宋体"/>
                    </w:rPr>
                    <w:t>BOD</w:t>
                  </w:r>
                  <w:r>
                    <w:rPr>
                      <w:rFonts w:ascii="Times New Roman" w:hAnsi="Times New Roman" w:eastAsia="宋体"/>
                      <w:vertAlign w:val="subscript"/>
                    </w:rPr>
                    <w:t>5</w:t>
                  </w:r>
                </w:p>
              </w:tc>
              <w:tc>
                <w:tcPr>
                  <w:tcW w:w="2293" w:type="dxa"/>
                  <w:tcBorders>
                    <w:right w:val="single" w:color="auto" w:sz="4" w:space="0"/>
                  </w:tcBorders>
                  <w:noWrap w:val="0"/>
                  <w:vAlign w:val="center"/>
                </w:tcPr>
                <w:p>
                  <w:pPr>
                    <w:spacing w:line="240" w:lineRule="atLeast"/>
                    <w:jc w:val="center"/>
                    <w:rPr>
                      <w:rFonts w:ascii="Times New Roman" w:hAnsi="Times New Roman" w:eastAsia="宋体"/>
                    </w:rPr>
                  </w:pPr>
                  <w:r>
                    <w:rPr>
                      <w:rFonts w:ascii="Times New Roman" w:hAnsi="Times New Roman" w:eastAsia="宋体"/>
                    </w:rPr>
                    <w:t>≤4.0</w:t>
                  </w:r>
                </w:p>
              </w:tc>
              <w:tc>
                <w:tcPr>
                  <w:tcW w:w="3551" w:type="dxa"/>
                  <w:vMerge w:val="continue"/>
                  <w:noWrap w:val="0"/>
                  <w:vAlign w:val="center"/>
                </w:tcPr>
                <w:p>
                  <w:pPr>
                    <w:spacing w:line="360" w:lineRule="auto"/>
                    <w:rPr>
                      <w:rFonts w:ascii="Times New Roman" w:hAnsi="Times New Roman" w:eastAsia="宋体"/>
                    </w:rPr>
                  </w:pPr>
                </w:p>
              </w:tc>
            </w:tr>
          </w:tbl>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3、声环境</w:t>
            </w:r>
          </w:p>
          <w:bookmarkEnd w:id="6"/>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根据区域声环境功能区划，项目区所在声环境执行</w:t>
            </w:r>
            <w:bookmarkStart w:id="7" w:name="OLE_LINK1"/>
            <w:bookmarkStart w:id="8" w:name="OLE_LINK3"/>
            <w:r>
              <w:rPr>
                <w:rFonts w:ascii="Times New Roman" w:hAnsi="Times New Roman" w:eastAsia="宋体"/>
                <w:sz w:val="24"/>
                <w:szCs w:val="24"/>
              </w:rPr>
              <w:t>《声环境质量标准》（GB3096-2008）中3类区标准</w:t>
            </w:r>
            <w:bookmarkEnd w:id="7"/>
            <w:bookmarkEnd w:id="8"/>
            <w:r>
              <w:rPr>
                <w:rFonts w:ascii="Times New Roman" w:hAnsi="Times New Roman" w:eastAsia="宋体"/>
                <w:sz w:val="24"/>
                <w:szCs w:val="24"/>
              </w:rPr>
              <w:t>。</w:t>
            </w:r>
          </w:p>
          <w:p>
            <w:pPr>
              <w:spacing w:line="360" w:lineRule="auto"/>
              <w:jc w:val="center"/>
              <w:rPr>
                <w:rFonts w:ascii="Times New Roman" w:hAnsi="Times New Roman" w:eastAsia="宋体"/>
                <w:b/>
                <w:bCs/>
                <w:sz w:val="24"/>
                <w:szCs w:val="24"/>
              </w:rPr>
            </w:pPr>
          </w:p>
          <w:p>
            <w:pPr>
              <w:spacing w:line="360" w:lineRule="auto"/>
              <w:jc w:val="center"/>
              <w:rPr>
                <w:rFonts w:ascii="Times New Roman" w:hAnsi="Times New Roman" w:eastAsia="宋体"/>
                <w:b/>
                <w:bCs/>
                <w:sz w:val="24"/>
                <w:szCs w:val="24"/>
              </w:rPr>
            </w:pPr>
            <w:r>
              <w:rPr>
                <w:rFonts w:ascii="Times New Roman" w:hAnsi="Times New Roman" w:eastAsia="宋体"/>
                <w:b/>
                <w:bCs/>
                <w:sz w:val="24"/>
                <w:szCs w:val="24"/>
              </w:rPr>
              <w:t>表4-3  声环境质量标准    单位：dB（A）</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1"/>
              <w:gridCol w:w="1235"/>
              <w:gridCol w:w="1357"/>
              <w:gridCol w:w="3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1735" w:type="dxa"/>
                  <w:vMerge w:val="restart"/>
                  <w:noWrap w:val="0"/>
                  <w:vAlign w:val="center"/>
                </w:tcPr>
                <w:p>
                  <w:pPr>
                    <w:adjustRightInd w:val="0"/>
                    <w:snapToGrid w:val="0"/>
                    <w:jc w:val="center"/>
                    <w:rPr>
                      <w:rFonts w:ascii="Times New Roman" w:hAnsi="Times New Roman" w:eastAsia="宋体"/>
                    </w:rPr>
                  </w:pPr>
                  <w:r>
                    <w:rPr>
                      <w:rFonts w:ascii="Times New Roman" w:hAnsi="Times New Roman" w:eastAsia="宋体"/>
                    </w:rPr>
                    <w:t>标准级（类）别</w:t>
                  </w:r>
                </w:p>
              </w:tc>
              <w:tc>
                <w:tcPr>
                  <w:tcW w:w="2768" w:type="dxa"/>
                  <w:gridSpan w:val="2"/>
                  <w:noWrap w:val="0"/>
                  <w:vAlign w:val="center"/>
                </w:tcPr>
                <w:p>
                  <w:pPr>
                    <w:adjustRightInd w:val="0"/>
                    <w:snapToGrid w:val="0"/>
                    <w:ind w:firstLine="128"/>
                    <w:jc w:val="center"/>
                    <w:rPr>
                      <w:rFonts w:ascii="Times New Roman" w:hAnsi="Times New Roman" w:eastAsia="宋体"/>
                    </w:rPr>
                  </w:pPr>
                  <w:r>
                    <w:rPr>
                      <w:rFonts w:ascii="Times New Roman" w:hAnsi="Times New Roman" w:eastAsia="宋体"/>
                    </w:rPr>
                    <w:t>标准限值</w:t>
                  </w:r>
                </w:p>
              </w:tc>
              <w:tc>
                <w:tcPr>
                  <w:tcW w:w="3770" w:type="dxa"/>
                  <w:vMerge w:val="restart"/>
                  <w:noWrap w:val="0"/>
                  <w:vAlign w:val="center"/>
                </w:tcPr>
                <w:p>
                  <w:pPr>
                    <w:adjustRightInd w:val="0"/>
                    <w:snapToGrid w:val="0"/>
                    <w:jc w:val="center"/>
                    <w:rPr>
                      <w:rFonts w:ascii="Times New Roman" w:hAnsi="Times New Roman" w:eastAsia="宋体"/>
                    </w:rPr>
                  </w:pPr>
                  <w:r>
                    <w:rPr>
                      <w:rFonts w:ascii="Times New Roman" w:hAnsi="Times New Roman" w:eastAsia="宋体"/>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Merge w:val="continue"/>
                  <w:noWrap w:val="0"/>
                  <w:vAlign w:val="center"/>
                </w:tcPr>
                <w:p>
                  <w:pPr>
                    <w:adjustRightInd w:val="0"/>
                    <w:snapToGrid w:val="0"/>
                    <w:jc w:val="center"/>
                    <w:rPr>
                      <w:rFonts w:ascii="Times New Roman" w:hAnsi="Times New Roman" w:eastAsia="宋体"/>
                    </w:rPr>
                  </w:pPr>
                </w:p>
              </w:tc>
              <w:tc>
                <w:tcPr>
                  <w:tcW w:w="1316" w:type="dxa"/>
                  <w:noWrap w:val="0"/>
                  <w:vAlign w:val="center"/>
                </w:tcPr>
                <w:p>
                  <w:pPr>
                    <w:adjustRightInd w:val="0"/>
                    <w:snapToGrid w:val="0"/>
                    <w:ind w:firstLine="128"/>
                    <w:jc w:val="center"/>
                    <w:rPr>
                      <w:rFonts w:ascii="Times New Roman" w:hAnsi="Times New Roman" w:eastAsia="宋体"/>
                    </w:rPr>
                  </w:pPr>
                  <w:r>
                    <w:rPr>
                      <w:rFonts w:ascii="Times New Roman" w:hAnsi="Times New Roman" w:eastAsia="宋体"/>
                    </w:rPr>
                    <w:t>昼间</w:t>
                  </w:r>
                </w:p>
              </w:tc>
              <w:tc>
                <w:tcPr>
                  <w:tcW w:w="1452" w:type="dxa"/>
                  <w:noWrap w:val="0"/>
                  <w:vAlign w:val="center"/>
                </w:tcPr>
                <w:p>
                  <w:pPr>
                    <w:adjustRightInd w:val="0"/>
                    <w:snapToGrid w:val="0"/>
                    <w:ind w:firstLine="128"/>
                    <w:jc w:val="center"/>
                    <w:rPr>
                      <w:rFonts w:ascii="Times New Roman" w:hAnsi="Times New Roman" w:eastAsia="宋体"/>
                    </w:rPr>
                  </w:pPr>
                  <w:r>
                    <w:rPr>
                      <w:rFonts w:ascii="Times New Roman" w:hAnsi="Times New Roman" w:eastAsia="宋体"/>
                    </w:rPr>
                    <w:t>夜间</w:t>
                  </w:r>
                </w:p>
              </w:tc>
              <w:tc>
                <w:tcPr>
                  <w:tcW w:w="3770" w:type="dxa"/>
                  <w:vMerge w:val="continue"/>
                  <w:noWrap w:val="0"/>
                  <w:vAlign w:val="center"/>
                </w:tcPr>
                <w:p>
                  <w:pPr>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noWrap w:val="0"/>
                  <w:vAlign w:val="center"/>
                </w:tcPr>
                <w:p>
                  <w:pPr>
                    <w:adjustRightInd w:val="0"/>
                    <w:snapToGrid w:val="0"/>
                    <w:jc w:val="center"/>
                    <w:rPr>
                      <w:rFonts w:ascii="Times New Roman" w:hAnsi="Times New Roman" w:eastAsia="宋体"/>
                    </w:rPr>
                  </w:pPr>
                  <w:r>
                    <w:rPr>
                      <w:rFonts w:ascii="Times New Roman" w:hAnsi="Times New Roman" w:eastAsia="宋体"/>
                    </w:rPr>
                    <w:t>3类区</w:t>
                  </w:r>
                </w:p>
              </w:tc>
              <w:tc>
                <w:tcPr>
                  <w:tcW w:w="1316" w:type="dxa"/>
                  <w:noWrap w:val="0"/>
                  <w:vAlign w:val="center"/>
                </w:tcPr>
                <w:p>
                  <w:pPr>
                    <w:adjustRightInd w:val="0"/>
                    <w:snapToGrid w:val="0"/>
                    <w:jc w:val="center"/>
                    <w:rPr>
                      <w:rFonts w:ascii="Times New Roman" w:hAnsi="Times New Roman" w:eastAsia="宋体"/>
                    </w:rPr>
                  </w:pPr>
                  <w:r>
                    <w:rPr>
                      <w:rFonts w:ascii="Times New Roman" w:hAnsi="Times New Roman" w:eastAsia="宋体"/>
                    </w:rPr>
                    <w:t>65</w:t>
                  </w:r>
                </w:p>
              </w:tc>
              <w:tc>
                <w:tcPr>
                  <w:tcW w:w="1452" w:type="dxa"/>
                  <w:noWrap w:val="0"/>
                  <w:vAlign w:val="center"/>
                </w:tcPr>
                <w:p>
                  <w:pPr>
                    <w:adjustRightInd w:val="0"/>
                    <w:snapToGrid w:val="0"/>
                    <w:jc w:val="center"/>
                    <w:rPr>
                      <w:rFonts w:ascii="Times New Roman" w:hAnsi="Times New Roman" w:eastAsia="宋体"/>
                    </w:rPr>
                  </w:pPr>
                  <w:r>
                    <w:rPr>
                      <w:rFonts w:ascii="Times New Roman" w:hAnsi="Times New Roman" w:eastAsia="宋体"/>
                    </w:rPr>
                    <w:t>55</w:t>
                  </w:r>
                </w:p>
              </w:tc>
              <w:tc>
                <w:tcPr>
                  <w:tcW w:w="3770" w:type="dxa"/>
                  <w:noWrap w:val="0"/>
                  <w:vAlign w:val="center"/>
                </w:tcPr>
                <w:p>
                  <w:pPr>
                    <w:adjustRightInd w:val="0"/>
                    <w:snapToGrid w:val="0"/>
                    <w:jc w:val="center"/>
                    <w:rPr>
                      <w:rFonts w:ascii="Times New Roman" w:hAnsi="Times New Roman" w:eastAsia="宋体"/>
                    </w:rPr>
                  </w:pPr>
                  <w:r>
                    <w:rPr>
                      <w:rFonts w:ascii="Times New Roman" w:hAnsi="Times New Roman" w:eastAsia="宋体"/>
                    </w:rPr>
                    <w:t>《声环境质量标准》（GB3096-2008）</w:t>
                  </w:r>
                </w:p>
              </w:tc>
            </w:tr>
          </w:tbl>
          <w:p>
            <w:pPr>
              <w:rPr>
                <w:rFonts w:ascii="Times New Roman" w:hAnsi="Times New Roman" w:eastAsia="宋体"/>
              </w:rPr>
            </w:pPr>
          </w:p>
          <w:p>
            <w:pPr>
              <w:pStyle w:val="22"/>
              <w:spacing w:line="360" w:lineRule="auto"/>
              <w:ind w:leftChars="0" w:firstLine="0" w:firstLineChars="0"/>
              <w:rPr>
                <w:rFonts w:ascii="Times New Roman" w:hAnsi="Times New Roman" w:eastAsia="宋体"/>
              </w:rPr>
            </w:pPr>
          </w:p>
          <w:p>
            <w:pPr>
              <w:spacing w:line="360" w:lineRule="auto"/>
              <w:rPr>
                <w:rFonts w:ascii="Times New Roman" w:hAnsi="Times New Roman" w:eastAsia="宋体"/>
              </w:rPr>
            </w:pPr>
          </w:p>
          <w:p>
            <w:pPr>
              <w:pStyle w:val="22"/>
              <w:spacing w:line="360" w:lineRule="auto"/>
              <w:ind w:leftChars="0" w:firstLine="0" w:firstLineChars="0"/>
              <w:rPr>
                <w:rFonts w:ascii="Times New Roman" w:hAnsi="Times New Roman" w:eastAsia="宋体"/>
              </w:rPr>
            </w:pPr>
          </w:p>
          <w:p>
            <w:pPr>
              <w:spacing w:line="360" w:lineRule="auto"/>
              <w:rPr>
                <w:rFonts w:ascii="Times New Roman" w:hAnsi="Times New Roman" w:eastAsia="宋体"/>
              </w:rPr>
            </w:pPr>
          </w:p>
          <w:p>
            <w:pPr>
              <w:pStyle w:val="22"/>
              <w:spacing w:line="360" w:lineRule="auto"/>
              <w:ind w:leftChars="0" w:firstLine="0" w:firstLineChars="0"/>
              <w:rPr>
                <w:rFonts w:ascii="Times New Roman" w:hAnsi="Times New Roman" w:eastAsia="宋体"/>
              </w:rPr>
            </w:pPr>
          </w:p>
          <w:p>
            <w:pPr>
              <w:spacing w:line="360" w:lineRule="auto"/>
              <w:rPr>
                <w:rFonts w:ascii="Times New Roman" w:hAnsi="Times New Roman" w:eastAsia="宋体"/>
              </w:rPr>
            </w:pPr>
          </w:p>
          <w:p>
            <w:pPr>
              <w:pStyle w:val="22"/>
              <w:spacing w:line="360" w:lineRule="auto"/>
              <w:ind w:leftChars="0" w:firstLine="0" w:firstLineChars="0"/>
              <w:rPr>
                <w:rFonts w:ascii="Times New Roman" w:hAnsi="Times New Roman" w:eastAsia="宋体"/>
              </w:rPr>
            </w:pPr>
          </w:p>
          <w:p>
            <w:pPr>
              <w:spacing w:line="360" w:lineRule="auto"/>
              <w:rPr>
                <w:rFonts w:ascii="Times New Roman" w:hAnsi="Times New Roman" w:eastAsia="宋体"/>
              </w:rPr>
            </w:pPr>
          </w:p>
          <w:p>
            <w:pPr>
              <w:pStyle w:val="22"/>
              <w:spacing w:line="360" w:lineRule="auto"/>
              <w:ind w:leftChars="0" w:firstLine="0" w:firstLineChars="0"/>
              <w:rPr>
                <w:rFonts w:ascii="Times New Roman" w:hAnsi="Times New Roman" w:eastAsia="宋体"/>
              </w:rPr>
            </w:pPr>
          </w:p>
          <w:p>
            <w:pPr>
              <w:spacing w:line="360" w:lineRule="auto"/>
              <w:rPr>
                <w:rFonts w:ascii="Times New Roman" w:hAnsi="Times New Roman" w:eastAsia="宋体"/>
              </w:rPr>
            </w:pPr>
          </w:p>
          <w:p>
            <w:pPr>
              <w:pStyle w:val="22"/>
              <w:spacing w:line="360" w:lineRule="auto"/>
              <w:ind w:leftChars="0" w:firstLine="0" w:firstLineChars="0"/>
              <w:rPr>
                <w:rFonts w:ascii="Times New Roman" w:hAnsi="Times New Roman" w:eastAsia="宋体"/>
              </w:rPr>
            </w:pPr>
          </w:p>
          <w:p>
            <w:pPr>
              <w:spacing w:line="360" w:lineRule="auto"/>
              <w:rPr>
                <w:rFonts w:ascii="Times New Roman" w:hAnsi="Times New Roman" w:eastAsia="宋体"/>
              </w:rPr>
            </w:pPr>
          </w:p>
          <w:p>
            <w:pPr>
              <w:pStyle w:val="22"/>
              <w:spacing w:line="360" w:lineRule="auto"/>
              <w:ind w:leftChars="0" w:firstLine="0" w:firstLineChars="0"/>
              <w:rPr>
                <w:rFonts w:ascii="Times New Roman" w:hAnsi="Times New Roman" w:eastAsia="宋体"/>
              </w:rPr>
            </w:pPr>
          </w:p>
          <w:p>
            <w:pPr>
              <w:spacing w:line="360" w:lineRule="auto"/>
              <w:rPr>
                <w:rFonts w:ascii="Times New Roman" w:hAnsi="Times New Roman" w:eastAsia="宋体"/>
              </w:rPr>
            </w:pPr>
          </w:p>
          <w:p>
            <w:pPr>
              <w:pStyle w:val="22"/>
              <w:spacing w:line="360" w:lineRule="auto"/>
              <w:ind w:leftChars="0" w:firstLine="0" w:firstLineChars="0"/>
              <w:rPr>
                <w:rFonts w:ascii="Times New Roman" w:hAnsi="Times New Roman" w:eastAsia="宋体"/>
              </w:rPr>
            </w:pPr>
          </w:p>
          <w:p>
            <w:pPr>
              <w:pStyle w:val="27"/>
              <w:spacing w:after="0" w:line="360" w:lineRule="auto"/>
              <w:ind w:firstLine="0" w:firstLineChars="0"/>
              <w:rPr>
                <w:rFonts w:ascii="Times New Roman" w:hAnsi="Times New Roman" w:eastAsia="宋体"/>
                <w:color w:val="000000"/>
                <w:sz w:val="18"/>
                <w:szCs w:val="18"/>
                <w:highlight w:val="yellow"/>
              </w:rPr>
            </w:pPr>
          </w:p>
          <w:p>
            <w:pPr>
              <w:pStyle w:val="27"/>
              <w:spacing w:after="0" w:line="360" w:lineRule="auto"/>
              <w:ind w:firstLine="0" w:firstLineChars="0"/>
              <w:rPr>
                <w:rFonts w:ascii="Times New Roman" w:hAnsi="Times New Roman" w:eastAsia="宋体"/>
                <w:color w:val="000000"/>
                <w:sz w:val="18"/>
                <w:szCs w:val="18"/>
                <w:highlight w:val="yellow"/>
              </w:rPr>
            </w:pPr>
          </w:p>
          <w:p>
            <w:pPr>
              <w:pStyle w:val="27"/>
              <w:spacing w:after="0" w:line="360" w:lineRule="auto"/>
              <w:ind w:firstLine="0" w:firstLineChars="0"/>
              <w:rPr>
                <w:rFonts w:ascii="Times New Roman" w:hAnsi="Times New Roman" w:eastAsia="宋体"/>
                <w:color w:val="000000"/>
                <w:sz w:val="18"/>
                <w:szCs w:val="18"/>
                <w:highlight w:val="yellow"/>
              </w:rPr>
            </w:pPr>
          </w:p>
          <w:p>
            <w:pPr>
              <w:pStyle w:val="27"/>
              <w:spacing w:after="0" w:line="360" w:lineRule="auto"/>
              <w:ind w:firstLine="0" w:firstLineChars="0"/>
              <w:rPr>
                <w:rFonts w:ascii="Times New Roman" w:hAnsi="Times New Roman" w:eastAsia="宋体"/>
                <w:color w:val="000000"/>
                <w:sz w:val="18"/>
                <w:szCs w:val="18"/>
                <w:highlight w:val="yellow"/>
              </w:rPr>
            </w:pPr>
          </w:p>
          <w:p>
            <w:pPr>
              <w:pStyle w:val="27"/>
              <w:spacing w:after="0" w:line="360" w:lineRule="auto"/>
              <w:ind w:firstLine="0" w:firstLineChars="0"/>
              <w:rPr>
                <w:rFonts w:ascii="Times New Roman" w:hAnsi="Times New Roman" w:eastAsia="宋体"/>
                <w:color w:val="000000"/>
                <w:sz w:val="18"/>
                <w:szCs w:val="18"/>
                <w:highlight w:val="yellow"/>
              </w:rPr>
            </w:pPr>
          </w:p>
          <w:p>
            <w:pPr>
              <w:pStyle w:val="27"/>
              <w:spacing w:after="0" w:line="360" w:lineRule="auto"/>
              <w:ind w:firstLine="0" w:firstLineChars="0"/>
              <w:rPr>
                <w:rFonts w:ascii="Times New Roman" w:hAnsi="Times New Roman" w:eastAsia="宋体"/>
                <w:color w:val="000000"/>
                <w:sz w:val="18"/>
                <w:szCs w:val="18"/>
                <w:highlight w:val="yellow"/>
              </w:rPr>
            </w:pPr>
          </w:p>
          <w:p>
            <w:pPr>
              <w:pStyle w:val="27"/>
              <w:ind w:firstLine="0" w:firstLineChars="0"/>
              <w:rPr>
                <w:rFonts w:ascii="Times New Roman" w:hAnsi="Times New Roman" w:eastAsia="宋体"/>
                <w:color w:val="000000"/>
                <w:sz w:val="18"/>
                <w:szCs w:val="18"/>
                <w:highlight w:val="yellow"/>
              </w:rPr>
            </w:pPr>
          </w:p>
        </w:tc>
      </w:tr>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3" w:hRule="atLeast"/>
          <w:jc w:val="center"/>
        </w:trPr>
        <w:tc>
          <w:tcPr>
            <w:tcW w:w="504" w:type="dxa"/>
            <w:noWrap w:val="0"/>
            <w:vAlign w:val="center"/>
          </w:tcPr>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污</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染</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物</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排</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放</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标</w:t>
            </w:r>
          </w:p>
          <w:p>
            <w:pPr>
              <w:spacing w:line="360" w:lineRule="auto"/>
              <w:jc w:val="center"/>
              <w:rPr>
                <w:rFonts w:ascii="Times New Roman" w:hAnsi="Times New Roman" w:eastAsia="宋体"/>
                <w:color w:val="000000"/>
                <w:sz w:val="28"/>
                <w:highlight w:val="yellow"/>
              </w:rPr>
            </w:pPr>
            <w:r>
              <w:rPr>
                <w:rFonts w:ascii="Times New Roman" w:hAnsi="Times New Roman" w:eastAsia="宋体"/>
                <w:color w:val="000000"/>
                <w:sz w:val="24"/>
                <w:szCs w:val="24"/>
              </w:rPr>
              <w:t>准</w:t>
            </w:r>
          </w:p>
        </w:tc>
        <w:tc>
          <w:tcPr>
            <w:tcW w:w="8499" w:type="dxa"/>
            <w:noWrap w:val="0"/>
            <w:vAlign w:val="top"/>
          </w:tcPr>
          <w:p>
            <w:pPr>
              <w:spacing w:line="360" w:lineRule="auto"/>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1、废气</w:t>
            </w:r>
          </w:p>
          <w:p>
            <w:pPr>
              <w:spacing w:line="360" w:lineRule="auto"/>
              <w:ind w:firstLine="480" w:firstLineChars="200"/>
              <w:jc w:val="left"/>
              <w:rPr>
                <w:rFonts w:hint="default" w:ascii="Times New Roman" w:hAnsi="Times New Roman" w:eastAsia="宋体"/>
                <w:color w:val="000000"/>
                <w:sz w:val="24"/>
                <w:szCs w:val="24"/>
                <w:vertAlign w:val="baseline"/>
                <w:lang w:val="en-US" w:eastAsia="zh-CN"/>
              </w:rPr>
            </w:pPr>
            <w:r>
              <w:rPr>
                <w:rFonts w:hint="eastAsia"/>
                <w:color w:val="000000"/>
                <w:sz w:val="24"/>
                <w:szCs w:val="24"/>
                <w:lang w:val="en-US" w:eastAsia="zh-CN"/>
              </w:rPr>
              <w:t>高铝砖生产线各工序产生的颗粒物、氮氧化物、二氧化硫</w:t>
            </w:r>
            <w:r>
              <w:rPr>
                <w:rFonts w:hint="eastAsia" w:ascii="Times New Roman" w:hAnsi="Times New Roman" w:eastAsia="宋体"/>
                <w:color w:val="000000"/>
                <w:sz w:val="24"/>
                <w:szCs w:val="24"/>
                <w:lang w:eastAsia="zh-CN"/>
              </w:rPr>
              <w:t>排放浓度执行</w:t>
            </w:r>
            <w:r>
              <w:rPr>
                <w:rFonts w:hint="eastAsia" w:ascii="Times New Roman" w:hAnsi="Times New Roman" w:eastAsia="宋体"/>
                <w:color w:val="000000"/>
                <w:sz w:val="24"/>
                <w:szCs w:val="24"/>
                <w:lang w:val="en-US" w:eastAsia="zh-CN"/>
              </w:rPr>
              <w:t>颗粒物</w:t>
            </w:r>
            <w:r>
              <w:rPr>
                <w:rFonts w:hint="eastAsia"/>
                <w:color w:val="000000"/>
                <w:sz w:val="24"/>
                <w:szCs w:val="24"/>
                <w:lang w:val="en-US" w:eastAsia="zh-CN"/>
              </w:rPr>
              <w:t>、氮氧化物、二氧化硫</w:t>
            </w:r>
            <w:r>
              <w:rPr>
                <w:rFonts w:hint="eastAsia" w:ascii="Times New Roman" w:hAnsi="Times New Roman" w:eastAsia="宋体"/>
                <w:color w:val="000000"/>
                <w:sz w:val="24"/>
                <w:szCs w:val="24"/>
                <w:lang w:val="en-US" w:eastAsia="zh-CN"/>
              </w:rPr>
              <w:t>排放浓度、排放速率均执行</w:t>
            </w:r>
            <w:r>
              <w:rPr>
                <w:rFonts w:hint="eastAsia" w:ascii="Times New Roman" w:hAnsi="Times New Roman" w:eastAsia="宋体" w:cs="Times New Roman"/>
                <w:color w:val="000000"/>
                <w:sz w:val="24"/>
                <w:lang w:val="en-US" w:eastAsia="zh-CN"/>
              </w:rPr>
              <w:t>上海市《大气污染物综合排放标准》（DB31/933—2015）中的大气污染物项目排放限值，</w:t>
            </w:r>
            <w:r>
              <w:rPr>
                <w:rFonts w:hint="eastAsia" w:ascii="Times New Roman" w:hAnsi="Times New Roman" w:eastAsia="宋体"/>
                <w:color w:val="000000"/>
                <w:sz w:val="24"/>
              </w:rPr>
              <w:t>具体见下表</w:t>
            </w:r>
            <w:r>
              <w:rPr>
                <w:rFonts w:hint="eastAsia" w:ascii="Times New Roman" w:hAnsi="Times New Roman" w:eastAsia="宋体"/>
                <w:color w:val="000000"/>
                <w:sz w:val="24"/>
                <w:lang w:eastAsia="zh-CN"/>
              </w:rPr>
              <w:t>：</w:t>
            </w:r>
          </w:p>
          <w:p>
            <w:pPr>
              <w:spacing w:line="360" w:lineRule="auto"/>
              <w:jc w:val="center"/>
              <w:rPr>
                <w:rFonts w:hint="eastAsia" w:ascii="Times New Roman" w:hAnsi="Times New Roman" w:eastAsia="宋体"/>
                <w:b/>
                <w:bCs/>
                <w:color w:val="000000"/>
                <w:sz w:val="24"/>
                <w:szCs w:val="24"/>
                <w:lang w:eastAsia="zh-CN"/>
              </w:rPr>
            </w:pPr>
            <w:r>
              <w:rPr>
                <w:rFonts w:ascii="Times New Roman" w:hAnsi="Times New Roman" w:eastAsia="宋体"/>
                <w:b/>
                <w:bCs/>
                <w:color w:val="000000"/>
                <w:sz w:val="24"/>
                <w:szCs w:val="24"/>
              </w:rPr>
              <w:t>表4-</w:t>
            </w:r>
            <w:r>
              <w:rPr>
                <w:rFonts w:hint="eastAsia" w:ascii="Times New Roman" w:hAnsi="Times New Roman" w:eastAsia="宋体"/>
                <w:b/>
                <w:bCs/>
                <w:color w:val="000000"/>
                <w:sz w:val="24"/>
                <w:szCs w:val="24"/>
              </w:rPr>
              <w:t>4</w:t>
            </w:r>
            <w:r>
              <w:rPr>
                <w:rFonts w:ascii="Times New Roman" w:hAnsi="Times New Roman" w:eastAsia="宋体"/>
                <w:b/>
                <w:bCs/>
                <w:color w:val="000000"/>
                <w:sz w:val="24"/>
                <w:szCs w:val="24"/>
              </w:rPr>
              <w:t xml:space="preserve"> 大气污染物</w:t>
            </w:r>
            <w:r>
              <w:rPr>
                <w:rFonts w:hint="eastAsia" w:ascii="Times New Roman" w:hAnsi="Times New Roman" w:eastAsia="宋体"/>
                <w:b/>
                <w:bCs/>
                <w:color w:val="000000"/>
                <w:sz w:val="24"/>
                <w:szCs w:val="24"/>
                <w:lang w:eastAsia="zh-CN"/>
              </w:rPr>
              <w:t>最高允许排放浓度和排放速率</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1327"/>
              <w:gridCol w:w="1731"/>
              <w:gridCol w:w="1280"/>
              <w:gridCol w:w="1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1" w:hRule="atLeast"/>
                <w:jc w:val="center"/>
              </w:trPr>
              <w:tc>
                <w:tcPr>
                  <w:tcW w:w="982" w:type="pct"/>
                  <w:noWrap w:val="0"/>
                  <w:vAlign w:val="center"/>
                </w:tcPr>
                <w:p>
                  <w:pPr>
                    <w:pStyle w:val="72"/>
                    <w:adjustRightInd w:val="0"/>
                    <w:snapToGrid w:val="0"/>
                    <w:spacing w:after="0" w:line="240" w:lineRule="atLeast"/>
                    <w:ind w:firstLine="0" w:firstLineChars="0"/>
                    <w:jc w:val="center"/>
                    <w:rPr>
                      <w:rFonts w:ascii="Times New Roman" w:hAnsi="Times New Roman" w:eastAsia="宋体"/>
                      <w:bCs/>
                      <w:color w:val="000000"/>
                      <w:sz w:val="21"/>
                      <w:szCs w:val="21"/>
                    </w:rPr>
                  </w:pPr>
                  <w:r>
                    <w:rPr>
                      <w:rFonts w:ascii="Times New Roman" w:hAnsi="Times New Roman" w:eastAsia="宋体"/>
                      <w:bCs/>
                      <w:color w:val="000000"/>
                      <w:sz w:val="21"/>
                      <w:szCs w:val="21"/>
                    </w:rPr>
                    <w:t>污染物</w:t>
                  </w:r>
                </w:p>
              </w:tc>
              <w:tc>
                <w:tcPr>
                  <w:tcW w:w="851" w:type="pct"/>
                  <w:noWrap w:val="0"/>
                  <w:vAlign w:val="center"/>
                </w:tcPr>
                <w:p>
                  <w:pPr>
                    <w:pStyle w:val="72"/>
                    <w:adjustRightInd w:val="0"/>
                    <w:snapToGrid w:val="0"/>
                    <w:spacing w:after="0" w:line="240" w:lineRule="atLeast"/>
                    <w:ind w:firstLine="0" w:firstLineChars="0"/>
                    <w:jc w:val="center"/>
                    <w:rPr>
                      <w:rFonts w:hint="eastAsia"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适用范围</w:t>
                  </w:r>
                </w:p>
              </w:tc>
              <w:tc>
                <w:tcPr>
                  <w:tcW w:w="1110" w:type="pct"/>
                  <w:noWrap w:val="0"/>
                  <w:vAlign w:val="center"/>
                </w:tcPr>
                <w:p>
                  <w:pPr>
                    <w:pStyle w:val="72"/>
                    <w:adjustRightInd w:val="0"/>
                    <w:snapToGrid w:val="0"/>
                    <w:spacing w:after="0" w:line="240" w:lineRule="atLeast"/>
                    <w:ind w:firstLine="0" w:firstLineChars="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lang w:val="en-US" w:eastAsia="zh-CN"/>
                    </w:rPr>
                    <w:t>最高允许</w:t>
                  </w:r>
                  <w:r>
                    <w:rPr>
                      <w:rFonts w:ascii="Times New Roman" w:hAnsi="Times New Roman" w:eastAsia="宋体"/>
                      <w:bCs/>
                      <w:color w:val="000000"/>
                      <w:sz w:val="21"/>
                      <w:szCs w:val="21"/>
                    </w:rPr>
                    <w:t>排放浓度 （mg/m³）</w:t>
                  </w:r>
                </w:p>
              </w:tc>
              <w:tc>
                <w:tcPr>
                  <w:tcW w:w="821" w:type="pct"/>
                  <w:noWrap w:val="0"/>
                  <w:vAlign w:val="center"/>
                </w:tcPr>
                <w:p>
                  <w:pPr>
                    <w:pStyle w:val="72"/>
                    <w:adjustRightInd w:val="0"/>
                    <w:snapToGrid w:val="0"/>
                    <w:spacing w:after="0" w:line="240" w:lineRule="atLeast"/>
                    <w:ind w:firstLine="0" w:firstLineChars="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lang w:val="en-US" w:eastAsia="zh-CN"/>
                    </w:rPr>
                    <w:t>最高允许</w:t>
                  </w:r>
                  <w:r>
                    <w:rPr>
                      <w:rFonts w:ascii="Times New Roman" w:hAnsi="Times New Roman" w:eastAsia="宋体"/>
                      <w:bCs/>
                      <w:color w:val="000000"/>
                      <w:sz w:val="21"/>
                      <w:szCs w:val="21"/>
                    </w:rPr>
                    <w:t>排放速率（kg/h）</w:t>
                  </w:r>
                </w:p>
              </w:tc>
              <w:tc>
                <w:tcPr>
                  <w:tcW w:w="1234" w:type="pct"/>
                  <w:noWrap w:val="0"/>
                  <w:vAlign w:val="center"/>
                </w:tcPr>
                <w:p>
                  <w:pPr>
                    <w:pStyle w:val="72"/>
                    <w:adjustRightInd w:val="0"/>
                    <w:snapToGrid w:val="0"/>
                    <w:spacing w:after="0" w:line="240" w:lineRule="atLeast"/>
                    <w:ind w:firstLine="0" w:firstLineChars="0"/>
                    <w:jc w:val="center"/>
                    <w:rPr>
                      <w:rFonts w:hint="eastAsia"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厂界大气污染物监控点浓度限值</w:t>
                  </w:r>
                  <w:r>
                    <w:rPr>
                      <w:rFonts w:ascii="Times New Roman" w:hAnsi="Times New Roman" w:eastAsia="宋体"/>
                      <w:bCs/>
                      <w:color w:val="000000"/>
                      <w:sz w:val="21"/>
                      <w:szCs w:val="21"/>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 w:hRule="atLeast"/>
                <w:jc w:val="center"/>
              </w:trPr>
              <w:tc>
                <w:tcPr>
                  <w:tcW w:w="982" w:type="pct"/>
                  <w:noWrap w:val="0"/>
                  <w:vAlign w:val="center"/>
                </w:tcPr>
                <w:p>
                  <w:pPr>
                    <w:pStyle w:val="72"/>
                    <w:adjustRightInd w:val="0"/>
                    <w:snapToGrid w:val="0"/>
                    <w:spacing w:after="0" w:line="240" w:lineRule="atLeast"/>
                    <w:ind w:firstLine="0" w:firstLineChars="0"/>
                    <w:jc w:val="center"/>
                    <w:rPr>
                      <w:rFonts w:ascii="Times New Roman" w:hAnsi="Times New Roman" w:eastAsia="宋体"/>
                      <w:bCs/>
                      <w:color w:val="000000"/>
                      <w:sz w:val="21"/>
                      <w:szCs w:val="21"/>
                    </w:rPr>
                  </w:pPr>
                  <w:r>
                    <w:rPr>
                      <w:rFonts w:ascii="Times New Roman" w:hAnsi="Times New Roman" w:eastAsia="宋体"/>
                      <w:bCs/>
                      <w:color w:val="000000"/>
                      <w:sz w:val="21"/>
                      <w:szCs w:val="21"/>
                    </w:rPr>
                    <w:t>颗粒物</w:t>
                  </w:r>
                </w:p>
              </w:tc>
              <w:tc>
                <w:tcPr>
                  <w:tcW w:w="851" w:type="pct"/>
                  <w:noWrap w:val="0"/>
                  <w:vAlign w:val="center"/>
                </w:tcPr>
                <w:p>
                  <w:pPr>
                    <w:pStyle w:val="72"/>
                    <w:adjustRightInd w:val="0"/>
                    <w:snapToGrid w:val="0"/>
                    <w:spacing w:after="0" w:line="240" w:lineRule="atLeast"/>
                    <w:ind w:firstLine="0" w:firstLineChars="0"/>
                    <w:jc w:val="center"/>
                    <w:rPr>
                      <w:rFonts w:hint="eastAsia"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其他颗粒物</w:t>
                  </w:r>
                </w:p>
              </w:tc>
              <w:tc>
                <w:tcPr>
                  <w:tcW w:w="1110"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30</w:t>
                  </w:r>
                </w:p>
              </w:tc>
              <w:tc>
                <w:tcPr>
                  <w:tcW w:w="821"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1.5</w:t>
                  </w:r>
                </w:p>
              </w:tc>
              <w:tc>
                <w:tcPr>
                  <w:tcW w:w="1234"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982" w:type="pct"/>
                  <w:noWrap w:val="0"/>
                  <w:vAlign w:val="center"/>
                </w:tcPr>
                <w:p>
                  <w:pPr>
                    <w:pStyle w:val="72"/>
                    <w:adjustRightInd w:val="0"/>
                    <w:snapToGrid w:val="0"/>
                    <w:spacing w:after="0" w:line="240" w:lineRule="atLeast"/>
                    <w:ind w:firstLine="0" w:firstLineChars="0"/>
                    <w:jc w:val="center"/>
                    <w:rPr>
                      <w:rFonts w:ascii="Times New Roman" w:hAnsi="Times New Roman" w:eastAsia="宋体"/>
                      <w:bCs/>
                      <w:color w:val="000000"/>
                      <w:sz w:val="21"/>
                      <w:szCs w:val="21"/>
                    </w:rPr>
                  </w:pPr>
                  <w:r>
                    <w:rPr>
                      <w:rFonts w:hint="eastAsia" w:ascii="Times New Roman" w:hAnsi="Times New Roman" w:eastAsia="宋体"/>
                      <w:color w:val="000000"/>
                      <w:sz w:val="21"/>
                      <w:szCs w:val="21"/>
                      <w:lang w:val="en-US" w:eastAsia="zh-CN"/>
                    </w:rPr>
                    <w:t>二氧化硫</w:t>
                  </w:r>
                </w:p>
              </w:tc>
              <w:tc>
                <w:tcPr>
                  <w:tcW w:w="851"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其他源</w:t>
                  </w:r>
                </w:p>
              </w:tc>
              <w:tc>
                <w:tcPr>
                  <w:tcW w:w="1110"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200</w:t>
                  </w:r>
                </w:p>
              </w:tc>
              <w:tc>
                <w:tcPr>
                  <w:tcW w:w="821"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1.6</w:t>
                  </w:r>
                </w:p>
              </w:tc>
              <w:tc>
                <w:tcPr>
                  <w:tcW w:w="1234"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982"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rPr>
                  </w:pPr>
                  <w:r>
                    <w:rPr>
                      <w:rFonts w:hint="eastAsia" w:ascii="Times New Roman" w:hAnsi="Times New Roman" w:eastAsia="宋体"/>
                      <w:color w:val="000000"/>
                      <w:sz w:val="21"/>
                      <w:szCs w:val="21"/>
                      <w:lang w:val="en-US" w:eastAsia="zh-CN"/>
                    </w:rPr>
                    <w:t>氮氧化物（以NO</w:t>
                  </w:r>
                  <w:r>
                    <w:rPr>
                      <w:rFonts w:hint="eastAsia" w:ascii="Times New Roman" w:hAnsi="Times New Roman" w:eastAsia="宋体"/>
                      <w:color w:val="000000"/>
                      <w:sz w:val="21"/>
                      <w:szCs w:val="21"/>
                      <w:vertAlign w:val="subscript"/>
                      <w:lang w:val="en-US" w:eastAsia="zh-CN"/>
                    </w:rPr>
                    <w:t>2</w:t>
                  </w:r>
                  <w:r>
                    <w:rPr>
                      <w:rFonts w:hint="eastAsia" w:ascii="Times New Roman" w:hAnsi="Times New Roman" w:eastAsia="宋体"/>
                      <w:color w:val="000000"/>
                      <w:sz w:val="21"/>
                      <w:szCs w:val="21"/>
                      <w:vertAlign w:val="baseline"/>
                      <w:lang w:val="en-US" w:eastAsia="zh-CN"/>
                    </w:rPr>
                    <w:t>计</w:t>
                  </w:r>
                  <w:r>
                    <w:rPr>
                      <w:rFonts w:hint="eastAsia" w:ascii="Times New Roman" w:hAnsi="Times New Roman" w:eastAsia="宋体"/>
                      <w:color w:val="000000"/>
                      <w:sz w:val="21"/>
                      <w:szCs w:val="21"/>
                      <w:lang w:val="en-US" w:eastAsia="zh-CN"/>
                    </w:rPr>
                    <w:t>）</w:t>
                  </w:r>
                </w:p>
              </w:tc>
              <w:tc>
                <w:tcPr>
                  <w:tcW w:w="851" w:type="pct"/>
                  <w:noWrap w:val="0"/>
                  <w:vAlign w:val="center"/>
                </w:tcPr>
                <w:p>
                  <w:pPr>
                    <w:pStyle w:val="72"/>
                    <w:adjustRightInd w:val="0"/>
                    <w:snapToGrid w:val="0"/>
                    <w:spacing w:after="0" w:line="240" w:lineRule="atLeast"/>
                    <w:ind w:firstLine="0" w:firstLineChars="0"/>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其他源</w:t>
                  </w:r>
                </w:p>
              </w:tc>
              <w:tc>
                <w:tcPr>
                  <w:tcW w:w="1110"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200</w:t>
                  </w:r>
                </w:p>
              </w:tc>
              <w:tc>
                <w:tcPr>
                  <w:tcW w:w="821"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0.47</w:t>
                  </w:r>
                </w:p>
              </w:tc>
              <w:tc>
                <w:tcPr>
                  <w:tcW w:w="1234" w:type="pct"/>
                  <w:noWrap w:val="0"/>
                  <w:vAlign w:val="center"/>
                </w:tcPr>
                <w:p>
                  <w:pPr>
                    <w:pStyle w:val="72"/>
                    <w:adjustRightInd w:val="0"/>
                    <w:snapToGrid w:val="0"/>
                    <w:spacing w:after="0" w:line="240" w:lineRule="atLeast"/>
                    <w:ind w:firstLine="0" w:firstLineChars="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bCs/>
                      <w:color w:val="000000"/>
                      <w:sz w:val="21"/>
                      <w:szCs w:val="21"/>
                      <w:lang w:val="en-US" w:eastAsia="zh-CN"/>
                    </w:rPr>
                    <w:t>0.2</w:t>
                  </w:r>
                </w:p>
              </w:tc>
            </w:tr>
          </w:tbl>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2、废水</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项目产生的生活污水</w:t>
            </w:r>
            <w:r>
              <w:rPr>
                <w:rFonts w:hint="eastAsia" w:ascii="Times New Roman" w:hAnsi="Times New Roman" w:eastAsia="宋体"/>
                <w:sz w:val="24"/>
                <w:szCs w:val="24"/>
                <w:lang w:val="en-US" w:eastAsia="zh-CN"/>
              </w:rPr>
              <w:t>近期</w:t>
            </w:r>
            <w:r>
              <w:rPr>
                <w:rFonts w:ascii="Times New Roman" w:hAnsi="Times New Roman" w:eastAsia="宋体"/>
                <w:sz w:val="24"/>
                <w:szCs w:val="24"/>
              </w:rPr>
              <w:t>经</w:t>
            </w:r>
            <w:r>
              <w:rPr>
                <w:rFonts w:hint="eastAsia" w:ascii="Times New Roman" w:hAnsi="Times New Roman" w:eastAsia="宋体"/>
                <w:sz w:val="24"/>
                <w:szCs w:val="24"/>
                <w:lang w:eastAsia="zh-CN"/>
              </w:rPr>
              <w:t>地埋式处理设施</w:t>
            </w:r>
            <w:r>
              <w:rPr>
                <w:rFonts w:ascii="Times New Roman" w:hAnsi="Times New Roman" w:eastAsia="宋体"/>
                <w:sz w:val="24"/>
                <w:szCs w:val="24"/>
              </w:rPr>
              <w:t>预处理满足《污水综合排放标准》（GB8978-1996）中的</w:t>
            </w:r>
            <w:r>
              <w:rPr>
                <w:rFonts w:hint="eastAsia" w:ascii="Times New Roman" w:hAnsi="Times New Roman" w:eastAsia="宋体"/>
                <w:sz w:val="24"/>
                <w:szCs w:val="24"/>
                <w:lang w:eastAsia="zh-CN"/>
              </w:rPr>
              <w:t>一</w:t>
            </w:r>
            <w:r>
              <w:rPr>
                <w:rFonts w:ascii="Times New Roman" w:hAnsi="Times New Roman" w:eastAsia="宋体"/>
                <w:sz w:val="24"/>
                <w:szCs w:val="24"/>
              </w:rPr>
              <w:t>级标准，排放至</w:t>
            </w:r>
            <w:r>
              <w:rPr>
                <w:rFonts w:hint="eastAsia" w:ascii="Times New Roman" w:hAnsi="Times New Roman" w:eastAsia="宋体"/>
                <w:sz w:val="24"/>
                <w:szCs w:val="24"/>
                <w:lang w:eastAsia="zh-CN"/>
              </w:rPr>
              <w:t>白马山水泥厂污水管网</w:t>
            </w:r>
            <w:r>
              <w:rPr>
                <w:rFonts w:hint="eastAsia" w:ascii="Times New Roman" w:hAnsi="Times New Roman" w:eastAsia="宋体"/>
                <w:sz w:val="24"/>
                <w:szCs w:val="24"/>
                <w:lang w:val="en-US" w:eastAsia="zh-CN"/>
              </w:rPr>
              <w:t>后外排，远期经市政管网进入城南污水处理厂处理后外排</w:t>
            </w:r>
            <w:r>
              <w:rPr>
                <w:rFonts w:ascii="Times New Roman" w:hAnsi="Times New Roman" w:eastAsia="宋体"/>
                <w:sz w:val="24"/>
              </w:rPr>
              <w:t>。</w:t>
            </w:r>
          </w:p>
          <w:p>
            <w:pPr>
              <w:widowControl/>
              <w:spacing w:line="360" w:lineRule="auto"/>
              <w:jc w:val="center"/>
              <w:rPr>
                <w:rFonts w:ascii="Times New Roman" w:hAnsi="Times New Roman" w:eastAsia="宋体"/>
                <w:b/>
                <w:kern w:val="0"/>
                <w:sz w:val="24"/>
              </w:rPr>
            </w:pPr>
            <w:r>
              <w:rPr>
                <w:rFonts w:ascii="Times New Roman" w:hAnsi="Times New Roman" w:eastAsia="宋体"/>
                <w:b/>
                <w:bCs/>
                <w:sz w:val="24"/>
                <w:szCs w:val="24"/>
              </w:rPr>
              <w:t>表4-</w:t>
            </w:r>
            <w:r>
              <w:rPr>
                <w:rFonts w:hint="eastAsia" w:ascii="Times New Roman" w:hAnsi="Times New Roman" w:eastAsia="宋体"/>
                <w:b/>
                <w:bCs/>
                <w:sz w:val="24"/>
                <w:szCs w:val="24"/>
                <w:lang w:val="en-US" w:eastAsia="zh-CN"/>
              </w:rPr>
              <w:t>5</w:t>
            </w:r>
            <w:r>
              <w:rPr>
                <w:rFonts w:ascii="Times New Roman" w:hAnsi="Times New Roman" w:eastAsia="宋体"/>
                <w:b/>
                <w:bCs/>
                <w:sz w:val="24"/>
                <w:szCs w:val="24"/>
              </w:rPr>
              <w:t xml:space="preserve">  污水排放标准</w:t>
            </w:r>
          </w:p>
          <w:tbl>
            <w:tblPr>
              <w:tblStyle w:val="28"/>
              <w:tblW w:w="4998" w:type="pct"/>
              <w:jc w:val="center"/>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2105"/>
              <w:gridCol w:w="4498"/>
            </w:tblGrid>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0" w:type="pct"/>
                  <w:tcBorders>
                    <w:top w:val="single" w:color="auto" w:sz="4" w:space="0"/>
                    <w:left w:val="single" w:color="auto" w:sz="0" w:space="0"/>
                  </w:tcBorders>
                  <w:noWrap w:val="0"/>
                  <w:vAlign w:val="center"/>
                </w:tcPr>
                <w:p>
                  <w:pPr>
                    <w:jc w:val="center"/>
                    <w:rPr>
                      <w:rFonts w:ascii="Times New Roman" w:hAnsi="Times New Roman" w:eastAsia="宋体"/>
                      <w:szCs w:val="21"/>
                    </w:rPr>
                  </w:pPr>
                  <w:r>
                    <w:rPr>
                      <w:rFonts w:ascii="Times New Roman" w:hAnsi="Times New Roman" w:eastAsia="宋体"/>
                      <w:szCs w:val="21"/>
                    </w:rPr>
                    <w:t>序号</w:t>
                  </w:r>
                </w:p>
              </w:tc>
              <w:tc>
                <w:tcPr>
                  <w:tcW w:w="1348" w:type="pct"/>
                  <w:tcBorders>
                    <w:top w:val="single" w:color="auto" w:sz="4" w:space="0"/>
                  </w:tcBorders>
                  <w:noWrap w:val="0"/>
                  <w:vAlign w:val="center"/>
                </w:tcPr>
                <w:p>
                  <w:pPr>
                    <w:jc w:val="center"/>
                    <w:rPr>
                      <w:rFonts w:ascii="Times New Roman" w:hAnsi="Times New Roman" w:eastAsia="宋体"/>
                      <w:szCs w:val="21"/>
                    </w:rPr>
                  </w:pPr>
                  <w:r>
                    <w:rPr>
                      <w:rFonts w:ascii="Times New Roman" w:hAnsi="Times New Roman" w:eastAsia="宋体"/>
                      <w:szCs w:val="21"/>
                    </w:rPr>
                    <w:t>污染物名称</w:t>
                  </w:r>
                </w:p>
              </w:tc>
              <w:tc>
                <w:tcPr>
                  <w:tcW w:w="2880" w:type="pct"/>
                  <w:tcBorders>
                    <w:top w:val="single" w:color="auto" w:sz="4" w:space="0"/>
                    <w:right w:val="single" w:color="auto" w:sz="4" w:space="0"/>
                  </w:tcBorders>
                  <w:noWrap w:val="0"/>
                  <w:vAlign w:val="center"/>
                </w:tcPr>
                <w:p>
                  <w:pPr>
                    <w:widowControl/>
                    <w:jc w:val="center"/>
                    <w:rPr>
                      <w:rFonts w:hint="eastAsia" w:ascii="Times New Roman" w:hAnsi="Times New Roman" w:eastAsia="宋体"/>
                      <w:szCs w:val="21"/>
                      <w:lang w:eastAsia="zh-CN"/>
                    </w:rPr>
                  </w:pPr>
                  <w:r>
                    <w:rPr>
                      <w:rFonts w:hint="eastAsia" w:ascii="Times New Roman" w:hAnsi="Times New Roman" w:eastAsia="宋体"/>
                      <w:szCs w:val="21"/>
                      <w:lang w:eastAsia="zh-CN"/>
                    </w:rPr>
                    <w:t>《污水综合排放标准》（GB8978-1996）中的一级标准</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0" w:type="pct"/>
                  <w:tcBorders>
                    <w:left w:val="single" w:color="auto" w:sz="4" w:space="0"/>
                  </w:tcBorders>
                  <w:noWrap w:val="0"/>
                  <w:vAlign w:val="center"/>
                </w:tcPr>
                <w:p>
                  <w:pPr>
                    <w:jc w:val="center"/>
                    <w:rPr>
                      <w:rFonts w:hint="eastAsia" w:ascii="Times New Roman" w:hAnsi="Times New Roman" w:eastAsia="宋体"/>
                      <w:szCs w:val="21"/>
                      <w:lang w:val="en-US" w:eastAsia="zh-CN"/>
                    </w:rPr>
                  </w:pPr>
                  <w:r>
                    <w:rPr>
                      <w:rFonts w:hint="eastAsia" w:ascii="Times New Roman" w:hAnsi="Times New Roman" w:eastAsia="宋体"/>
                      <w:szCs w:val="21"/>
                      <w:lang w:val="en-US" w:eastAsia="zh-CN"/>
                    </w:rPr>
                    <w:t>1</w:t>
                  </w:r>
                </w:p>
              </w:tc>
              <w:tc>
                <w:tcPr>
                  <w:tcW w:w="1348" w:type="pct"/>
                  <w:noWrap w:val="0"/>
                  <w:vAlign w:val="center"/>
                </w:tcPr>
                <w:p>
                  <w:pPr>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pH</w:t>
                  </w:r>
                </w:p>
              </w:tc>
              <w:tc>
                <w:tcPr>
                  <w:tcW w:w="2880" w:type="pct"/>
                  <w:tcBorders>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6-9</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0" w:type="dxa"/>
                  <w:tcBorders>
                    <w:left w:val="single" w:color="auto" w:sz="4" w:space="0"/>
                  </w:tcBorders>
                  <w:noWrap w:val="0"/>
                  <w:vAlign w:val="center"/>
                </w:tcPr>
                <w:p>
                  <w:pPr>
                    <w:jc w:val="center"/>
                    <w:rPr>
                      <w:rFonts w:ascii="Times New Roman" w:hAnsi="Times New Roman" w:eastAsia="宋体"/>
                      <w:szCs w:val="21"/>
                    </w:rPr>
                  </w:pPr>
                  <w:r>
                    <w:rPr>
                      <w:rFonts w:ascii="Times New Roman" w:hAnsi="Times New Roman" w:eastAsia="宋体"/>
                      <w:szCs w:val="21"/>
                    </w:rPr>
                    <w:t>2</w:t>
                  </w:r>
                </w:p>
              </w:tc>
              <w:tc>
                <w:tcPr>
                  <w:tcW w:w="1348" w:type="pct"/>
                  <w:noWrap w:val="0"/>
                  <w:vAlign w:val="center"/>
                </w:tcPr>
                <w:p>
                  <w:pPr>
                    <w:jc w:val="center"/>
                    <w:rPr>
                      <w:rFonts w:ascii="Times New Roman" w:hAnsi="Times New Roman" w:eastAsia="宋体"/>
                      <w:szCs w:val="21"/>
                    </w:rPr>
                  </w:pPr>
                  <w:r>
                    <w:rPr>
                      <w:rFonts w:ascii="Times New Roman" w:hAnsi="Times New Roman" w:eastAsia="宋体"/>
                      <w:szCs w:val="21"/>
                    </w:rPr>
                    <w:t>COD</w:t>
                  </w:r>
                </w:p>
              </w:tc>
              <w:tc>
                <w:tcPr>
                  <w:tcW w:w="2880" w:type="pct"/>
                  <w:tcBorders>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100</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PrEx>
              <w:trPr>
                <w:trHeight w:val="369" w:hRule="atLeast"/>
                <w:jc w:val="center"/>
              </w:trPr>
              <w:tc>
                <w:tcPr>
                  <w:tcW w:w="1210" w:type="dxa"/>
                  <w:tcBorders>
                    <w:left w:val="single" w:color="auto" w:sz="4" w:space="0"/>
                  </w:tcBorders>
                  <w:noWrap w:val="0"/>
                  <w:vAlign w:val="center"/>
                </w:tcPr>
                <w:p>
                  <w:pPr>
                    <w:jc w:val="center"/>
                    <w:rPr>
                      <w:rFonts w:ascii="Times New Roman" w:hAnsi="Times New Roman" w:eastAsia="宋体"/>
                      <w:szCs w:val="21"/>
                    </w:rPr>
                  </w:pPr>
                  <w:r>
                    <w:rPr>
                      <w:rFonts w:ascii="Times New Roman" w:hAnsi="Times New Roman" w:eastAsia="宋体"/>
                      <w:szCs w:val="21"/>
                    </w:rPr>
                    <w:t>3</w:t>
                  </w:r>
                </w:p>
              </w:tc>
              <w:tc>
                <w:tcPr>
                  <w:tcW w:w="1348" w:type="pct"/>
                  <w:noWrap w:val="0"/>
                  <w:vAlign w:val="center"/>
                </w:tcPr>
                <w:p>
                  <w:pPr>
                    <w:jc w:val="center"/>
                    <w:rPr>
                      <w:rFonts w:ascii="Times New Roman" w:hAnsi="Times New Roman" w:eastAsia="宋体"/>
                      <w:szCs w:val="21"/>
                    </w:rPr>
                  </w:pPr>
                  <w:r>
                    <w:rPr>
                      <w:rFonts w:ascii="Times New Roman" w:hAnsi="Times New Roman" w:eastAsia="宋体"/>
                      <w:szCs w:val="21"/>
                    </w:rPr>
                    <w:t>BOD</w:t>
                  </w:r>
                  <w:r>
                    <w:rPr>
                      <w:rFonts w:ascii="Times New Roman" w:hAnsi="Times New Roman" w:eastAsia="宋体"/>
                      <w:szCs w:val="21"/>
                      <w:vertAlign w:val="subscript"/>
                    </w:rPr>
                    <w:t>5</w:t>
                  </w:r>
                </w:p>
              </w:tc>
              <w:tc>
                <w:tcPr>
                  <w:tcW w:w="2880" w:type="pct"/>
                  <w:tcBorders>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20</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0" w:type="dxa"/>
                  <w:tcBorders>
                    <w:left w:val="single" w:color="auto" w:sz="4" w:space="0"/>
                  </w:tcBorders>
                  <w:noWrap w:val="0"/>
                  <w:vAlign w:val="center"/>
                </w:tcPr>
                <w:p>
                  <w:pPr>
                    <w:jc w:val="center"/>
                    <w:rPr>
                      <w:rFonts w:ascii="Times New Roman" w:hAnsi="Times New Roman" w:eastAsia="宋体"/>
                      <w:szCs w:val="21"/>
                    </w:rPr>
                  </w:pPr>
                  <w:r>
                    <w:rPr>
                      <w:rFonts w:ascii="Times New Roman" w:hAnsi="Times New Roman" w:eastAsia="宋体"/>
                      <w:szCs w:val="21"/>
                    </w:rPr>
                    <w:t>4</w:t>
                  </w:r>
                </w:p>
              </w:tc>
              <w:tc>
                <w:tcPr>
                  <w:tcW w:w="1348" w:type="pct"/>
                  <w:noWrap w:val="0"/>
                  <w:vAlign w:val="center"/>
                </w:tcPr>
                <w:p>
                  <w:pPr>
                    <w:jc w:val="center"/>
                    <w:rPr>
                      <w:rFonts w:ascii="Times New Roman" w:hAnsi="Times New Roman" w:eastAsia="宋体"/>
                      <w:szCs w:val="21"/>
                    </w:rPr>
                  </w:pPr>
                  <w:r>
                    <w:rPr>
                      <w:rFonts w:ascii="Times New Roman" w:hAnsi="Times New Roman" w:eastAsia="宋体"/>
                      <w:szCs w:val="21"/>
                    </w:rPr>
                    <w:t>NH</w:t>
                  </w:r>
                  <w:r>
                    <w:rPr>
                      <w:rFonts w:ascii="Times New Roman" w:hAnsi="Times New Roman" w:eastAsia="宋体"/>
                      <w:szCs w:val="21"/>
                      <w:vertAlign w:val="subscript"/>
                    </w:rPr>
                    <w:t>3</w:t>
                  </w:r>
                  <w:r>
                    <w:rPr>
                      <w:rFonts w:ascii="Times New Roman" w:hAnsi="Times New Roman" w:eastAsia="宋体"/>
                      <w:szCs w:val="21"/>
                    </w:rPr>
                    <w:t>-N</w:t>
                  </w:r>
                </w:p>
              </w:tc>
              <w:tc>
                <w:tcPr>
                  <w:tcW w:w="2880" w:type="pct"/>
                  <w:tcBorders>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70</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0" w:type="pct"/>
                  <w:tcBorders>
                    <w:left w:val="single" w:color="auto" w:sz="4" w:space="0"/>
                  </w:tcBorders>
                  <w:noWrap w:val="0"/>
                  <w:vAlign w:val="center"/>
                </w:tcPr>
                <w:p>
                  <w:pPr>
                    <w:jc w:val="center"/>
                    <w:rPr>
                      <w:rFonts w:hint="eastAsia" w:ascii="Times New Roman" w:hAnsi="Times New Roman" w:eastAsia="宋体"/>
                      <w:szCs w:val="21"/>
                      <w:lang w:val="en-US" w:eastAsia="zh-CN"/>
                    </w:rPr>
                  </w:pPr>
                  <w:r>
                    <w:rPr>
                      <w:rFonts w:hint="eastAsia" w:ascii="Times New Roman" w:hAnsi="Times New Roman" w:eastAsia="宋体"/>
                      <w:szCs w:val="21"/>
                      <w:lang w:val="en-US" w:eastAsia="zh-CN"/>
                    </w:rPr>
                    <w:t>5</w:t>
                  </w:r>
                </w:p>
              </w:tc>
              <w:tc>
                <w:tcPr>
                  <w:tcW w:w="1348" w:type="pct"/>
                  <w:noWrap w:val="0"/>
                  <w:vAlign w:val="center"/>
                </w:tcPr>
                <w:p>
                  <w:pPr>
                    <w:jc w:val="center"/>
                    <w:rPr>
                      <w:rFonts w:ascii="Times New Roman" w:hAnsi="Times New Roman" w:eastAsia="宋体"/>
                      <w:szCs w:val="21"/>
                    </w:rPr>
                  </w:pPr>
                  <w:r>
                    <w:rPr>
                      <w:rFonts w:ascii="Times New Roman" w:hAnsi="Times New Roman" w:eastAsia="宋体"/>
                      <w:szCs w:val="21"/>
                    </w:rPr>
                    <w:t>SS</w:t>
                  </w:r>
                </w:p>
              </w:tc>
              <w:tc>
                <w:tcPr>
                  <w:tcW w:w="2880" w:type="pct"/>
                  <w:tcBorders>
                    <w:right w:val="single" w:color="auto" w:sz="4" w:space="0"/>
                  </w:tcBorders>
                  <w:noWrap w:val="0"/>
                  <w:vAlign w:val="center"/>
                </w:tcPr>
                <w:p>
                  <w:pPr>
                    <w:jc w:val="center"/>
                    <w:rPr>
                      <w:rFonts w:hint="default" w:ascii="Times New Roman" w:hAnsi="Times New Roman" w:eastAsia="宋体"/>
                      <w:szCs w:val="21"/>
                      <w:lang w:val="en-US"/>
                    </w:rPr>
                  </w:pPr>
                  <w:r>
                    <w:rPr>
                      <w:rFonts w:hint="eastAsia" w:ascii="Times New Roman" w:hAnsi="Times New Roman" w:eastAsia="宋体"/>
                      <w:szCs w:val="21"/>
                      <w:lang w:val="en-US" w:eastAsia="zh-CN"/>
                    </w:rPr>
                    <w:t>15</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0" w:type="pct"/>
                  <w:tcBorders>
                    <w:left w:val="single" w:color="auto" w:sz="4" w:space="0"/>
                    <w:bottom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6</w:t>
                  </w:r>
                </w:p>
              </w:tc>
              <w:tc>
                <w:tcPr>
                  <w:tcW w:w="1348" w:type="pct"/>
                  <w:tcBorders>
                    <w:bottom w:val="single" w:color="auto" w:sz="4" w:space="0"/>
                  </w:tcBorders>
                  <w:noWrap w:val="0"/>
                  <w:vAlign w:val="center"/>
                </w:tcPr>
                <w:p>
                  <w:pPr>
                    <w:jc w:val="center"/>
                    <w:rPr>
                      <w:rFonts w:hint="eastAsia" w:ascii="Times New Roman" w:hAnsi="Times New Roman" w:eastAsia="宋体"/>
                      <w:szCs w:val="21"/>
                      <w:lang w:eastAsia="zh-CN"/>
                    </w:rPr>
                  </w:pPr>
                  <w:r>
                    <w:rPr>
                      <w:rFonts w:hint="eastAsia" w:ascii="Times New Roman" w:hAnsi="Times New Roman" w:eastAsia="宋体"/>
                      <w:szCs w:val="21"/>
                      <w:lang w:eastAsia="zh-CN"/>
                    </w:rPr>
                    <w:t>动植物油</w:t>
                  </w:r>
                </w:p>
              </w:tc>
              <w:tc>
                <w:tcPr>
                  <w:tcW w:w="2880" w:type="pct"/>
                  <w:tcBorders>
                    <w:bottom w:val="single" w:color="auto" w:sz="4" w:space="0"/>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eastAsia="宋体"/>
                      <w:szCs w:val="21"/>
                      <w:lang w:val="en-US" w:eastAsia="zh-CN"/>
                    </w:rPr>
                    <w:t>10</w:t>
                  </w:r>
                </w:p>
              </w:tc>
            </w:tr>
          </w:tbl>
          <w:p>
            <w:pPr>
              <w:spacing w:line="360" w:lineRule="auto"/>
              <w:ind w:firstLine="480" w:firstLineChars="200"/>
              <w:rPr>
                <w:rFonts w:ascii="Times New Roman" w:hAnsi="Times New Roman" w:eastAsia="宋体"/>
                <w:sz w:val="24"/>
                <w:szCs w:val="24"/>
              </w:rPr>
            </w:pPr>
            <w:bookmarkStart w:id="9" w:name="_Hlk507534864"/>
            <w:r>
              <w:rPr>
                <w:rFonts w:ascii="Times New Roman" w:hAnsi="Times New Roman" w:eastAsia="宋体"/>
                <w:sz w:val="24"/>
                <w:szCs w:val="24"/>
              </w:rPr>
              <w:t>3、噪声</w:t>
            </w:r>
          </w:p>
          <w:p>
            <w:pPr>
              <w:spacing w:line="360" w:lineRule="auto"/>
              <w:ind w:firstLine="480" w:firstLineChars="200"/>
              <w:rPr>
                <w:rFonts w:ascii="Times New Roman" w:hAnsi="Times New Roman" w:eastAsia="宋体"/>
                <w:bCs/>
                <w:sz w:val="24"/>
              </w:rPr>
            </w:pPr>
            <w:r>
              <w:rPr>
                <w:rFonts w:ascii="Times New Roman" w:hAnsi="Times New Roman" w:eastAsia="宋体"/>
                <w:bCs/>
                <w:sz w:val="24"/>
              </w:rPr>
              <w:t>运营期噪声执行</w:t>
            </w:r>
            <w:r>
              <w:rPr>
                <w:rFonts w:ascii="Times New Roman" w:hAnsi="Times New Roman" w:eastAsia="宋体"/>
                <w:sz w:val="24"/>
                <w:szCs w:val="24"/>
              </w:rPr>
              <w:t>《工业企业厂界环境噪声排放标准》（GB12348-2008）</w:t>
            </w:r>
            <w:r>
              <w:rPr>
                <w:rFonts w:ascii="Times New Roman" w:hAnsi="Times New Roman" w:eastAsia="宋体"/>
                <w:bCs/>
                <w:sz w:val="24"/>
              </w:rPr>
              <w:t>中的3类标准。</w:t>
            </w:r>
          </w:p>
          <w:p>
            <w:pPr>
              <w:keepNext/>
              <w:keepLines/>
              <w:spacing w:line="360" w:lineRule="auto"/>
              <w:jc w:val="center"/>
              <w:rPr>
                <w:rFonts w:ascii="Times New Roman" w:hAnsi="Times New Roman" w:eastAsia="宋体"/>
                <w:b/>
                <w:bCs/>
                <w:sz w:val="24"/>
              </w:rPr>
            </w:pPr>
            <w:r>
              <w:rPr>
                <w:rFonts w:ascii="Times New Roman" w:hAnsi="Times New Roman" w:eastAsia="宋体"/>
                <w:b/>
                <w:bCs/>
                <w:sz w:val="24"/>
              </w:rPr>
              <w:t>表4-</w:t>
            </w:r>
            <w:r>
              <w:rPr>
                <w:rFonts w:hint="eastAsia" w:ascii="Times New Roman" w:hAnsi="Times New Roman" w:eastAsia="宋体"/>
                <w:b/>
                <w:bCs/>
                <w:sz w:val="24"/>
                <w:lang w:val="en-US" w:eastAsia="zh-CN"/>
              </w:rPr>
              <w:t>6</w:t>
            </w:r>
            <w:r>
              <w:rPr>
                <w:rFonts w:ascii="Times New Roman" w:hAnsi="Times New Roman" w:eastAsia="宋体"/>
                <w:b/>
                <w:bCs/>
                <w:sz w:val="24"/>
              </w:rPr>
              <w:t xml:space="preserve">   噪声排放标准        单位dB（A）</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8"/>
              <w:gridCol w:w="2355"/>
              <w:gridCol w:w="1756"/>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9" w:type="dxa"/>
                  <w:noWrap w:val="0"/>
                  <w:vAlign w:val="center"/>
                </w:tcPr>
                <w:p>
                  <w:pPr>
                    <w:spacing w:line="240" w:lineRule="atLeast"/>
                    <w:jc w:val="center"/>
                    <w:rPr>
                      <w:rFonts w:ascii="Times New Roman" w:hAnsi="Times New Roman" w:eastAsia="宋体"/>
                      <w:szCs w:val="21"/>
                    </w:rPr>
                  </w:pPr>
                  <w:r>
                    <w:rPr>
                      <w:rFonts w:ascii="Times New Roman" w:hAnsi="Times New Roman" w:eastAsia="宋体"/>
                      <w:szCs w:val="21"/>
                    </w:rPr>
                    <w:t>适合内容</w:t>
                  </w:r>
                </w:p>
              </w:tc>
              <w:tc>
                <w:tcPr>
                  <w:tcW w:w="2368" w:type="dxa"/>
                  <w:noWrap w:val="0"/>
                  <w:vAlign w:val="center"/>
                </w:tcPr>
                <w:p>
                  <w:pPr>
                    <w:spacing w:line="240" w:lineRule="atLeast"/>
                    <w:jc w:val="center"/>
                    <w:rPr>
                      <w:rFonts w:ascii="Times New Roman" w:hAnsi="Times New Roman" w:eastAsia="宋体"/>
                      <w:szCs w:val="21"/>
                    </w:rPr>
                  </w:pPr>
                  <w:r>
                    <w:rPr>
                      <w:rFonts w:ascii="Times New Roman" w:hAnsi="Times New Roman" w:eastAsia="宋体"/>
                      <w:szCs w:val="21"/>
                    </w:rPr>
                    <w:t>标准</w:t>
                  </w:r>
                </w:p>
              </w:tc>
              <w:tc>
                <w:tcPr>
                  <w:tcW w:w="1778" w:type="dxa"/>
                  <w:noWrap w:val="0"/>
                  <w:vAlign w:val="center"/>
                </w:tcPr>
                <w:p>
                  <w:pPr>
                    <w:spacing w:line="240" w:lineRule="atLeast"/>
                    <w:jc w:val="center"/>
                    <w:rPr>
                      <w:rFonts w:ascii="Times New Roman" w:hAnsi="Times New Roman" w:eastAsia="宋体"/>
                      <w:szCs w:val="21"/>
                    </w:rPr>
                  </w:pPr>
                  <w:r>
                    <w:rPr>
                      <w:rFonts w:ascii="Times New Roman" w:hAnsi="Times New Roman" w:eastAsia="宋体"/>
                      <w:szCs w:val="21"/>
                    </w:rPr>
                    <w:t>昼间</w:t>
                  </w:r>
                </w:p>
              </w:tc>
              <w:tc>
                <w:tcPr>
                  <w:tcW w:w="1974" w:type="dxa"/>
                  <w:noWrap w:val="0"/>
                  <w:vAlign w:val="center"/>
                </w:tcPr>
                <w:p>
                  <w:pPr>
                    <w:spacing w:line="240" w:lineRule="atLeast"/>
                    <w:jc w:val="center"/>
                    <w:rPr>
                      <w:rFonts w:ascii="Times New Roman" w:hAnsi="Times New Roman" w:eastAsia="宋体"/>
                      <w:szCs w:val="21"/>
                    </w:rPr>
                  </w:pPr>
                  <w:r>
                    <w:rPr>
                      <w:rFonts w:ascii="Times New Roman" w:hAnsi="Times New Roman" w:eastAsia="宋体"/>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9" w:type="dxa"/>
                  <w:noWrap w:val="0"/>
                  <w:vAlign w:val="center"/>
                </w:tcPr>
                <w:p>
                  <w:pPr>
                    <w:spacing w:line="240" w:lineRule="atLeast"/>
                    <w:jc w:val="center"/>
                    <w:rPr>
                      <w:rFonts w:ascii="Times New Roman" w:hAnsi="Times New Roman" w:eastAsia="宋体"/>
                      <w:szCs w:val="21"/>
                    </w:rPr>
                  </w:pPr>
                  <w:r>
                    <w:rPr>
                      <w:rFonts w:ascii="Times New Roman" w:hAnsi="Times New Roman" w:eastAsia="宋体"/>
                      <w:szCs w:val="21"/>
                    </w:rPr>
                    <w:t>运营期</w:t>
                  </w:r>
                </w:p>
              </w:tc>
              <w:tc>
                <w:tcPr>
                  <w:tcW w:w="2368" w:type="dxa"/>
                  <w:noWrap w:val="0"/>
                  <w:vAlign w:val="center"/>
                </w:tcPr>
                <w:p>
                  <w:pPr>
                    <w:spacing w:line="240" w:lineRule="atLeast"/>
                    <w:jc w:val="center"/>
                    <w:rPr>
                      <w:rFonts w:ascii="Times New Roman" w:hAnsi="Times New Roman" w:eastAsia="宋体"/>
                      <w:szCs w:val="21"/>
                    </w:rPr>
                  </w:pPr>
                  <w:r>
                    <w:rPr>
                      <w:rFonts w:ascii="Times New Roman" w:hAnsi="Times New Roman" w:eastAsia="宋体"/>
                      <w:szCs w:val="21"/>
                    </w:rPr>
                    <w:t>GB12348-2008</w:t>
                  </w:r>
                </w:p>
              </w:tc>
              <w:tc>
                <w:tcPr>
                  <w:tcW w:w="1778" w:type="dxa"/>
                  <w:noWrap w:val="0"/>
                  <w:vAlign w:val="center"/>
                </w:tcPr>
                <w:p>
                  <w:pPr>
                    <w:spacing w:line="240" w:lineRule="atLeast"/>
                    <w:jc w:val="center"/>
                    <w:rPr>
                      <w:rFonts w:ascii="Times New Roman" w:hAnsi="Times New Roman" w:eastAsia="宋体"/>
                      <w:szCs w:val="21"/>
                    </w:rPr>
                  </w:pPr>
                  <w:r>
                    <w:rPr>
                      <w:rFonts w:ascii="Times New Roman" w:hAnsi="Times New Roman" w:eastAsia="宋体"/>
                      <w:szCs w:val="21"/>
                    </w:rPr>
                    <w:t>65</w:t>
                  </w:r>
                </w:p>
              </w:tc>
              <w:tc>
                <w:tcPr>
                  <w:tcW w:w="1974" w:type="dxa"/>
                  <w:noWrap w:val="0"/>
                  <w:vAlign w:val="center"/>
                </w:tcPr>
                <w:p>
                  <w:pPr>
                    <w:spacing w:line="240" w:lineRule="atLeast"/>
                    <w:jc w:val="center"/>
                    <w:rPr>
                      <w:rFonts w:ascii="Times New Roman" w:hAnsi="Times New Roman" w:eastAsia="宋体"/>
                      <w:szCs w:val="21"/>
                    </w:rPr>
                  </w:pPr>
                  <w:r>
                    <w:rPr>
                      <w:rFonts w:ascii="Times New Roman" w:hAnsi="Times New Roman" w:eastAsia="宋体"/>
                      <w:szCs w:val="21"/>
                    </w:rPr>
                    <w:t>55</w:t>
                  </w:r>
                </w:p>
              </w:tc>
            </w:tr>
            <w:bookmarkEnd w:id="9"/>
          </w:tbl>
          <w:p>
            <w:pPr>
              <w:spacing w:line="360" w:lineRule="auto"/>
              <w:ind w:firstLine="480" w:firstLineChars="200"/>
              <w:rPr>
                <w:rFonts w:ascii="Times New Roman" w:hAnsi="Times New Roman" w:eastAsia="宋体"/>
                <w:sz w:val="24"/>
                <w:szCs w:val="24"/>
              </w:rPr>
            </w:pPr>
          </w:p>
          <w:p>
            <w:pPr>
              <w:pStyle w:val="2"/>
              <w:rPr>
                <w:rFonts w:ascii="Times New Roman" w:hAnsi="Times New Roman" w:eastAsia="宋体"/>
                <w:sz w:val="24"/>
                <w:szCs w:val="24"/>
              </w:rPr>
            </w:pPr>
          </w:p>
          <w:p>
            <w:pPr>
              <w:pStyle w:val="2"/>
              <w:rPr>
                <w:rFonts w:ascii="Times New Roman" w:hAnsi="Times New Roman" w:eastAsia="宋体"/>
                <w:sz w:val="24"/>
                <w:szCs w:val="24"/>
              </w:rPr>
            </w:pPr>
          </w:p>
          <w:p>
            <w:pPr>
              <w:pStyle w:val="2"/>
              <w:rPr>
                <w:rFonts w:ascii="Times New Roman" w:hAnsi="Times New Roman" w:eastAsia="宋体"/>
                <w:sz w:val="24"/>
                <w:szCs w:val="24"/>
              </w:rPr>
            </w:pP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4、固体废物</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一般工业固废贮存执行《一般工业固体废物贮存、处置场污染控制标准》（GB18599-2001）及2013年修改单中相关规定；危险废物临时贮存执行《危险废物贮存污染控制标准》（GB18597-2001）及2013年修改单中相关规定；同时执行《（一般工业固体废弃物贮存、处置场污染控制标准）（GB18599-2001）等三项国家污染物控制标准修改单》（环境保护部公告2013年底36号）。</w:t>
            </w:r>
          </w:p>
          <w:p>
            <w:pPr>
              <w:pStyle w:val="11"/>
              <w:spacing w:line="360" w:lineRule="auto"/>
              <w:rPr>
                <w:rFonts w:ascii="Times New Roman" w:hAnsi="Times New Roman" w:eastAsia="宋体"/>
              </w:rPr>
            </w:pPr>
          </w:p>
          <w:p>
            <w:pPr>
              <w:spacing w:line="360" w:lineRule="auto"/>
              <w:rPr>
                <w:rFonts w:ascii="Times New Roman" w:hAnsi="Times New Roman" w:eastAsia="宋体"/>
                <w:sz w:val="24"/>
                <w:szCs w:val="24"/>
              </w:rPr>
            </w:pPr>
          </w:p>
          <w:p>
            <w:pPr>
              <w:pStyle w:val="16"/>
              <w:spacing w:line="360" w:lineRule="auto"/>
              <w:rPr>
                <w:rFonts w:ascii="Times New Roman" w:hAnsi="Times New Roman" w:eastAsia="宋体" w:cs="Times New Roman"/>
                <w:sz w:val="24"/>
                <w:szCs w:val="24"/>
              </w:rPr>
            </w:pPr>
          </w:p>
          <w:p>
            <w:pPr>
              <w:pStyle w:val="11"/>
              <w:spacing w:line="360" w:lineRule="auto"/>
              <w:rPr>
                <w:rFonts w:ascii="Times New Roman" w:hAnsi="Times New Roman" w:eastAsia="宋体"/>
                <w:sz w:val="24"/>
                <w:szCs w:val="24"/>
              </w:rPr>
            </w:pPr>
          </w:p>
          <w:p>
            <w:pPr>
              <w:spacing w:line="360" w:lineRule="auto"/>
              <w:rPr>
                <w:rFonts w:ascii="Times New Roman" w:hAnsi="Times New Roman" w:eastAsia="宋体"/>
                <w:sz w:val="24"/>
                <w:szCs w:val="24"/>
              </w:rPr>
            </w:pPr>
          </w:p>
          <w:p>
            <w:pPr>
              <w:spacing w:line="360" w:lineRule="auto"/>
              <w:rPr>
                <w:rFonts w:ascii="Times New Roman" w:hAnsi="Times New Roman" w:eastAsia="宋体"/>
                <w:b/>
                <w:bCs/>
                <w:color w:val="000000"/>
                <w:sz w:val="24"/>
                <w:szCs w:val="24"/>
                <w:highlight w:val="yellow"/>
              </w:rPr>
            </w:pPr>
          </w:p>
        </w:tc>
      </w:tr>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87" w:hRule="atLeast"/>
          <w:jc w:val="center"/>
        </w:trPr>
        <w:tc>
          <w:tcPr>
            <w:tcW w:w="504" w:type="dxa"/>
            <w:noWrap w:val="0"/>
            <w:vAlign w:val="center"/>
          </w:tcPr>
          <w:p>
            <w:pPr>
              <w:jc w:val="center"/>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总量</w:t>
            </w:r>
          </w:p>
          <w:p>
            <w:pPr>
              <w:jc w:val="center"/>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控制</w:t>
            </w:r>
          </w:p>
          <w:p>
            <w:pPr>
              <w:jc w:val="center"/>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指标</w:t>
            </w:r>
          </w:p>
        </w:tc>
        <w:tc>
          <w:tcPr>
            <w:tcW w:w="849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kern w:val="0"/>
                <w:sz w:val="24"/>
                <w:szCs w:val="24"/>
                <w:highlight w:val="none"/>
                <w:lang w:eastAsia="zh-CN"/>
              </w:rPr>
            </w:pPr>
            <w:r>
              <w:rPr>
                <w:rFonts w:ascii="Times New Roman" w:hAnsi="Times New Roman" w:eastAsia="宋体"/>
                <w:color w:val="000000"/>
                <w:sz w:val="24"/>
                <w:highlight w:val="none"/>
              </w:rPr>
              <w:t>本项目产生的污水量约为</w:t>
            </w:r>
            <w:r>
              <w:rPr>
                <w:rFonts w:hint="eastAsia" w:ascii="Times New Roman" w:hAnsi="Times New Roman" w:eastAsia="宋体"/>
                <w:color w:val="000000"/>
                <w:sz w:val="24"/>
                <w:highlight w:val="none"/>
                <w:lang w:val="en-US" w:eastAsia="zh-CN"/>
              </w:rPr>
              <w:t>3561.36</w:t>
            </w:r>
            <w:r>
              <w:rPr>
                <w:rFonts w:ascii="Times New Roman" w:hAnsi="Times New Roman" w:eastAsia="宋体"/>
                <w:color w:val="000000"/>
                <w:sz w:val="24"/>
                <w:highlight w:val="none"/>
              </w:rPr>
              <w:t>t/a，</w:t>
            </w:r>
            <w:r>
              <w:rPr>
                <w:rFonts w:ascii="Times New Roman" w:hAnsi="Times New Roman" w:eastAsia="宋体"/>
                <w:color w:val="000000"/>
                <w:kern w:val="0"/>
                <w:sz w:val="24"/>
                <w:szCs w:val="22"/>
                <w:highlight w:val="none"/>
              </w:rPr>
              <w:t>产生的废水通过</w:t>
            </w:r>
            <w:r>
              <w:rPr>
                <w:rFonts w:hint="eastAsia" w:ascii="Times New Roman" w:hAnsi="Times New Roman" w:eastAsia="宋体"/>
                <w:color w:val="000000"/>
                <w:kern w:val="0"/>
                <w:sz w:val="24"/>
                <w:szCs w:val="22"/>
                <w:highlight w:val="none"/>
                <w:lang w:val="en-US" w:eastAsia="zh-CN"/>
              </w:rPr>
              <w:t>厂内污水处理装置处理后排入南塘湖，</w:t>
            </w:r>
            <w:r>
              <w:rPr>
                <w:rFonts w:ascii="Times New Roman" w:hAnsi="Times New Roman" w:eastAsia="宋体"/>
                <w:color w:val="000000"/>
                <w:kern w:val="0"/>
                <w:sz w:val="24"/>
                <w:szCs w:val="24"/>
                <w:highlight w:val="none"/>
              </w:rPr>
              <w:t>本环评给出项目污水排入环境中的量作为环境主管部门参考，COD：</w:t>
            </w:r>
            <w:r>
              <w:rPr>
                <w:rFonts w:hint="eastAsia" w:ascii="Times New Roman" w:hAnsi="Times New Roman" w:eastAsia="宋体"/>
                <w:color w:val="000000"/>
                <w:kern w:val="0"/>
                <w:sz w:val="24"/>
                <w:szCs w:val="24"/>
                <w:highlight w:val="none"/>
                <w:lang w:val="en-US" w:eastAsia="zh-CN"/>
              </w:rPr>
              <w:t>0.356</w:t>
            </w:r>
            <w:r>
              <w:rPr>
                <w:rFonts w:ascii="Times New Roman" w:hAnsi="Times New Roman" w:eastAsia="宋体"/>
                <w:color w:val="000000"/>
                <w:kern w:val="0"/>
                <w:sz w:val="24"/>
                <w:szCs w:val="24"/>
                <w:highlight w:val="none"/>
              </w:rPr>
              <w:t>t/a；NH</w:t>
            </w:r>
            <w:r>
              <w:rPr>
                <w:rFonts w:ascii="Times New Roman" w:hAnsi="Times New Roman" w:eastAsia="宋体"/>
                <w:color w:val="000000"/>
                <w:kern w:val="0"/>
                <w:sz w:val="24"/>
                <w:szCs w:val="24"/>
                <w:highlight w:val="none"/>
                <w:vertAlign w:val="subscript"/>
              </w:rPr>
              <w:t>3</w:t>
            </w:r>
            <w:r>
              <w:rPr>
                <w:rFonts w:ascii="Times New Roman" w:hAnsi="Times New Roman" w:eastAsia="宋体"/>
                <w:color w:val="000000"/>
                <w:kern w:val="0"/>
                <w:sz w:val="24"/>
                <w:szCs w:val="24"/>
                <w:highlight w:val="none"/>
              </w:rPr>
              <w:t>-N：</w:t>
            </w:r>
            <w:r>
              <w:rPr>
                <w:rFonts w:hint="eastAsia" w:ascii="Times New Roman" w:hAnsi="Times New Roman" w:eastAsia="宋体"/>
                <w:color w:val="000000"/>
                <w:kern w:val="0"/>
                <w:sz w:val="24"/>
                <w:szCs w:val="24"/>
                <w:highlight w:val="none"/>
                <w:lang w:val="en-US" w:eastAsia="zh-CN"/>
              </w:rPr>
              <w:t>0.053</w:t>
            </w:r>
            <w:r>
              <w:rPr>
                <w:rFonts w:ascii="Times New Roman" w:hAnsi="Times New Roman" w:eastAsia="宋体"/>
                <w:color w:val="000000"/>
                <w:kern w:val="0"/>
                <w:sz w:val="24"/>
                <w:szCs w:val="24"/>
                <w:highlight w:val="none"/>
              </w:rPr>
              <w:t>t/a</w:t>
            </w:r>
            <w:r>
              <w:rPr>
                <w:rFonts w:hint="eastAsia" w:ascii="Times New Roman" w:hAnsi="Times New Roman" w:eastAsia="宋体"/>
                <w:color w:val="000000"/>
                <w:kern w:val="0"/>
                <w:sz w:val="24"/>
                <w:szCs w:val="24"/>
                <w:highlight w:val="none"/>
                <w:lang w:eastAsia="zh-CN"/>
              </w:rPr>
              <w:t>。</w:t>
            </w:r>
          </w:p>
          <w:p>
            <w:pPr>
              <w:pStyle w:val="2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rPr>
            </w:pPr>
            <w:r>
              <w:rPr>
                <w:rFonts w:hint="eastAsia" w:ascii="Times New Roman" w:hAnsi="Times New Roman" w:eastAsia="宋体"/>
                <w:color w:val="000000"/>
                <w:kern w:val="0"/>
                <w:sz w:val="24"/>
                <w:highlight w:val="none"/>
                <w:lang w:val="en-US" w:eastAsia="zh-CN"/>
              </w:rPr>
              <w:t>烟（粉）尘有组织排放量为</w:t>
            </w:r>
            <w:r>
              <w:rPr>
                <w:rFonts w:hint="eastAsia"/>
                <w:color w:val="000000"/>
                <w:kern w:val="0"/>
                <w:sz w:val="24"/>
                <w:highlight w:val="none"/>
                <w:lang w:val="en-US" w:eastAsia="zh-CN"/>
              </w:rPr>
              <w:t>20.936</w:t>
            </w:r>
            <w:r>
              <w:rPr>
                <w:rFonts w:ascii="Times New Roman" w:hAnsi="Times New Roman" w:eastAsia="宋体"/>
                <w:color w:val="000000"/>
                <w:kern w:val="0"/>
                <w:sz w:val="24"/>
                <w:highlight w:val="none"/>
              </w:rPr>
              <w:t>t/a</w:t>
            </w:r>
            <w:r>
              <w:rPr>
                <w:rFonts w:ascii="Times New Roman" w:hAnsi="Times New Roman" w:eastAsia="宋体"/>
                <w:color w:val="000000"/>
                <w:sz w:val="24"/>
                <w:highlight w:val="none"/>
              </w:rPr>
              <w:t>，</w:t>
            </w:r>
            <w:r>
              <w:rPr>
                <w:rFonts w:hint="eastAsia" w:ascii="Times New Roman" w:hAnsi="Times New Roman" w:eastAsia="宋体"/>
                <w:color w:val="000000"/>
                <w:kern w:val="0"/>
                <w:sz w:val="24"/>
                <w:highlight w:val="none"/>
                <w:lang w:val="en-US" w:eastAsia="zh-CN"/>
              </w:rPr>
              <w:t>烟（粉）尘无组织排放量为1.584</w:t>
            </w:r>
            <w:r>
              <w:rPr>
                <w:rFonts w:ascii="Times New Roman" w:hAnsi="Times New Roman" w:eastAsia="宋体"/>
                <w:color w:val="000000"/>
                <w:kern w:val="0"/>
                <w:sz w:val="24"/>
                <w:highlight w:val="none"/>
              </w:rPr>
              <w:t>t/a</w:t>
            </w:r>
            <w:r>
              <w:rPr>
                <w:rFonts w:ascii="Times New Roman" w:hAnsi="Times New Roman" w:eastAsia="宋体"/>
                <w:color w:val="000000"/>
                <w:sz w:val="24"/>
                <w:highlight w:val="none"/>
              </w:rPr>
              <w:t>，</w:t>
            </w:r>
            <w:r>
              <w:rPr>
                <w:rFonts w:hint="eastAsia" w:ascii="Times New Roman" w:hAnsi="Times New Roman" w:eastAsia="宋体"/>
                <w:color w:val="000000"/>
                <w:kern w:val="0"/>
                <w:sz w:val="24"/>
                <w:highlight w:val="none"/>
                <w:lang w:val="en-US" w:eastAsia="zh-CN"/>
              </w:rPr>
              <w:t>二氧化硫有组织排放量为</w:t>
            </w:r>
            <w:r>
              <w:rPr>
                <w:rFonts w:hint="eastAsia"/>
                <w:color w:val="000000"/>
                <w:kern w:val="0"/>
                <w:sz w:val="24"/>
                <w:highlight w:val="none"/>
                <w:lang w:val="en-US" w:eastAsia="zh-CN"/>
              </w:rPr>
              <w:t>14.02</w:t>
            </w:r>
            <w:r>
              <w:rPr>
                <w:rFonts w:ascii="Times New Roman" w:hAnsi="Times New Roman" w:eastAsia="宋体"/>
                <w:color w:val="000000"/>
                <w:kern w:val="0"/>
                <w:sz w:val="24"/>
                <w:highlight w:val="none"/>
              </w:rPr>
              <w:t>t/a</w:t>
            </w:r>
            <w:r>
              <w:rPr>
                <w:rFonts w:hint="eastAsia" w:ascii="Times New Roman" w:hAnsi="Times New Roman" w:eastAsia="宋体"/>
                <w:color w:val="000000"/>
                <w:kern w:val="0"/>
                <w:sz w:val="24"/>
                <w:highlight w:val="none"/>
                <w:lang w:eastAsia="zh-CN"/>
              </w:rPr>
              <w:t>，</w:t>
            </w:r>
            <w:r>
              <w:rPr>
                <w:rFonts w:hint="eastAsia" w:ascii="Times New Roman" w:hAnsi="Times New Roman" w:eastAsia="宋体"/>
                <w:color w:val="000000"/>
                <w:sz w:val="24"/>
                <w:highlight w:val="none"/>
                <w:lang w:val="en-US" w:eastAsia="zh-CN"/>
              </w:rPr>
              <w:t>氮氧化物</w:t>
            </w:r>
            <w:r>
              <w:rPr>
                <w:rFonts w:hint="eastAsia" w:ascii="Times New Roman" w:hAnsi="Times New Roman" w:eastAsia="宋体"/>
                <w:color w:val="000000"/>
                <w:kern w:val="0"/>
                <w:sz w:val="24"/>
                <w:highlight w:val="none"/>
                <w:lang w:val="en-US" w:eastAsia="zh-CN"/>
              </w:rPr>
              <w:t>有组织排放量为</w:t>
            </w:r>
            <w:r>
              <w:rPr>
                <w:rFonts w:hint="eastAsia"/>
                <w:color w:val="000000"/>
                <w:kern w:val="0"/>
                <w:sz w:val="24"/>
                <w:highlight w:val="none"/>
                <w:lang w:val="en-US" w:eastAsia="zh-CN"/>
              </w:rPr>
              <w:t>45.56</w:t>
            </w:r>
            <w:r>
              <w:rPr>
                <w:rFonts w:ascii="Times New Roman" w:hAnsi="Times New Roman" w:eastAsia="宋体"/>
                <w:color w:val="000000"/>
                <w:kern w:val="0"/>
                <w:sz w:val="24"/>
                <w:highlight w:val="none"/>
              </w:rPr>
              <w:t>t/a</w:t>
            </w:r>
            <w:r>
              <w:rPr>
                <w:rFonts w:hint="eastAsia" w:ascii="Times New Roman" w:hAnsi="Times New Roman" w:eastAsia="宋体"/>
                <w:color w:val="000000"/>
                <w:kern w:val="0"/>
                <w:sz w:val="24"/>
                <w:highlight w:val="none"/>
                <w:lang w:eastAsia="zh-CN"/>
              </w:rPr>
              <w:t>。</w:t>
            </w:r>
          </w:p>
          <w:p>
            <w:pPr>
              <w:pStyle w:val="2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rPr>
            </w:pPr>
          </w:p>
          <w:p>
            <w:pPr>
              <w:pStyle w:val="2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rPr>
            </w:pPr>
          </w:p>
          <w:p>
            <w:pPr>
              <w:pStyle w:val="2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rPr>
            </w:pPr>
          </w:p>
          <w:p>
            <w:pPr>
              <w:pStyle w:val="2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rPr>
            </w:pPr>
          </w:p>
          <w:p>
            <w:pPr>
              <w:pStyle w:val="2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rPr>
            </w:pPr>
          </w:p>
          <w:p>
            <w:pPr>
              <w:pStyle w:val="2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highlight w:val="none"/>
              </w:rPr>
            </w:pPr>
          </w:p>
          <w:p>
            <w:pPr>
              <w:pStyle w:val="27"/>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eastAsia="宋体"/>
                <w:color w:val="000000"/>
                <w:sz w:val="24"/>
                <w:highlight w:val="none"/>
              </w:rPr>
            </w:pPr>
          </w:p>
        </w:tc>
      </w:tr>
    </w:tbl>
    <w:p>
      <w:pPr>
        <w:pStyle w:val="3"/>
        <w:rPr>
          <w:rFonts w:ascii="Times New Roman" w:hAnsi="Times New Roman" w:eastAsia="宋体"/>
        </w:rPr>
      </w:pPr>
      <w:r>
        <w:rPr>
          <w:rFonts w:hint="eastAsia" w:ascii="Times New Roman" w:hAnsi="Times New Roman" w:eastAsia="宋体"/>
          <w:lang w:eastAsia="zh-CN"/>
        </w:rPr>
        <w:t>五、</w:t>
      </w:r>
      <w:r>
        <w:rPr>
          <w:rFonts w:ascii="Times New Roman" w:hAnsi="Times New Roman" w:eastAsia="宋体"/>
        </w:rPr>
        <w:t>建设项目工程分析</w:t>
      </w:r>
    </w:p>
    <w:tbl>
      <w:tblPr>
        <w:tblStyle w:val="2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82" w:hRule="atLeast"/>
          <w:jc w:val="center"/>
        </w:trPr>
        <w:tc>
          <w:tcPr>
            <w:tcW w:w="852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eastAsia="宋体"/>
                <w:sz w:val="24"/>
                <w:szCs w:val="24"/>
              </w:rPr>
            </w:pPr>
            <w:r>
              <w:rPr>
                <w:rFonts w:ascii="Times New Roman" w:hAnsi="Times New Roman" w:eastAsia="宋体"/>
              </w:rPr>
              <w:t>工</w:t>
            </w:r>
            <w:r>
              <w:rPr>
                <w:rFonts w:ascii="Times New Roman" w:hAnsi="Times New Roman" w:eastAsia="宋体"/>
                <w:sz w:val="24"/>
                <w:szCs w:val="24"/>
              </w:rPr>
              <w:t>艺流程简述（如图）：</w:t>
            </w:r>
          </w:p>
          <w:p>
            <w:pPr>
              <w:keepNext w:val="0"/>
              <w:keepLines w:val="0"/>
              <w:numPr>
                <w:ilvl w:val="0"/>
                <w:numId w:val="0"/>
              </w:numPr>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99060</wp:posOffset>
                      </wp:positionH>
                      <wp:positionV relativeFrom="paragraph">
                        <wp:posOffset>377190</wp:posOffset>
                      </wp:positionV>
                      <wp:extent cx="1391285" cy="320675"/>
                      <wp:effectExtent l="0" t="0" r="0" b="0"/>
                      <wp:wrapNone/>
                      <wp:docPr id="1" name="矩形 1"/>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地基土、建筑垃圾</w:t>
                                  </w:r>
                                </w:p>
                              </w:txbxContent>
                            </wps:txbx>
                            <wps:bodyPr vert="horz" wrap="square" anchor="t" upright="1"/>
                          </wps:wsp>
                        </a:graphicData>
                      </a:graphic>
                    </wp:anchor>
                  </w:drawing>
                </mc:Choice>
                <mc:Fallback>
                  <w:pict>
                    <v:rect id="_x0000_s1026" o:spid="_x0000_s1026" o:spt="1" style="position:absolute;left:0pt;margin-left:7.8pt;margin-top:29.7pt;height:25.25pt;width:109.55pt;z-index:-251657216;mso-width-relative:page;mso-height-relative:page;" filled="f" stroked="f" coordsize="21600,21600" o:gfxdata="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vZkYdkAAAAJAQAADwAAAAAAAAABACAAAAAiAAAAZHJzL2Rvd25yZXYu&#10;eG1sUEsBAhQAFAAAAAgAh07iQB3nnRnBAQAAdAMAAA4AAAAAAAAAAQAgAAAAKAEAAGRycy9lMm9E&#10;b2MueG1sUEsFBgAAAAAGAAYAWQEAAFs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地基土、建筑垃圾</w:t>
                            </w:r>
                          </w:p>
                        </w:txbxContent>
                      </v:textbox>
                    </v:rect>
                  </w:pict>
                </mc:Fallback>
              </mc:AlternateContent>
            </w:r>
            <w:r>
              <w:rPr>
                <w:rFonts w:hint="eastAsia" w:ascii="Times New Roman" w:hAnsi="Times New Roman" w:eastAsia="宋体"/>
                <w:b/>
                <w:color w:val="auto"/>
                <w:sz w:val="28"/>
                <w:szCs w:val="28"/>
                <w:highlight w:val="none"/>
                <w:lang w:val="en-US" w:eastAsia="zh-CN"/>
              </w:rPr>
              <w:t>1、施工期主要流程及产污环节:</w:t>
            </w:r>
          </w:p>
          <w:p>
            <w:pPr>
              <w:keepNext w:val="0"/>
              <w:keepLines w:val="0"/>
              <w:numPr>
                <w:ilvl w:val="0"/>
                <w:numId w:val="0"/>
              </w:numPr>
              <w:suppressLineNumbers w:val="0"/>
              <w:spacing w:before="0" w:beforeAutospacing="0" w:after="0" w:afterAutospacing="0" w:line="360" w:lineRule="auto"/>
              <w:ind w:left="0" w:right="0"/>
              <w:rPr>
                <w:rFonts w:hint="eastAsia"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51705344" behindDoc="0" locked="0" layoutInCell="1" allowOverlap="1">
                      <wp:simplePos x="0" y="0"/>
                      <wp:positionH relativeFrom="column">
                        <wp:posOffset>2588895</wp:posOffset>
                      </wp:positionH>
                      <wp:positionV relativeFrom="paragraph">
                        <wp:posOffset>36830</wp:posOffset>
                      </wp:positionV>
                      <wp:extent cx="2437765" cy="320675"/>
                      <wp:effectExtent l="0" t="0" r="0" b="0"/>
                      <wp:wrapNone/>
                      <wp:docPr id="226" name="矩形 77"/>
                      <wp:cNvGraphicFramePr/>
                      <a:graphic xmlns:a="http://schemas.openxmlformats.org/drawingml/2006/main">
                        <a:graphicData uri="http://schemas.microsoft.com/office/word/2010/wordprocessingShape">
                          <wps:wsp>
                            <wps:cNvSpPr/>
                            <wps:spPr>
                              <a:xfrm>
                                <a:off x="0" y="0"/>
                                <a:ext cx="243776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噪声、废气、生活污水</w:t>
                                  </w:r>
                                </w:p>
                              </w:txbxContent>
                            </wps:txbx>
                            <wps:bodyPr vert="horz" wrap="square" anchor="t" upright="1"/>
                          </wps:wsp>
                        </a:graphicData>
                      </a:graphic>
                    </wp:anchor>
                  </w:drawing>
                </mc:Choice>
                <mc:Fallback>
                  <w:pict>
                    <v:rect id="矩形 77" o:spid="_x0000_s1026" o:spt="1" style="position:absolute;left:0pt;margin-left:203.85pt;margin-top:2.9pt;height:25.25pt;width:191.95pt;z-index:251705344;mso-width-relative:page;mso-height-relative:page;" filled="f" stroked="f" coordsize="21600,21600" o:gfxdata="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tbo632QAAAAgBAAAPAAAAAAAAAAEAIAAAACIAAABkcnMvZG93bnJl&#10;di54bWxQSwECFAAUAAAACACHTuJAImAd38MBAAB3AwAADgAAAAAAAAABACAAAAAoAQAAZHJzL2Uy&#10;b0RvYy54bWxQSwUGAAAAAAYABgBZAQAAXQU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99200" behindDoc="0" locked="0" layoutInCell="1" allowOverlap="1">
                      <wp:simplePos x="0" y="0"/>
                      <wp:positionH relativeFrom="column">
                        <wp:posOffset>2479675</wp:posOffset>
                      </wp:positionH>
                      <wp:positionV relativeFrom="paragraph">
                        <wp:posOffset>184150</wp:posOffset>
                      </wp:positionV>
                      <wp:extent cx="169545" cy="635"/>
                      <wp:effectExtent l="5080" t="48895" r="15875" b="64770"/>
                      <wp:wrapNone/>
                      <wp:docPr id="220" name="直接连接符 76"/>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76" o:spid="_x0000_s1026" o:spt="20" style="position:absolute;left:0pt;margin-left:195.25pt;margin-top:14.5pt;height:0.05pt;width:13.35pt;z-index:251699200;mso-width-relative:page;mso-height-relative:page;" filled="f" stroked="t" coordsize="21600,21600" o:gfxdata="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CHlMS2QAAAAkBAAAPAAAAAAAAAAEAIAAAACIAAABkcnMv&#10;ZG93bnJldi54bWxQSwECFAAUAAAACACHTuJA8wIJmAICAAD2AwAADgAAAAAAAAABACAAAAAoAQAA&#10;ZHJzL2Uyb0RvYy54bWxQSwUGAAAAAAYABgBZAQAAnAU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03296" behindDoc="0" locked="0" layoutInCell="1" allowOverlap="1">
                      <wp:simplePos x="0" y="0"/>
                      <wp:positionH relativeFrom="column">
                        <wp:posOffset>1398270</wp:posOffset>
                      </wp:positionH>
                      <wp:positionV relativeFrom="paragraph">
                        <wp:posOffset>50800</wp:posOffset>
                      </wp:positionV>
                      <wp:extent cx="1079500" cy="285750"/>
                      <wp:effectExtent l="4445" t="4445" r="20955" b="14605"/>
                      <wp:wrapNone/>
                      <wp:docPr id="224" name="矩形 74"/>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eastAsia="宋体"/>
                                      <w:lang w:val="en-US" w:eastAsia="zh-CN"/>
                                    </w:rPr>
                                  </w:pPr>
                                  <w:r>
                                    <w:rPr>
                                      <w:rFonts w:hint="eastAsia" w:eastAsia="宋体"/>
                                      <w:lang w:val="en-US" w:eastAsia="zh-CN"/>
                                    </w:rPr>
                                    <w:t>填土、夯实</w:t>
                                  </w:r>
                                </w:p>
                              </w:txbxContent>
                            </wps:txbx>
                            <wps:bodyPr vert="horz" wrap="square" anchor="t" upright="1"/>
                          </wps:wsp>
                        </a:graphicData>
                      </a:graphic>
                    </wp:anchor>
                  </w:drawing>
                </mc:Choice>
                <mc:Fallback>
                  <w:pict>
                    <v:rect id="矩形 74" o:spid="_x0000_s1026" o:spt="1" style="position:absolute;left:0pt;margin-left:110.1pt;margin-top:4pt;height:22.5pt;width:85pt;z-index:251703296;mso-width-relative:page;mso-height-relative:page;" filled="f" stroked="t" coordsize="21600,21600" o:gfxdata="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NGzqfdUAAAAIAQAA&#10;DwAAAAAAAAABACAAAAAiAAAAZHJzL2Rvd25yZXYueG1sUEsBAhQAFAAAAAgAh07iQGX5+UwcAgAA&#10;NgQAAA4AAAAAAAAAAQAgAAAAJAEAAGRycy9lMm9Eb2MueG1sUEsFBgAAAAAGAAYAWQEAALIFAAAA&#10;AA==&#10;">
                      <v:fill on="f" focussize="0,0"/>
                      <v:stroke color="#000000" joinstyle="miter"/>
                      <v:imagedata o:title=""/>
                      <o:lock v:ext="edit" aspectratio="f"/>
                      <v:textbox>
                        <w:txbxContent>
                          <w:p>
                            <w:pPr>
                              <w:jc w:val="center"/>
                              <w:rPr>
                                <w:rFonts w:hint="eastAsia" w:eastAsia="宋体"/>
                                <w:lang w:val="en-US" w:eastAsia="zh-CN"/>
                              </w:rPr>
                            </w:pPr>
                            <w:r>
                              <w:rPr>
                                <w:rFonts w:hint="eastAsia" w:eastAsia="宋体"/>
                                <w:lang w:val="en-US" w:eastAsia="zh-CN"/>
                              </w:rPr>
                              <w:t>填土、夯实</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35040" behindDoc="0" locked="0" layoutInCell="1" allowOverlap="1">
                      <wp:simplePos x="0" y="0"/>
                      <wp:positionH relativeFrom="column">
                        <wp:posOffset>125095</wp:posOffset>
                      </wp:positionH>
                      <wp:positionV relativeFrom="paragraph">
                        <wp:posOffset>239395</wp:posOffset>
                      </wp:positionV>
                      <wp:extent cx="1282065" cy="635"/>
                      <wp:effectExtent l="0" t="48260" r="13335" b="65405"/>
                      <wp:wrapNone/>
                      <wp:docPr id="255" name="直接连接符 78"/>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78" o:spid="_x0000_s1026" o:spt="20" style="position:absolute;left:0pt;margin-left:9.85pt;margin-top:18.85pt;height:0.05pt;width:100.95pt;z-index:251735040;mso-width-relative:page;mso-height-relative:page;" filled="f" stroked="t" coordsize="21600,21600" o:gfxdata="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WfY5jNgAAAAIAQAADwAAAAAAAAABACAAAAAiAAAAZHJzL2Rv&#10;d25yZXYueG1sUEsBAhQAFAAAAAgAh07iQM/DeUIBAgAA+AMAAA4AAAAAAAAAAQAgAAAAJwEAAGRy&#10;cy9lMm9Eb2MueG1sUEsFBgAAAAAGAAYAWQEAAJoFAAAAAA==&#10;">
                      <v:fill on="f" focussize="0,0"/>
                      <v:stroke color="#000000" joinstyle="round" endarrow="open"/>
                      <v:imagedata o:title=""/>
                      <o:lock v:ext="edit" aspectratio="f"/>
                    </v:line>
                  </w:pict>
                </mc:Fallback>
              </mc:AlternateConten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51706368" behindDoc="0" locked="0" layoutInCell="1" allowOverlap="1">
                      <wp:simplePos x="0" y="0"/>
                      <wp:positionH relativeFrom="column">
                        <wp:posOffset>2598420</wp:posOffset>
                      </wp:positionH>
                      <wp:positionV relativeFrom="paragraph">
                        <wp:posOffset>196850</wp:posOffset>
                      </wp:positionV>
                      <wp:extent cx="2437765" cy="320675"/>
                      <wp:effectExtent l="0" t="0" r="0" b="0"/>
                      <wp:wrapNone/>
                      <wp:docPr id="227" name="矩形 3"/>
                      <wp:cNvGraphicFramePr/>
                      <a:graphic xmlns:a="http://schemas.openxmlformats.org/drawingml/2006/main">
                        <a:graphicData uri="http://schemas.microsoft.com/office/word/2010/wordprocessingShape">
                          <wps:wsp>
                            <wps:cNvSpPr/>
                            <wps:spPr>
                              <a:xfrm>
                                <a:off x="0" y="0"/>
                                <a:ext cx="243776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噪声、废气、生活污水、砂浆水</w:t>
                                  </w:r>
                                </w:p>
                                <w:p>
                                  <w:pPr>
                                    <w:jc w:val="left"/>
                                    <w:rPr>
                                      <w:rFonts w:hint="eastAsia" w:eastAsia="宋体"/>
                                      <w:lang w:val="en-US" w:eastAsia="zh-CN"/>
                                    </w:rPr>
                                  </w:pPr>
                                </w:p>
                              </w:txbxContent>
                            </wps:txbx>
                            <wps:bodyPr vert="horz" wrap="square" anchor="t" upright="1"/>
                          </wps:wsp>
                        </a:graphicData>
                      </a:graphic>
                    </wp:anchor>
                  </w:drawing>
                </mc:Choice>
                <mc:Fallback>
                  <w:pict>
                    <v:rect id="矩形 3" o:spid="_x0000_s1026" o:spt="1" style="position:absolute;left:0pt;margin-left:204.6pt;margin-top:15.5pt;height:25.25pt;width:191.95pt;z-index:251706368;mso-width-relative:page;mso-height-relative:page;" filled="f" stroked="f" coordsize="21600,21600" o:gfxdata="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AZT7QPbAAAACQEAAA8AAAAAAAAAAQAgAAAAIgAAAGRycy9kb3du&#10;cmV2LnhtbFBLAQIUABQAAAAIAIdO4kDu32F1wwEAAHYDAAAOAAAAAAAAAAEAIAAAACoBAABkcnMv&#10;ZTJvRG9jLnhtbFBLBQYAAAAABgAGAFkBAABf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02272" behindDoc="0" locked="0" layoutInCell="1" allowOverlap="1">
                      <wp:simplePos x="0" y="0"/>
                      <wp:positionH relativeFrom="column">
                        <wp:posOffset>1940560</wp:posOffset>
                      </wp:positionH>
                      <wp:positionV relativeFrom="paragraph">
                        <wp:posOffset>54610</wp:posOffset>
                      </wp:positionV>
                      <wp:extent cx="1905" cy="153670"/>
                      <wp:effectExtent l="48260" t="0" r="64135" b="17780"/>
                      <wp:wrapNone/>
                      <wp:docPr id="223" name="直接连接符 4"/>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4" o:spid="_x0000_s1026" o:spt="20" style="position:absolute;left:0pt;margin-left:152.8pt;margin-top:4.3pt;height:12.1pt;width:0.15pt;z-index:251702272;mso-width-relative:page;mso-height-relative:page;" filled="f" stroked="t" coordsize="21600,21600" o:gfxdata="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TXBrrYAAAACAEAAA8AAAAAAAAAAQAgAAAAIgAAAGRy&#10;cy9kb3ducmV2LnhtbFBLAQIUABQAAAAIAIdO4kAV47p1BQIAAPcDAAAOAAAAAAAAAAEAIAAAACcB&#10;AABkcnMvZTJvRG9jLnhtbFBLBQYAAAAABgAGAFkBAACeBQ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97152" behindDoc="0" locked="0" layoutInCell="1" allowOverlap="1">
                      <wp:simplePos x="0" y="0"/>
                      <wp:positionH relativeFrom="column">
                        <wp:posOffset>1407795</wp:posOffset>
                      </wp:positionH>
                      <wp:positionV relativeFrom="paragraph">
                        <wp:posOffset>215265</wp:posOffset>
                      </wp:positionV>
                      <wp:extent cx="1079500" cy="285750"/>
                      <wp:effectExtent l="4445" t="4445" r="20955" b="14605"/>
                      <wp:wrapNone/>
                      <wp:docPr id="218" name="矩形 5"/>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eastAsia="宋体"/>
                                      <w:lang w:val="en-US" w:eastAsia="zh-CN"/>
                                    </w:rPr>
                                  </w:pPr>
                                  <w:r>
                                    <w:rPr>
                                      <w:rFonts w:hint="eastAsia" w:eastAsia="宋体"/>
                                      <w:lang w:val="en-US" w:eastAsia="zh-CN"/>
                                    </w:rPr>
                                    <w:t>钻孔灌注基</w:t>
                                  </w:r>
                                </w:p>
                              </w:txbxContent>
                            </wps:txbx>
                            <wps:bodyPr vert="horz" wrap="square" anchor="t" upright="1"/>
                          </wps:wsp>
                        </a:graphicData>
                      </a:graphic>
                    </wp:anchor>
                  </w:drawing>
                </mc:Choice>
                <mc:Fallback>
                  <w:pict>
                    <v:rect id="矩形 5" o:spid="_x0000_s1026" o:spt="1" style="position:absolute;left:0pt;margin-left:110.85pt;margin-top:16.95pt;height:22.5pt;width:85pt;z-index:251697152;mso-width-relative:page;mso-height-relative:page;" filled="f" stroked="t" coordsize="21600,21600" o:gfxdata="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veZNjYAAAACQEA&#10;AA8AAAAAAAAAAQAgAAAAIgAAAGRycy9kb3ducmV2LnhtbFBLAQIUABQAAAAIAIdO4kAWhmcvGgIA&#10;ADUEAAAOAAAAAAAAAAEAIAAAACcBAABkcnMvZTJvRG9jLnhtbFBLBQYAAAAABgAGAFkBAACzBQAA&#10;AAA=&#10;">
                      <v:fill on="f" focussize="0,0"/>
                      <v:stroke color="#000000" joinstyle="miter"/>
                      <v:imagedata o:title=""/>
                      <o:lock v:ext="edit" aspectratio="f"/>
                      <v:textbox>
                        <w:txbxContent>
                          <w:p>
                            <w:pPr>
                              <w:jc w:val="center"/>
                              <w:rPr>
                                <w:rFonts w:hint="eastAsia" w:eastAsia="宋体"/>
                                <w:lang w:val="en-US" w:eastAsia="zh-CN"/>
                              </w:rPr>
                            </w:pPr>
                            <w:r>
                              <w:rPr>
                                <w:rFonts w:hint="eastAsia" w:eastAsia="宋体"/>
                                <w:lang w:val="en-US" w:eastAsia="zh-CN"/>
                              </w:rPr>
                              <w:t>钻孔灌注基</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393065</wp:posOffset>
                      </wp:positionH>
                      <wp:positionV relativeFrom="paragraph">
                        <wp:posOffset>182245</wp:posOffset>
                      </wp:positionV>
                      <wp:extent cx="981075" cy="320675"/>
                      <wp:effectExtent l="0" t="0" r="0" b="0"/>
                      <wp:wrapNone/>
                      <wp:docPr id="56" name="矩形 56"/>
                      <wp:cNvGraphicFramePr/>
                      <a:graphic xmlns:a="http://schemas.openxmlformats.org/drawingml/2006/main">
                        <a:graphicData uri="http://schemas.microsoft.com/office/word/2010/wordprocessingShape">
                          <wps:wsp>
                            <wps:cNvSpPr/>
                            <wps:spPr>
                              <a:xfrm>
                                <a:off x="0" y="0"/>
                                <a:ext cx="98107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建材、水</w:t>
                                  </w:r>
                                </w:p>
                              </w:txbxContent>
                            </wps:txbx>
                            <wps:bodyPr vert="horz" wrap="square" anchor="t" upright="1"/>
                          </wps:wsp>
                        </a:graphicData>
                      </a:graphic>
                    </wp:anchor>
                  </w:drawing>
                </mc:Choice>
                <mc:Fallback>
                  <w:pict>
                    <v:rect id="_x0000_s1026" o:spid="_x0000_s1026" o:spt="1" style="position:absolute;left:0pt;margin-left:30.95pt;margin-top:14.35pt;height:25.25pt;width:77.25pt;z-index:-251656192;mso-width-relative:page;mso-height-relative:page;" filled="f" stroked="f" coordsize="21600,21600" o:gfxdata="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IkXyTZAAAACAEAAA8AAAAAAAAAAQAgAAAAIgAAAGRycy9kb3ducmV2Lnht&#10;bFBLAQIUABQAAAAIAIdO4kDyuKZ/vwEAAHUDAAAOAAAAAAAAAAEAIAAAACgBAABkcnMvZTJvRG9j&#10;LnhtbFBLBQYAAAAABgAGAFkBAABZ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建材、水</w:t>
                            </w:r>
                          </w:p>
                        </w:txbxContent>
                      </v:textbox>
                    </v:rect>
                  </w:pict>
                </mc:Fallback>
              </mc:AlternateConten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51713536" behindDoc="0" locked="0" layoutInCell="1" allowOverlap="1">
                      <wp:simplePos x="0" y="0"/>
                      <wp:positionH relativeFrom="column">
                        <wp:posOffset>1949450</wp:posOffset>
                      </wp:positionH>
                      <wp:positionV relativeFrom="paragraph">
                        <wp:posOffset>215265</wp:posOffset>
                      </wp:positionV>
                      <wp:extent cx="1905" cy="153670"/>
                      <wp:effectExtent l="48260" t="0" r="64135" b="17780"/>
                      <wp:wrapNone/>
                      <wp:docPr id="234" name="直接连接符 8"/>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8" o:spid="_x0000_s1026" o:spt="20" style="position:absolute;left:0pt;margin-left:153.5pt;margin-top:16.95pt;height:12.1pt;width:0.15pt;z-index:251713536;mso-width-relative:page;mso-height-relative:page;" filled="f" stroked="t" coordsize="21600,21600" o:gfxdata="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pOtfL2QAAAAkBAAAPAAAAAAAAAAEAIAAAACIAAABk&#10;cnMvZG93bnJldi54bWxQSwECFAAUAAAACACHTuJA6F3D8AUCAAD3AwAADgAAAAAAAAABACAAAAAo&#10;AQAAZHJzL2Uyb0RvYy54bWxQSwUGAAAAAAYABgBZAQAAnw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04320" behindDoc="0" locked="0" layoutInCell="1" allowOverlap="1">
                      <wp:simplePos x="0" y="0"/>
                      <wp:positionH relativeFrom="column">
                        <wp:posOffset>2507615</wp:posOffset>
                      </wp:positionH>
                      <wp:positionV relativeFrom="paragraph">
                        <wp:posOffset>53340</wp:posOffset>
                      </wp:positionV>
                      <wp:extent cx="169545" cy="635"/>
                      <wp:effectExtent l="5080" t="48895" r="15875" b="64770"/>
                      <wp:wrapNone/>
                      <wp:docPr id="225" name="直接连接符 9"/>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9" o:spid="_x0000_s1026" o:spt="20" style="position:absolute;left:0pt;margin-left:197.45pt;margin-top:4.2pt;height:0.05pt;width:13.35pt;z-index:251704320;mso-width-relative:page;mso-height-relative:page;" filled="f" stroked="t" coordsize="21600,21600" o:gfxdata="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nDoxt1wAAAAcBAAAPAAAAAAAAAAEAIAAAACIAAABkcnMvZG93&#10;bnJldi54bWxQSwECFAAUAAAACACHTuJANV+G6wECAAD1AwAADgAAAAAAAAABACAAAAAmAQAAZHJz&#10;L2Uyb0RvYy54bWxQSwUGAAAAAAYABgBZAQAAmQU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40160" behindDoc="0" locked="0" layoutInCell="1" allowOverlap="1">
                      <wp:simplePos x="0" y="0"/>
                      <wp:positionH relativeFrom="column">
                        <wp:posOffset>130810</wp:posOffset>
                      </wp:positionH>
                      <wp:positionV relativeFrom="paragraph">
                        <wp:posOffset>133985</wp:posOffset>
                      </wp:positionV>
                      <wp:extent cx="1282065" cy="635"/>
                      <wp:effectExtent l="0" t="48260" r="13335" b="65405"/>
                      <wp:wrapNone/>
                      <wp:docPr id="260" name="直接连接符 6"/>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6" o:spid="_x0000_s1026" o:spt="20" style="position:absolute;left:0pt;margin-left:10.3pt;margin-top:10.55pt;height:0.05pt;width:100.95pt;z-index:251740160;mso-width-relative:page;mso-height-relative:page;" filled="f" stroked="t" coordsize="21600,21600" o:gfxdata="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QBe+2AAAAAgBAAAPAAAAAAAAAAEAIAAAACIAAABkcnMvZG93&#10;bnJldi54bWxQSwECFAAUAAAACACHTuJA1cMeQwACAAD3AwAADgAAAAAAAAABACAAAAAnAQAAZHJz&#10;L2Uyb0RvYy54bWxQSwUGAAAAAAYABgBZAQAAmQUAAAAA&#10;">
                      <v:fill on="f" focussize="0,0"/>
                      <v:stroke color="#000000" joinstyle="round" endarrow="open"/>
                      <v:imagedata o:title=""/>
                      <o:lock v:ext="edit" aspectratio="f"/>
                    </v:line>
                  </w:pict>
                </mc:Fallback>
              </mc:AlternateContent>
            </w:r>
          </w:p>
          <w:p>
            <w:pPr>
              <w:keepNext w:val="0"/>
              <w:keepLines w:val="0"/>
              <w:suppressLineNumbers w:val="0"/>
              <w:spacing w:before="0" w:beforeAutospacing="0" w:after="0" w:afterAutospacing="0" w:line="360" w:lineRule="auto"/>
              <w:ind w:left="0" w:right="0"/>
              <w:rPr>
                <w:rFonts w:hint="default"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51698176" behindDoc="0" locked="0" layoutInCell="1" allowOverlap="1">
                      <wp:simplePos x="0" y="0"/>
                      <wp:positionH relativeFrom="column">
                        <wp:posOffset>1419225</wp:posOffset>
                      </wp:positionH>
                      <wp:positionV relativeFrom="paragraph">
                        <wp:posOffset>93345</wp:posOffset>
                      </wp:positionV>
                      <wp:extent cx="1079500" cy="285750"/>
                      <wp:effectExtent l="4445" t="4445" r="20955" b="14605"/>
                      <wp:wrapNone/>
                      <wp:docPr id="219" name="矩形 11"/>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lang w:val="en-US" w:eastAsia="zh-CN"/>
                                    </w:rPr>
                                  </w:pPr>
                                  <w:r>
                                    <w:rPr>
                                      <w:rFonts w:hint="eastAsia"/>
                                      <w:lang w:val="en-US" w:eastAsia="zh-CN"/>
                                    </w:rPr>
                                    <w:t>商品混凝土</w:t>
                                  </w:r>
                                </w:p>
                              </w:txbxContent>
                            </wps:txbx>
                            <wps:bodyPr vert="horz" wrap="square" anchor="t" upright="1"/>
                          </wps:wsp>
                        </a:graphicData>
                      </a:graphic>
                    </wp:anchor>
                  </w:drawing>
                </mc:Choice>
                <mc:Fallback>
                  <w:pict>
                    <v:rect id="矩形 11" o:spid="_x0000_s1026" o:spt="1" style="position:absolute;left:0pt;margin-left:111.75pt;margin-top:7.35pt;height:22.5pt;width:85pt;z-index:251698176;mso-width-relative:page;mso-height-relative:page;" filled="f" stroked="t" coordsize="21600,21600" o:gfxdata="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ryvaW1wAAAAkB&#10;AAAPAAAAAAAAAAEAIAAAACIAAABkcnMvZG93bnJldi54bWxQSwECFAAUAAAACACHTuJA9CNAWBwC&#10;AAA2BAAADgAAAAAAAAABACAAAAAmAQAAZHJzL2Uyb0RvYy54bWxQSwUGAAAAAAYABgBZAQAAtAUA&#10;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商品混凝土</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41184" behindDoc="0" locked="0" layoutInCell="1" allowOverlap="1">
                      <wp:simplePos x="0" y="0"/>
                      <wp:positionH relativeFrom="column">
                        <wp:posOffset>151130</wp:posOffset>
                      </wp:positionH>
                      <wp:positionV relativeFrom="paragraph">
                        <wp:posOffset>289560</wp:posOffset>
                      </wp:positionV>
                      <wp:extent cx="1282065" cy="635"/>
                      <wp:effectExtent l="0" t="48260" r="13335" b="65405"/>
                      <wp:wrapNone/>
                      <wp:docPr id="261" name="直接连接符 13"/>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13" o:spid="_x0000_s1026" o:spt="20" style="position:absolute;left:0pt;margin-left:11.9pt;margin-top:22.8pt;height:0.05pt;width:100.95pt;z-index:251741184;mso-width-relative:page;mso-height-relative:page;" filled="f" stroked="t" coordsize="21600,21600" o:gfxdata="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EuWQB2QAAAAgBAAAPAAAAAAAAAAEAIAAAACIAAABkcnMv&#10;ZG93bnJldi54bWxQSwECFAAUAAAACACHTuJA8r8xmAICAAD4AwAADgAAAAAAAAABACAAAAAoAQAA&#10;ZHJzL2Uyb0RvYy54bWxQSwUGAAAAAAYABgBZAQAAnA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2336" behindDoc="1" locked="0" layoutInCell="1" allowOverlap="1">
                      <wp:simplePos x="0" y="0"/>
                      <wp:positionH relativeFrom="column">
                        <wp:posOffset>397510</wp:posOffset>
                      </wp:positionH>
                      <wp:positionV relativeFrom="paragraph">
                        <wp:posOffset>31115</wp:posOffset>
                      </wp:positionV>
                      <wp:extent cx="1391285" cy="320675"/>
                      <wp:effectExtent l="0" t="0" r="0" b="0"/>
                      <wp:wrapNone/>
                      <wp:docPr id="10" name="矩形 10"/>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建材、水</w:t>
                                  </w:r>
                                </w:p>
                              </w:txbxContent>
                            </wps:txbx>
                            <wps:bodyPr vert="horz" wrap="square" anchor="t" upright="1"/>
                          </wps:wsp>
                        </a:graphicData>
                      </a:graphic>
                    </wp:anchor>
                  </w:drawing>
                </mc:Choice>
                <mc:Fallback>
                  <w:pict>
                    <v:rect id="_x0000_s1026" o:spid="_x0000_s1026" o:spt="1" style="position:absolute;left:0pt;margin-left:31.3pt;margin-top:2.45pt;height:25.25pt;width:109.55pt;z-index:-251654144;mso-width-relative:page;mso-height-relative:page;" filled="f" stroked="f" coordsize="21600,21600" o:gfxdata="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A/+v7dgAAAAHAQAADwAAAAAAAAABACAAAAAiAAAAZHJzL2Rvd25yZXYu&#10;eG1sUEsBAhQAFAAAAAgAh07iQB5F/s3CAQAAdgMAAA4AAAAAAAAAAQAgAAAAJwEAAGRycy9lMm9E&#10;b2MueG1sUEsFBgAAAAAGAAYAWQEAAFs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建材、水</w:t>
                            </w:r>
                          </w:p>
                        </w:txbxContent>
                      </v:textbox>
                    </v:rect>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29920" behindDoc="0" locked="0" layoutInCell="1" allowOverlap="1">
                      <wp:simplePos x="0" y="0"/>
                      <wp:positionH relativeFrom="column">
                        <wp:posOffset>2638425</wp:posOffset>
                      </wp:positionH>
                      <wp:positionV relativeFrom="paragraph">
                        <wp:posOffset>222885</wp:posOffset>
                      </wp:positionV>
                      <wp:extent cx="2510155" cy="320040"/>
                      <wp:effectExtent l="0" t="0" r="0" b="0"/>
                      <wp:wrapNone/>
                      <wp:docPr id="250" name="矩形 14"/>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噪声、废气、生活污水、砂浆水、固废</w:t>
                                  </w:r>
                                </w:p>
                                <w:p>
                                  <w:pPr>
                                    <w:jc w:val="left"/>
                                    <w:rPr>
                                      <w:rFonts w:hint="eastAsia" w:eastAsia="宋体"/>
                                      <w:lang w:val="en-US" w:eastAsia="zh-CN"/>
                                    </w:rPr>
                                  </w:pPr>
                                </w:p>
                              </w:txbxContent>
                            </wps:txbx>
                            <wps:bodyPr vert="horz" wrap="square" anchor="t" upright="1"/>
                          </wps:wsp>
                        </a:graphicData>
                      </a:graphic>
                    </wp:anchor>
                  </w:drawing>
                </mc:Choice>
                <mc:Fallback>
                  <w:pict>
                    <v:rect id="矩形 14" o:spid="_x0000_s1026" o:spt="1" style="position:absolute;left:0pt;margin-left:207.75pt;margin-top:17.55pt;height:25.2pt;width:197.65pt;z-index:251729920;mso-width-relative:page;mso-height-relative:page;" filled="f" stroked="f" coordsize="21600,21600" o:gfxdata="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tKR23ZAAAACQEAAA8AAAAAAAAAAQAgAAAAIgAAAGRycy9kb3ducmV2&#10;LnhtbFBLAQIUABQAAAAIAIdO4kA1qqo3wgEAAHcDAAAOAAAAAAAAAAEAIAAAACgBAABkcnMvZTJv&#10;RG9jLnhtbFBLBQYAAAAABgAGAFkBAABc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噪声、废气、生活污水、砂浆水、固废</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10464" behindDoc="0" locked="0" layoutInCell="1" allowOverlap="1">
                      <wp:simplePos x="0" y="0"/>
                      <wp:positionH relativeFrom="column">
                        <wp:posOffset>1421765</wp:posOffset>
                      </wp:positionH>
                      <wp:positionV relativeFrom="paragraph">
                        <wp:posOffset>245110</wp:posOffset>
                      </wp:positionV>
                      <wp:extent cx="1079500" cy="285750"/>
                      <wp:effectExtent l="4445" t="4445" r="20955" b="14605"/>
                      <wp:wrapNone/>
                      <wp:docPr id="231" name="矩形 15"/>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lang w:val="en-US" w:eastAsia="zh-CN"/>
                                    </w:rPr>
                                  </w:pPr>
                                  <w:r>
                                    <w:rPr>
                                      <w:rFonts w:hint="eastAsia"/>
                                      <w:lang w:val="en-US" w:eastAsia="zh-CN"/>
                                    </w:rPr>
                                    <w:t>砖墙砌筑</w:t>
                                  </w:r>
                                </w:p>
                              </w:txbxContent>
                            </wps:txbx>
                            <wps:bodyPr vert="horz" wrap="square" anchor="t" upright="1"/>
                          </wps:wsp>
                        </a:graphicData>
                      </a:graphic>
                    </wp:anchor>
                  </w:drawing>
                </mc:Choice>
                <mc:Fallback>
                  <w:pict>
                    <v:rect id="矩形 15" o:spid="_x0000_s1026" o:spt="1" style="position:absolute;left:0pt;margin-left:111.95pt;margin-top:19.3pt;height:22.5pt;width:85pt;z-index:251710464;mso-width-relative:page;mso-height-relative:page;" filled="f" stroked="t" coordsize="21600,21600" o:gfxdata="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ZL2bY1wAAAAkB&#10;AAAPAAAAAAAAAAEAIAAAACIAAABkcnMvZG93bnJldi54bWxQSwECFAAUAAAACACHTuJAoYvb+xwC&#10;AAA2BAAADgAAAAAAAAABACAAAAAmAQAAZHJzL2Uyb0RvYy54bWxQSwUGAAAAAAYABgBZAQAAtAUA&#10;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砖墙砌筑</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12512" behindDoc="0" locked="0" layoutInCell="1" allowOverlap="1">
                      <wp:simplePos x="0" y="0"/>
                      <wp:positionH relativeFrom="column">
                        <wp:posOffset>1958340</wp:posOffset>
                      </wp:positionH>
                      <wp:positionV relativeFrom="paragraph">
                        <wp:posOffset>84455</wp:posOffset>
                      </wp:positionV>
                      <wp:extent cx="1905" cy="153670"/>
                      <wp:effectExtent l="48260" t="0" r="64135" b="17780"/>
                      <wp:wrapNone/>
                      <wp:docPr id="233" name="直接连接符 16"/>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16" o:spid="_x0000_s1026" o:spt="20" style="position:absolute;left:0pt;margin-left:154.2pt;margin-top:6.65pt;height:12.1pt;width:0.15pt;z-index:251712512;mso-width-relative:page;mso-height-relative:page;" filled="f" stroked="t" coordsize="21600,21600" o:gfxdata="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btOzp2QAAAAkBAAAPAAAAAAAAAAEAIAAAACIAAABk&#10;cnMvZG93bnJldi54bWxQSwECFAAUAAAACACHTuJAOEkrJgUCAAD4AwAADgAAAAAAAAABACAAAAAo&#10;AQAAZHJzL2Uyb0RvYy54bWxQSwUGAAAAAAYABgBZAQAAnw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1312" behindDoc="1" locked="0" layoutInCell="1" allowOverlap="1">
                      <wp:simplePos x="0" y="0"/>
                      <wp:positionH relativeFrom="column">
                        <wp:posOffset>281940</wp:posOffset>
                      </wp:positionH>
                      <wp:positionV relativeFrom="paragraph">
                        <wp:posOffset>206375</wp:posOffset>
                      </wp:positionV>
                      <wp:extent cx="1391285" cy="320675"/>
                      <wp:effectExtent l="0" t="0" r="0" b="0"/>
                      <wp:wrapNone/>
                      <wp:docPr id="12" name="矩形 12"/>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砖、建材、水</w:t>
                                  </w:r>
                                </w:p>
                              </w:txbxContent>
                            </wps:txbx>
                            <wps:bodyPr vert="horz" wrap="square" anchor="t" upright="1"/>
                          </wps:wsp>
                        </a:graphicData>
                      </a:graphic>
                    </wp:anchor>
                  </w:drawing>
                </mc:Choice>
                <mc:Fallback>
                  <w:pict>
                    <v:rect id="_x0000_s1026" o:spid="_x0000_s1026" o:spt="1" style="position:absolute;left:0pt;margin-left:22.2pt;margin-top:16.25pt;height:25.25pt;width:109.55pt;z-index:-251655168;mso-width-relative:page;mso-height-relative:page;" filled="f" stroked="f" coordsize="21600,21600" o:gfxdata="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xpOh3aAAAACAEAAA8AAAAAAAAAAQAgAAAAIgAAAGRycy9kb3ducmV2&#10;LnhtbFBLAQIUABQAAAAIAIdO4kA7mdUawQEAAHYDAAAOAAAAAAAAAAEAIAAAACkBAABkcnMvZTJv&#10;RG9jLnhtbFBLBQYAAAAABgAGAFkBAABc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砖、建材、水</w:t>
                            </w:r>
                          </w:p>
                        </w:txbxContent>
                      </v:textbox>
                    </v:rect>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23776" behindDoc="0" locked="0" layoutInCell="1" allowOverlap="1">
                      <wp:simplePos x="0" y="0"/>
                      <wp:positionH relativeFrom="column">
                        <wp:posOffset>2509520</wp:posOffset>
                      </wp:positionH>
                      <wp:positionV relativeFrom="paragraph">
                        <wp:posOffset>86995</wp:posOffset>
                      </wp:positionV>
                      <wp:extent cx="169545" cy="635"/>
                      <wp:effectExtent l="5080" t="48895" r="15875" b="64770"/>
                      <wp:wrapNone/>
                      <wp:docPr id="244" name="直接连接符 18"/>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18" o:spid="_x0000_s1026" o:spt="20" style="position:absolute;left:0pt;margin-left:197.6pt;margin-top:6.85pt;height:0.05pt;width:13.35pt;z-index:251723776;mso-width-relative:page;mso-height-relative:page;" filled="f" stroked="t" coordsize="21600,21600" o:gfxdata="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7NTsNkAAAAJAQAADwAAAAAAAAABACAAAAAiAAAAZHJz&#10;L2Rvd25yZXYueG1sUEsBAhQAFAAAAAgAh07iQNvZKqwDAgAA9gMAAA4AAAAAAAAAAQAgAAAAKAEA&#10;AGRycy9lMm9Eb2MueG1sUEsFBgAAAAAGAAYAWQEAAJ0FA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11488" behindDoc="0" locked="0" layoutInCell="1" allowOverlap="1">
                      <wp:simplePos x="0" y="0"/>
                      <wp:positionH relativeFrom="column">
                        <wp:posOffset>1965960</wp:posOffset>
                      </wp:positionH>
                      <wp:positionV relativeFrom="paragraph">
                        <wp:posOffset>248920</wp:posOffset>
                      </wp:positionV>
                      <wp:extent cx="1905" cy="153670"/>
                      <wp:effectExtent l="48260" t="0" r="64135" b="17780"/>
                      <wp:wrapNone/>
                      <wp:docPr id="232" name="直接连接符 26"/>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26" o:spid="_x0000_s1026" o:spt="20" style="position:absolute;left:0pt;margin-left:154.8pt;margin-top:19.6pt;height:12.1pt;width:0.15pt;z-index:251711488;mso-width-relative:page;mso-height-relative:page;" filled="f" stroked="t" coordsize="21600,21600" o:gfxdata="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2k8m2QAAAAkBAAAPAAAAAAAAAAEAIAAAACIAAABk&#10;cnMvZG93bnJldi54bWxQSwECFAAUAAAACACHTuJAawzRlAUCAAD4AwAADgAAAAAAAAABACAAAAAo&#10;AQAAZHJzL2Uyb0RvYy54bWxQSwUGAAAAAAYABgBZAQAAnw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36064" behindDoc="0" locked="0" layoutInCell="1" allowOverlap="1">
                      <wp:simplePos x="0" y="0"/>
                      <wp:positionH relativeFrom="column">
                        <wp:posOffset>137795</wp:posOffset>
                      </wp:positionH>
                      <wp:positionV relativeFrom="paragraph">
                        <wp:posOffset>158115</wp:posOffset>
                      </wp:positionV>
                      <wp:extent cx="1282065" cy="635"/>
                      <wp:effectExtent l="0" t="48260" r="13335" b="65405"/>
                      <wp:wrapNone/>
                      <wp:docPr id="256" name="直接连接符 17"/>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17" o:spid="_x0000_s1026" o:spt="20" style="position:absolute;left:0pt;margin-left:10.85pt;margin-top:12.45pt;height:0.05pt;width:100.95pt;z-index:251736064;mso-width-relative:page;mso-height-relative:page;" filled="f" stroked="t" coordsize="21600,21600" o:gfxdata="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2ndIh2QAAAAgBAAAPAAAAAAAAAAEAIAAAACIAAABkcnMv&#10;ZG93bnJldi54bWxQSwECFAAUAAAACACHTuJAiYIx9wICAAD4AwAADgAAAAAAAAABACAAAAAoAQAA&#10;ZHJzL2Uyb0RvYy54bWxQSwUGAAAAAAYABgBZAQAAnAUAAAAA&#10;">
                      <v:fill on="f" focussize="0,0"/>
                      <v:stroke color="#000000" joinstyle="round" endarrow="open"/>
                      <v:imagedata o:title=""/>
                      <o:lock v:ext="edit" aspectratio="f"/>
                    </v:line>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00224" behindDoc="0" locked="0" layoutInCell="1" allowOverlap="1">
                      <wp:simplePos x="0" y="0"/>
                      <wp:positionH relativeFrom="column">
                        <wp:posOffset>2646680</wp:posOffset>
                      </wp:positionH>
                      <wp:positionV relativeFrom="paragraph">
                        <wp:posOffset>106045</wp:posOffset>
                      </wp:positionV>
                      <wp:extent cx="2510155" cy="320040"/>
                      <wp:effectExtent l="0" t="0" r="0" b="0"/>
                      <wp:wrapNone/>
                      <wp:docPr id="221" name="矩形 24"/>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噪声、生活污水、固废</w:t>
                                  </w:r>
                                </w:p>
                                <w:p>
                                  <w:pPr>
                                    <w:jc w:val="left"/>
                                    <w:rPr>
                                      <w:rFonts w:hint="eastAsia" w:eastAsia="宋体"/>
                                      <w:lang w:val="en-US" w:eastAsia="zh-CN"/>
                                    </w:rPr>
                                  </w:pPr>
                                </w:p>
                              </w:txbxContent>
                            </wps:txbx>
                            <wps:bodyPr vert="horz" wrap="square" anchor="t" upright="1"/>
                          </wps:wsp>
                        </a:graphicData>
                      </a:graphic>
                    </wp:anchor>
                  </w:drawing>
                </mc:Choice>
                <mc:Fallback>
                  <w:pict>
                    <v:rect id="矩形 24" o:spid="_x0000_s1026" o:spt="1" style="position:absolute;left:0pt;margin-left:208.4pt;margin-top:8.35pt;height:25.2pt;width:197.65pt;z-index:251700224;mso-width-relative:page;mso-height-relative:page;" filled="f" stroked="f" coordsize="21600,21600" o:gfxdata="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Nd+VbZAAAACQEAAA8AAAAAAAAAAQAgAAAAIgAAAGRycy9kb3ducmV2&#10;LnhtbFBLAQIUABQAAAAIAIdO4kA+ZDw0wgEAAHcDAAAOAAAAAAAAAAEAIAAAACgBAABkcnMvZTJv&#10;RG9jLnhtbFBLBQYAAAAABgAGAFkBAABc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噪声、生活污水、固废</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09440" behindDoc="0" locked="0" layoutInCell="1" allowOverlap="1">
                      <wp:simplePos x="0" y="0"/>
                      <wp:positionH relativeFrom="column">
                        <wp:posOffset>1422400</wp:posOffset>
                      </wp:positionH>
                      <wp:positionV relativeFrom="paragraph">
                        <wp:posOffset>113030</wp:posOffset>
                      </wp:positionV>
                      <wp:extent cx="1079500" cy="285750"/>
                      <wp:effectExtent l="4445" t="4445" r="20955" b="14605"/>
                      <wp:wrapNone/>
                      <wp:docPr id="230" name="矩形 25"/>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lang w:val="en-US" w:eastAsia="zh-CN"/>
                                    </w:rPr>
                                  </w:pPr>
                                  <w:r>
                                    <w:rPr>
                                      <w:rFonts w:hint="eastAsia"/>
                                      <w:lang w:val="en-US" w:eastAsia="zh-CN"/>
                                    </w:rPr>
                                    <w:t>门窗制作</w:t>
                                  </w:r>
                                </w:p>
                              </w:txbxContent>
                            </wps:txbx>
                            <wps:bodyPr vert="horz" wrap="square" anchor="t" upright="1"/>
                          </wps:wsp>
                        </a:graphicData>
                      </a:graphic>
                    </wp:anchor>
                  </w:drawing>
                </mc:Choice>
                <mc:Fallback>
                  <w:pict>
                    <v:rect id="矩形 25" o:spid="_x0000_s1026" o:spt="1" style="position:absolute;left:0pt;margin-left:112pt;margin-top:8.9pt;height:22.5pt;width:85pt;z-index:251709440;mso-width-relative:page;mso-height-relative:page;" filled="f" stroked="t" coordsize="21600,21600" o:gfxdata="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JnOL/XAAAACQEA&#10;AA8AAAAAAAAAAQAgAAAAIgAAAGRycy9kb3ducmV2LnhtbFBLAQIUABQAAAAIAIdO4kBO1FvpGwIA&#10;ADYEAAAOAAAAAAAAAAEAIAAAACYBAABkcnMvZTJvRG9jLnhtbFBLBQYAAAAABgAGAFkBAACzBQAA&#10;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门窗制作</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24800" behindDoc="0" locked="0" layoutInCell="1" allowOverlap="1">
                      <wp:simplePos x="0" y="0"/>
                      <wp:positionH relativeFrom="column">
                        <wp:posOffset>2515870</wp:posOffset>
                      </wp:positionH>
                      <wp:positionV relativeFrom="paragraph">
                        <wp:posOffset>263525</wp:posOffset>
                      </wp:positionV>
                      <wp:extent cx="169545" cy="635"/>
                      <wp:effectExtent l="5080" t="48895" r="15875" b="64770"/>
                      <wp:wrapNone/>
                      <wp:docPr id="245" name="直接连接符 35"/>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35" o:spid="_x0000_s1026" o:spt="20" style="position:absolute;left:0pt;margin-left:198.1pt;margin-top:20.75pt;height:0.05pt;width:13.35pt;z-index:251724800;mso-width-relative:page;mso-height-relative:page;" filled="f" stroked="t" coordsize="21600,21600" o:gfxdata="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&#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eq76PaAAAACQEAAA8AAAAAAAAAAQAgAAAAIgAAAGRy&#10;cy9kb3ducmV2LnhtbFBLAQIUABQAAAAIAIdO4kD83H9tAwIAAPYDAAAOAAAAAAAAAAEAIAAAACkB&#10;AABkcnMvZTJvRG9jLnhtbFBLBQYAAAAABgAGAFkBAACeBQ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3360" behindDoc="1" locked="0" layoutInCell="1" allowOverlap="1">
                      <wp:simplePos x="0" y="0"/>
                      <wp:positionH relativeFrom="column">
                        <wp:posOffset>357505</wp:posOffset>
                      </wp:positionH>
                      <wp:positionV relativeFrom="paragraph">
                        <wp:posOffset>59055</wp:posOffset>
                      </wp:positionV>
                      <wp:extent cx="1391285" cy="320675"/>
                      <wp:effectExtent l="0" t="0" r="0" b="0"/>
                      <wp:wrapNone/>
                      <wp:docPr id="23" name="矩形 23"/>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木板、钢材</w:t>
                                  </w:r>
                                </w:p>
                              </w:txbxContent>
                            </wps:txbx>
                            <wps:bodyPr vert="horz" wrap="square" anchor="t" upright="1"/>
                          </wps:wsp>
                        </a:graphicData>
                      </a:graphic>
                    </wp:anchor>
                  </w:drawing>
                </mc:Choice>
                <mc:Fallback>
                  <w:pict>
                    <v:rect id="_x0000_s1026" o:spid="_x0000_s1026" o:spt="1" style="position:absolute;left:0pt;margin-left:28.15pt;margin-top:4.65pt;height:25.25pt;width:109.55pt;z-index:-251653120;mso-width-relative:page;mso-height-relative:page;" filled="f" stroked="f" coordsize="21600,21600" o:gfxdata="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eB2pPZAAAABwEAAA8AAAAAAAAAAQAgAAAAIgAAAGRycy9kb3ducmV2&#10;LnhtbFBLAQIUABQAAAAIAIdO4kB/d3ofwgEAAHYDAAAOAAAAAAAAAAEAIAAAACgBAABkcnMvZTJv&#10;RG9jLnhtbFBLBQYAAAAABgAGAFkBAABc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木板、钢材</w:t>
                            </w:r>
                          </w:p>
                        </w:txbxContent>
                      </v:textbox>
                    </v:rect>
                  </w:pict>
                </mc:Fallback>
              </mc:AlternateContent>
            </w:r>
          </w:p>
          <w:p>
            <w:pPr>
              <w:keepNext w:val="0"/>
              <w:keepLines w:val="0"/>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38112" behindDoc="0" locked="0" layoutInCell="1" allowOverlap="1">
                      <wp:simplePos x="0" y="0"/>
                      <wp:positionH relativeFrom="column">
                        <wp:posOffset>143510</wp:posOffset>
                      </wp:positionH>
                      <wp:positionV relativeFrom="paragraph">
                        <wp:posOffset>24765</wp:posOffset>
                      </wp:positionV>
                      <wp:extent cx="1282065" cy="635"/>
                      <wp:effectExtent l="0" t="48260" r="13335" b="65405"/>
                      <wp:wrapNone/>
                      <wp:docPr id="258" name="直接连接符 30"/>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30" o:spid="_x0000_s1026" o:spt="20" style="position:absolute;left:0pt;margin-left:11.3pt;margin-top:1.95pt;height:0.05pt;width:100.95pt;z-index:251738112;mso-width-relative:page;mso-height-relative:page;" filled="f" stroked="t" coordsize="21600,21600" o:gfxdata="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aQwG1wAAAAYBAAAPAAAAAAAAAAEAIAAAACIAAABkcnMvZG93&#10;bnJldi54bWxQSwECFAAUAAAACACHTuJA5Lh+IwECAAD4AwAADgAAAAAAAAABACAAAAAmAQAAZHJz&#10;L2Uyb0RvYy54bWxQSwUGAAAAAAYABgBZAQAAmQ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15584" behindDoc="0" locked="0" layoutInCell="1" allowOverlap="1">
                      <wp:simplePos x="0" y="0"/>
                      <wp:positionH relativeFrom="column">
                        <wp:posOffset>2653665</wp:posOffset>
                      </wp:positionH>
                      <wp:positionV relativeFrom="paragraph">
                        <wp:posOffset>250825</wp:posOffset>
                      </wp:positionV>
                      <wp:extent cx="2510155" cy="320040"/>
                      <wp:effectExtent l="0" t="0" r="0" b="0"/>
                      <wp:wrapNone/>
                      <wp:docPr id="236" name="矩形 33"/>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噪声、废气、生活污水、砂浆水、固废</w:t>
                                  </w:r>
                                </w:p>
                              </w:txbxContent>
                            </wps:txbx>
                            <wps:bodyPr vert="horz" wrap="square" anchor="t" upright="1"/>
                          </wps:wsp>
                        </a:graphicData>
                      </a:graphic>
                    </wp:anchor>
                  </w:drawing>
                </mc:Choice>
                <mc:Fallback>
                  <w:pict>
                    <v:rect id="矩形 33" o:spid="_x0000_s1026" o:spt="1" style="position:absolute;left:0pt;margin-left:208.95pt;margin-top:19.75pt;height:25.2pt;width:197.65pt;z-index:251715584;mso-width-relative:page;mso-height-relative:page;" filled="f" stroked="f" coordsize="21600,21600" o:gfxdata="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B5RlHfbAAAACQEAAA8AAAAAAAAAAQAgAAAAIgAAAGRycy9kb3du&#10;cmV2LnhtbFBLAQIUABQAAAAIAIdO4kDPF03YwwEAAHcDAAAOAAAAAAAAAAEAIAAAACoBAABkcnMv&#10;ZTJvRG9jLnhtbFBLBQYAAAAABgAGAFkBAABf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噪声、废气、生活污水、砂浆水、固废</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14560" behindDoc="0" locked="0" layoutInCell="1" allowOverlap="1">
                      <wp:simplePos x="0" y="0"/>
                      <wp:positionH relativeFrom="column">
                        <wp:posOffset>1433830</wp:posOffset>
                      </wp:positionH>
                      <wp:positionV relativeFrom="paragraph">
                        <wp:posOffset>269875</wp:posOffset>
                      </wp:positionV>
                      <wp:extent cx="1079500" cy="285750"/>
                      <wp:effectExtent l="4445" t="4445" r="20955" b="14605"/>
                      <wp:wrapNone/>
                      <wp:docPr id="235" name="矩形 36"/>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lang w:val="en-US" w:eastAsia="zh-CN"/>
                                    </w:rPr>
                                  </w:pPr>
                                  <w:r>
                                    <w:rPr>
                                      <w:rFonts w:hint="eastAsia"/>
                                      <w:lang w:val="en-US" w:eastAsia="zh-CN"/>
                                    </w:rPr>
                                    <w:t>屋面制作</w:t>
                                  </w:r>
                                </w:p>
                              </w:txbxContent>
                            </wps:txbx>
                            <wps:bodyPr vert="horz" wrap="square" anchor="t" upright="1"/>
                          </wps:wsp>
                        </a:graphicData>
                      </a:graphic>
                    </wp:anchor>
                  </w:drawing>
                </mc:Choice>
                <mc:Fallback>
                  <w:pict>
                    <v:rect id="矩形 36" o:spid="_x0000_s1026" o:spt="1" style="position:absolute;left:0pt;margin-left:112.9pt;margin-top:21.25pt;height:22.5pt;width:85pt;z-index:251714560;mso-width-relative:page;mso-height-relative:page;" filled="f" stroked="t" coordsize="21600,21600" o:gfxdata="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9kdx/1wAAAAkB&#10;AAAPAAAAAAAAAAEAIAAAACIAAABkcnMvZG93bnJldi54bWxQSwECFAAUAAAACACHTuJAIcq78hwC&#10;AAA2BAAADgAAAAAAAAABACAAAAAmAQAAZHJzL2Uyb0RvYy54bWxQSwUGAAAAAAYABgBZAQAAtAUA&#10;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屋面制作</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01248" behindDoc="0" locked="0" layoutInCell="1" allowOverlap="1">
                      <wp:simplePos x="0" y="0"/>
                      <wp:positionH relativeFrom="column">
                        <wp:posOffset>1967865</wp:posOffset>
                      </wp:positionH>
                      <wp:positionV relativeFrom="paragraph">
                        <wp:posOffset>117475</wp:posOffset>
                      </wp:positionV>
                      <wp:extent cx="1905" cy="153670"/>
                      <wp:effectExtent l="48260" t="0" r="64135" b="17780"/>
                      <wp:wrapNone/>
                      <wp:docPr id="222" name="直接连接符 37"/>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37" o:spid="_x0000_s1026" o:spt="20" style="position:absolute;left:0pt;margin-left:154.95pt;margin-top:9.25pt;height:12.1pt;width:0.15pt;z-index:251701248;mso-width-relative:page;mso-height-relative:page;" filled="f" stroked="t" coordsize="21600,21600" o:gfxdata="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PR5WtoAAAAJAQAADwAAAAAAAAABACAAAAAiAAAA&#10;ZHJzL2Rvd25yZXYueG1sUEsBAhQAFAAAAAgAh07iQKu0fyQFAgAA+AMAAA4AAAAAAAAAAQAgAAAA&#10;KQEAAGRycy9lMm9Eb2MueG1sUEsFBgAAAAAGAAYAWQEAAKA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4384" behindDoc="1" locked="0" layoutInCell="1" allowOverlap="1">
                      <wp:simplePos x="0" y="0"/>
                      <wp:positionH relativeFrom="column">
                        <wp:posOffset>244475</wp:posOffset>
                      </wp:positionH>
                      <wp:positionV relativeFrom="paragraph">
                        <wp:posOffset>210185</wp:posOffset>
                      </wp:positionV>
                      <wp:extent cx="1391285" cy="320675"/>
                      <wp:effectExtent l="0" t="0" r="0" b="0"/>
                      <wp:wrapNone/>
                      <wp:docPr id="27" name="矩形 27"/>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防水涂料、建材</w:t>
                                  </w:r>
                                </w:p>
                              </w:txbxContent>
                            </wps:txbx>
                            <wps:bodyPr vert="horz" wrap="square" anchor="t" upright="1"/>
                          </wps:wsp>
                        </a:graphicData>
                      </a:graphic>
                    </wp:anchor>
                  </w:drawing>
                </mc:Choice>
                <mc:Fallback>
                  <w:pict>
                    <v:rect id="_x0000_s1026" o:spid="_x0000_s1026" o:spt="1" style="position:absolute;left:0pt;margin-left:19.25pt;margin-top:16.55pt;height:25.25pt;width:109.55pt;z-index:-251652096;mso-width-relative:page;mso-height-relative:page;" filled="f" stroked="f" coordsize="21600,21600" o:gfxdata="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KZBVnaAAAACAEAAA8AAAAAAAAAAQAgAAAAIgAAAGRycy9kb3ducmV2&#10;LnhtbFBLAQIUABQAAAAIAIdO4kB0yVxqwQEAAHYDAAAOAAAAAAAAAAEAIAAAACkBAABkcnMvZTJv&#10;RG9jLnhtbFBLBQYAAAAABgAGAFkBAABc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防水涂料、建材</w:t>
                            </w:r>
                          </w:p>
                        </w:txbxContent>
                      </v:textbox>
                    </v:rect>
                  </w:pict>
                </mc:Fallback>
              </mc:AlternateContent>
            </w:r>
          </w:p>
          <w:p>
            <w:pPr>
              <w:keepNext w:val="0"/>
              <w:keepLines w:val="0"/>
              <w:suppressLineNumbers w:val="0"/>
              <w:spacing w:before="0" w:beforeAutospacing="0" w:after="0" w:afterAutospacing="0" w:line="360" w:lineRule="auto"/>
              <w:ind w:left="0" w:right="0"/>
              <w:rPr>
                <w:rFonts w:hint="default"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51725824" behindDoc="0" locked="0" layoutInCell="1" allowOverlap="1">
                      <wp:simplePos x="0" y="0"/>
                      <wp:positionH relativeFrom="column">
                        <wp:posOffset>2536190</wp:posOffset>
                      </wp:positionH>
                      <wp:positionV relativeFrom="paragraph">
                        <wp:posOffset>8890</wp:posOffset>
                      </wp:positionV>
                      <wp:extent cx="169545" cy="635"/>
                      <wp:effectExtent l="5080" t="48895" r="15875" b="64770"/>
                      <wp:wrapNone/>
                      <wp:docPr id="246" name="直接连接符 40"/>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40" o:spid="_x0000_s1026" o:spt="20" style="position:absolute;left:0pt;margin-left:199.7pt;margin-top:0.7pt;height:0.05pt;width:13.35pt;z-index:251725824;mso-width-relative:page;mso-height-relative:page;" filled="f" stroked="t" coordsize="21600,21600" o:gfxdata="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nhADu1gAAAAcBAAAPAAAAAAAAAAEAIAAAACIAAABkcnMvZG93&#10;bnJldi54bWxQSwECFAAUAAAACACHTuJAxgCF9QICAAD2AwAADgAAAAAAAAABACAAAAAlAQAAZHJz&#10;L2Uyb0RvYy54bWxQSwUGAAAAAAYABgBZAQAAmQU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18656" behindDoc="0" locked="0" layoutInCell="1" allowOverlap="1">
                      <wp:simplePos x="0" y="0"/>
                      <wp:positionH relativeFrom="column">
                        <wp:posOffset>1973580</wp:posOffset>
                      </wp:positionH>
                      <wp:positionV relativeFrom="paragraph">
                        <wp:posOffset>182880</wp:posOffset>
                      </wp:positionV>
                      <wp:extent cx="1905" cy="153670"/>
                      <wp:effectExtent l="48260" t="0" r="64135" b="17780"/>
                      <wp:wrapNone/>
                      <wp:docPr id="239" name="直接连接符 41"/>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41" o:spid="_x0000_s1026" o:spt="20" style="position:absolute;left:0pt;margin-left:155.4pt;margin-top:14.4pt;height:12.1pt;width:0.15pt;z-index:251718656;mso-width-relative:page;mso-height-relative:page;" filled="f" stroked="t" coordsize="21600,21600" o:gfxdata="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PAiItkAAAAJAQAADwAAAAAAAAABACAAAAAiAAAA&#10;ZHJzL2Rvd25yZXYueG1sUEsBAhQAFAAAAAgAh07iQEWd4gIGAgAA+AMAAA4AAAAAAAAAAQAgAAAA&#10;KAEAAGRycy9lMm9Eb2MueG1sUEsFBgAAAAAGAAYAWQEAAKA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58240" behindDoc="1" locked="0" layoutInCell="1" allowOverlap="1">
                      <wp:simplePos x="0" y="0"/>
                      <wp:positionH relativeFrom="column">
                        <wp:posOffset>610235</wp:posOffset>
                      </wp:positionH>
                      <wp:positionV relativeFrom="paragraph">
                        <wp:posOffset>295910</wp:posOffset>
                      </wp:positionV>
                      <wp:extent cx="1391285" cy="320675"/>
                      <wp:effectExtent l="0" t="0" r="0" b="0"/>
                      <wp:wrapNone/>
                      <wp:docPr id="42" name="矩形 42"/>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管材</w:t>
                                  </w:r>
                                </w:p>
                              </w:txbxContent>
                            </wps:txbx>
                            <wps:bodyPr vert="horz" wrap="square" anchor="t" upright="1"/>
                          </wps:wsp>
                        </a:graphicData>
                      </a:graphic>
                    </wp:anchor>
                  </w:drawing>
                </mc:Choice>
                <mc:Fallback>
                  <w:pict>
                    <v:rect id="_x0000_s1026" o:spid="_x0000_s1026" o:spt="1" style="position:absolute;left:0pt;margin-left:48.05pt;margin-top:23.3pt;height:25.25pt;width:109.55pt;z-index:-251658240;mso-width-relative:page;mso-height-relative:page;" filled="f" stroked="f" coordsize="21600,21600" o:gfxdata="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VF+OE9kAAAAIAQAADwAAAAAAAAABACAAAAAiAAAAZHJzL2Rvd25yZXYu&#10;eG1sUEsBAhQAFAAAAAgAh07iQOAaI0XBAQAAdgMAAA4AAAAAAAAAAQAgAAAAKAEAAGRycy9lMm9E&#10;b2MueG1sUEsFBgAAAAAGAAYAWQEAAFs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管材</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39136" behindDoc="0" locked="0" layoutInCell="1" allowOverlap="1">
                      <wp:simplePos x="0" y="0"/>
                      <wp:positionH relativeFrom="column">
                        <wp:posOffset>156845</wp:posOffset>
                      </wp:positionH>
                      <wp:positionV relativeFrom="paragraph">
                        <wp:posOffset>80645</wp:posOffset>
                      </wp:positionV>
                      <wp:extent cx="1282065" cy="635"/>
                      <wp:effectExtent l="0" t="48260" r="13335" b="65405"/>
                      <wp:wrapNone/>
                      <wp:docPr id="259" name="直接连接符 39"/>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39" o:spid="_x0000_s1026" o:spt="20" style="position:absolute;left:0pt;margin-left:12.35pt;margin-top:6.35pt;height:0.05pt;width:100.95pt;z-index:251739136;mso-width-relative:page;mso-height-relative:page;" filled="f" stroked="t" coordsize="21600,21600" o:gfxdata="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BZctdcAAAAIAQAADwAAAAAAAAABACAAAAAiAAAAZHJzL2Rv&#10;d25yZXYueG1sUEsBAhQAFAAAAAgAh07iQJSFeeECAgAA+AMAAA4AAAAAAAAAAQAgAAAAJgEAAGRy&#10;cy9lMm9Eb2MueG1sUEsFBgAAAAAGAAYAWQEAAJoFAAAAAA==&#10;">
                      <v:fill on="f" focussize="0,0"/>
                      <v:stroke color="#000000" joinstyle="round" endarrow="open"/>
                      <v:imagedata o:title=""/>
                      <o:lock v:ext="edit" aspectratio="f"/>
                    </v:line>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16608" behindDoc="0" locked="0" layoutInCell="1" allowOverlap="1">
                      <wp:simplePos x="0" y="0"/>
                      <wp:positionH relativeFrom="column">
                        <wp:posOffset>2520315</wp:posOffset>
                      </wp:positionH>
                      <wp:positionV relativeFrom="paragraph">
                        <wp:posOffset>188595</wp:posOffset>
                      </wp:positionV>
                      <wp:extent cx="169545" cy="635"/>
                      <wp:effectExtent l="5080" t="48895" r="15875" b="64770"/>
                      <wp:wrapNone/>
                      <wp:docPr id="237" name="直接连接符 49"/>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49" o:spid="_x0000_s1026" o:spt="20" style="position:absolute;left:0pt;margin-left:198.45pt;margin-top:14.85pt;height:0.05pt;width:13.35pt;z-index:251716608;mso-width-relative:page;mso-height-relative:page;" filled="f" stroked="t" coordsize="21600,21600" o:gfxdata="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YjTgP2gAAAAkBAAAPAAAAAAAAAAEAIAAAACIAAABk&#10;cnMvZG93bnJldi54bWxQSwECFAAUAAAACACHTuJAN8OtUAQCAAD2AwAADgAAAAAAAAABACAAAAAp&#10;AQAAZHJzL2Uyb0RvYy54bWxQSwUGAAAAAAYABgBZAQAAnwU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17632" behindDoc="0" locked="0" layoutInCell="1" allowOverlap="1">
                      <wp:simplePos x="0" y="0"/>
                      <wp:positionH relativeFrom="column">
                        <wp:posOffset>1436370</wp:posOffset>
                      </wp:positionH>
                      <wp:positionV relativeFrom="paragraph">
                        <wp:posOffset>40005</wp:posOffset>
                      </wp:positionV>
                      <wp:extent cx="1079500" cy="285750"/>
                      <wp:effectExtent l="4445" t="4445" r="20955" b="14605"/>
                      <wp:wrapNone/>
                      <wp:docPr id="238" name="矩形 50"/>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lang w:val="en-US" w:eastAsia="zh-CN"/>
                                    </w:rPr>
                                  </w:pPr>
                                  <w:r>
                                    <w:rPr>
                                      <w:rFonts w:hint="eastAsia"/>
                                      <w:lang w:val="en-US" w:eastAsia="zh-CN"/>
                                    </w:rPr>
                                    <w:t>管线安装</w:t>
                                  </w:r>
                                </w:p>
                              </w:txbxContent>
                            </wps:txbx>
                            <wps:bodyPr vert="horz" wrap="square" anchor="t" upright="1"/>
                          </wps:wsp>
                        </a:graphicData>
                      </a:graphic>
                    </wp:anchor>
                  </w:drawing>
                </mc:Choice>
                <mc:Fallback>
                  <w:pict>
                    <v:rect id="矩形 50" o:spid="_x0000_s1026" o:spt="1" style="position:absolute;left:0pt;margin-left:113.1pt;margin-top:3.15pt;height:22.5pt;width:85pt;z-index:251717632;mso-width-relative:page;mso-height-relative:page;" filled="f" stroked="t" coordsize="21600,21600" o:gfxdata="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OruuHVAAAACAEAAA8A&#10;AAAAAAAAAQAgAAAAIgAAAGRycy9kb3ducmV2LnhtbFBLAQIUABQAAAAIAIdO4kCXrM51GgIAADYE&#10;AAAOAAAAAAAAAAEAIAAAACQBAABkcnMvZTJvRG9jLnhtbFBLBQYAAAAABgAGAFkBAACwBQ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管线安装</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37088" behindDoc="0" locked="0" layoutInCell="1" allowOverlap="1">
                      <wp:simplePos x="0" y="0"/>
                      <wp:positionH relativeFrom="column">
                        <wp:posOffset>160020</wp:posOffset>
                      </wp:positionH>
                      <wp:positionV relativeFrom="paragraph">
                        <wp:posOffset>248285</wp:posOffset>
                      </wp:positionV>
                      <wp:extent cx="1282065" cy="635"/>
                      <wp:effectExtent l="0" t="48260" r="13335" b="65405"/>
                      <wp:wrapNone/>
                      <wp:docPr id="257" name="直接连接符 52"/>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52" o:spid="_x0000_s1026" o:spt="20" style="position:absolute;left:0pt;margin-left:12.6pt;margin-top:19.55pt;height:0.05pt;width:100.95pt;z-index:251737088;mso-width-relative:page;mso-height-relative:page;" filled="f" stroked="t" coordsize="21600,21600" o:gfxdata="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tF5mPYAAAACAEAAA8AAAAAAAAAAQAgAAAAIgAAAGRycy9k&#10;b3ducmV2LnhtbFBLAQIUABQAAAAIAIdO4kD5autqAgIAAPgDAAAOAAAAAAAAAAEAIAAAACcBAABk&#10;cnMvZTJvRG9jLnhtbFBLBQYAAAAABgAGAFkBAACbBQ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30944" behindDoc="0" locked="0" layoutInCell="1" allowOverlap="1">
                      <wp:simplePos x="0" y="0"/>
                      <wp:positionH relativeFrom="column">
                        <wp:posOffset>2673350</wp:posOffset>
                      </wp:positionH>
                      <wp:positionV relativeFrom="paragraph">
                        <wp:posOffset>35560</wp:posOffset>
                      </wp:positionV>
                      <wp:extent cx="2510155" cy="320040"/>
                      <wp:effectExtent l="0" t="0" r="0" b="0"/>
                      <wp:wrapNone/>
                      <wp:docPr id="251" name="矩形 43"/>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噪声、粉尘、固废</w:t>
                                  </w:r>
                                </w:p>
                                <w:p>
                                  <w:pPr>
                                    <w:jc w:val="left"/>
                                    <w:rPr>
                                      <w:rFonts w:hint="eastAsia" w:eastAsia="宋体"/>
                                      <w:lang w:val="en-US" w:eastAsia="zh-CN"/>
                                    </w:rPr>
                                  </w:pPr>
                                </w:p>
                              </w:txbxContent>
                            </wps:txbx>
                            <wps:bodyPr vert="horz" wrap="square" anchor="t" upright="1"/>
                          </wps:wsp>
                        </a:graphicData>
                      </a:graphic>
                    </wp:anchor>
                  </w:drawing>
                </mc:Choice>
                <mc:Fallback>
                  <w:pict>
                    <v:rect id="矩形 43" o:spid="_x0000_s1026" o:spt="1" style="position:absolute;left:0pt;margin-left:210.5pt;margin-top:2.8pt;height:25.2pt;width:197.65pt;z-index:251730944;mso-width-relative:page;mso-height-relative:page;" filled="f" stroked="f" coordsize="21600,21600" o:gfxdata="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b15T69gAAAAIAQAADwAAAAAAAAABACAAAAAiAAAAZHJzL2Rvd25yZXYu&#10;eG1sUEsBAhQAFAAAAAgAh07iQMrqAM7CAQAAdwMAAA4AAAAAAAAAAQAgAAAAJwEAAGRycy9lMm9E&#10;b2MueG1sUEsFBgAAAAAGAAYAWQEAAFs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噪声、粉尘、固废</w:t>
                            </w:r>
                          </w:p>
                          <w:p>
                            <w:pPr>
                              <w:jc w:val="left"/>
                              <w:rPr>
                                <w:rFonts w:hint="eastAsia" w:eastAsia="宋体"/>
                                <w:lang w:val="en-US" w:eastAsia="zh-CN"/>
                              </w:rPr>
                            </w:pPr>
                          </w:p>
                        </w:txbxContent>
                      </v:textbox>
                    </v:rect>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31968" behindDoc="0" locked="0" layoutInCell="1" allowOverlap="1">
                      <wp:simplePos x="0" y="0"/>
                      <wp:positionH relativeFrom="column">
                        <wp:posOffset>2672715</wp:posOffset>
                      </wp:positionH>
                      <wp:positionV relativeFrom="paragraph">
                        <wp:posOffset>187325</wp:posOffset>
                      </wp:positionV>
                      <wp:extent cx="2510155" cy="320040"/>
                      <wp:effectExtent l="0" t="0" r="0" b="0"/>
                      <wp:wrapNone/>
                      <wp:docPr id="252" name="矩形 53"/>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噪声、废气、生活污水、砂浆水、固废</w:t>
                                  </w:r>
                                </w:p>
                              </w:txbxContent>
                            </wps:txbx>
                            <wps:bodyPr vert="horz" wrap="square" anchor="t" upright="1"/>
                          </wps:wsp>
                        </a:graphicData>
                      </a:graphic>
                    </wp:anchor>
                  </w:drawing>
                </mc:Choice>
                <mc:Fallback>
                  <w:pict>
                    <v:rect id="矩形 53" o:spid="_x0000_s1026" o:spt="1" style="position:absolute;left:0pt;margin-left:210.45pt;margin-top:14.75pt;height:25.2pt;width:197.65pt;z-index:251731968;mso-width-relative:page;mso-height-relative:page;" filled="f" stroked="f" coordsize="21600,21600" o:gfxdata="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FMx7doAAAAJAQAADwAAAAAAAAABACAAAAAiAAAAZHJzL2Rvd25y&#10;ZXYueG1sUEsBAhQAFAAAAAgAh07iQIR+apXDAQAAdwMAAA4AAAAAAAAAAQAgAAAAKQEAAGRycy9l&#10;Mm9Eb2MueG1sUEsFBgAAAAAGAAYAWQEAAF4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噪声、废气、生活污水、砂浆水、固废</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08416" behindDoc="0" locked="0" layoutInCell="1" allowOverlap="1">
                      <wp:simplePos x="0" y="0"/>
                      <wp:positionH relativeFrom="column">
                        <wp:posOffset>1439545</wp:posOffset>
                      </wp:positionH>
                      <wp:positionV relativeFrom="paragraph">
                        <wp:posOffset>204470</wp:posOffset>
                      </wp:positionV>
                      <wp:extent cx="1079500" cy="285750"/>
                      <wp:effectExtent l="4445" t="4445" r="20955" b="14605"/>
                      <wp:wrapNone/>
                      <wp:docPr id="229" name="矩形 54"/>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lang w:val="en-US" w:eastAsia="zh-CN"/>
                                    </w:rPr>
                                  </w:pPr>
                                  <w:r>
                                    <w:rPr>
                                      <w:rFonts w:hint="eastAsia"/>
                                      <w:lang w:val="en-US" w:eastAsia="zh-CN"/>
                                    </w:rPr>
                                    <w:t>抹灰、贴面</w:t>
                                  </w:r>
                                </w:p>
                              </w:txbxContent>
                            </wps:txbx>
                            <wps:bodyPr vert="horz" wrap="square" anchor="t" upright="1"/>
                          </wps:wsp>
                        </a:graphicData>
                      </a:graphic>
                    </wp:anchor>
                  </w:drawing>
                </mc:Choice>
                <mc:Fallback>
                  <w:pict>
                    <v:rect id="矩形 54" o:spid="_x0000_s1026" o:spt="1" style="position:absolute;left:0pt;margin-left:113.35pt;margin-top:16.1pt;height:22.5pt;width:85pt;z-index:251708416;mso-width-relative:page;mso-height-relative:page;" filled="f" stroked="t" coordsize="21600,21600" o:gfxdata="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zrVC1wAAAAkB&#10;AAAPAAAAAAAAAAEAIAAAACIAAABkcnMvZG93bnJldi54bWxQSwECFAAUAAAACACHTuJAiO7XfhwC&#10;AAA2BAAADgAAAAAAAAABACAAAAAmAQAAZHJzL2Uyb0RvYy54bWxQSwUGAAAAAAYABgBZAQAAtAUA&#10;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抹灰、贴面</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20704" behindDoc="0" locked="0" layoutInCell="1" allowOverlap="1">
                      <wp:simplePos x="0" y="0"/>
                      <wp:positionH relativeFrom="column">
                        <wp:posOffset>1980565</wp:posOffset>
                      </wp:positionH>
                      <wp:positionV relativeFrom="paragraph">
                        <wp:posOffset>43180</wp:posOffset>
                      </wp:positionV>
                      <wp:extent cx="1905" cy="153670"/>
                      <wp:effectExtent l="48260" t="0" r="64135" b="17780"/>
                      <wp:wrapNone/>
                      <wp:docPr id="241" name="直接连接符 55"/>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55" o:spid="_x0000_s1026" o:spt="20" style="position:absolute;left:0pt;margin-left:155.95pt;margin-top:3.4pt;height:12.1pt;width:0.15pt;z-index:251720704;mso-width-relative:page;mso-height-relative:page;" filled="f" stroked="t" coordsize="21600,21600" o:gfxdata="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&#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ZxIovYAAAACAEAAA8AAAAAAAAAAQAgAAAAIgAAAGRy&#10;cy9kb3ducmV2LnhtbFBLAQIUABQAAAAIAIdO4kBo/xo6BQIAAPgDAAAOAAAAAAAAAAEAIAAAACcB&#10;AABkcnMvZTJvRG9jLnhtbFBLBQYAAAAABgAGAFkBAACeBQ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46304" behindDoc="0" locked="0" layoutInCell="1" allowOverlap="1">
                      <wp:simplePos x="0" y="0"/>
                      <wp:positionH relativeFrom="column">
                        <wp:posOffset>426720</wp:posOffset>
                      </wp:positionH>
                      <wp:positionV relativeFrom="paragraph">
                        <wp:posOffset>168910</wp:posOffset>
                      </wp:positionV>
                      <wp:extent cx="1391285" cy="320675"/>
                      <wp:effectExtent l="0" t="0" r="0" b="0"/>
                      <wp:wrapNone/>
                      <wp:docPr id="266" name="矩形 51"/>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建材、涂料</w:t>
                                  </w:r>
                                </w:p>
                              </w:txbxContent>
                            </wps:txbx>
                            <wps:bodyPr vert="horz" wrap="square" anchor="t" upright="1"/>
                          </wps:wsp>
                        </a:graphicData>
                      </a:graphic>
                    </wp:anchor>
                  </w:drawing>
                </mc:Choice>
                <mc:Fallback>
                  <w:pict>
                    <v:rect id="矩形 51" o:spid="_x0000_s1026" o:spt="1" style="position:absolute;left:0pt;margin-left:33.6pt;margin-top:13.3pt;height:25.25pt;width:109.55pt;z-index:251746304;mso-width-relative:page;mso-height-relative:page;" filled="f" stroked="f" coordsize="21600,21600" o:gfxdata="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KxDX32QAAAAgBAAAPAAAAAAAAAAEAIAAAACIAAABkcnMvZG93bnJl&#10;di54bWxQSwECFAAUAAAACACHTuJAO2HF6sMBAAB3AwAADgAAAAAAAAABACAAAAAoAQAAZHJzL2Uy&#10;b0RvYy54bWxQSwUGAAAAAAYABgBZAQAAXQU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建材、涂料</w:t>
                            </w:r>
                          </w:p>
                        </w:txbxContent>
                      </v:textbox>
                    </v:rect>
                  </w:pict>
                </mc:Fallback>
              </mc:AlternateContent>
            </w:r>
          </w:p>
          <w:p>
            <w:pPr>
              <w:keepNext w:val="0"/>
              <w:keepLines w:val="0"/>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26848" behindDoc="0" locked="0" layoutInCell="1" allowOverlap="1">
                      <wp:simplePos x="0" y="0"/>
                      <wp:positionH relativeFrom="column">
                        <wp:posOffset>2526030</wp:posOffset>
                      </wp:positionH>
                      <wp:positionV relativeFrom="paragraph">
                        <wp:posOffset>39370</wp:posOffset>
                      </wp:positionV>
                      <wp:extent cx="169545" cy="635"/>
                      <wp:effectExtent l="5080" t="48895" r="15875" b="64770"/>
                      <wp:wrapNone/>
                      <wp:docPr id="247" name="直接连接符 90"/>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90" o:spid="_x0000_s1026" o:spt="20" style="position:absolute;left:0pt;margin-left:198.9pt;margin-top:3.1pt;height:0.05pt;width:13.35pt;z-index:251726848;mso-width-relative:page;mso-height-relative:page;" filled="f" stroked="t" coordsize="21600,21600" o:gfxdata="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tcIgJ2AAAAAcBAAAPAAAAAAAAAAEAIAAAACIAAABkcnMv&#10;ZG93bnJldi54bWxQSwECFAAUAAAACACHTuJAYV5/qwMCAAD2AwAADgAAAAAAAAABACAAAAAnAQAA&#10;ZHJzL2Uyb0RvYy54bWxQSwUGAAAAAAYABgBZAQAAnAU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19680" behindDoc="0" locked="0" layoutInCell="1" allowOverlap="1">
                      <wp:simplePos x="0" y="0"/>
                      <wp:positionH relativeFrom="column">
                        <wp:posOffset>1983105</wp:posOffset>
                      </wp:positionH>
                      <wp:positionV relativeFrom="paragraph">
                        <wp:posOffset>201295</wp:posOffset>
                      </wp:positionV>
                      <wp:extent cx="1905" cy="153670"/>
                      <wp:effectExtent l="48260" t="0" r="64135" b="17780"/>
                      <wp:wrapNone/>
                      <wp:docPr id="240" name="直接连接符 91"/>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91" o:spid="_x0000_s1026" o:spt="20" style="position:absolute;left:0pt;margin-left:156.15pt;margin-top:15.85pt;height:12.1pt;width:0.15pt;z-index:251719680;mso-width-relative:page;mso-height-relative:page;" filled="f" stroked="t" coordsize="21600,21600" o:gfxdata="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vv5I92QAAAAkBAAAPAAAAAAAAAAEAIAAAACIAAABk&#10;cnMvZG93bnJldi54bWxQSwECFAAUAAAACACHTuJA2dmpRwUCAAD4AwAADgAAAAAAAAABACAAAAAo&#10;AQAAZHJzL2Uyb0RvYy54bWxQSwUGAAAAAAYABgBZAQAAnw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45280" behindDoc="0" locked="0" layoutInCell="1" allowOverlap="1">
                      <wp:simplePos x="0" y="0"/>
                      <wp:positionH relativeFrom="column">
                        <wp:posOffset>661035</wp:posOffset>
                      </wp:positionH>
                      <wp:positionV relativeFrom="paragraph">
                        <wp:posOffset>346075</wp:posOffset>
                      </wp:positionV>
                      <wp:extent cx="1391285" cy="320675"/>
                      <wp:effectExtent l="0" t="0" r="0" b="0"/>
                      <wp:wrapNone/>
                      <wp:docPr id="265" name="矩形 92"/>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油漆</w:t>
                                  </w:r>
                                </w:p>
                              </w:txbxContent>
                            </wps:txbx>
                            <wps:bodyPr vert="horz" wrap="square" anchor="t" upright="1"/>
                          </wps:wsp>
                        </a:graphicData>
                      </a:graphic>
                    </wp:anchor>
                  </w:drawing>
                </mc:Choice>
                <mc:Fallback>
                  <w:pict>
                    <v:rect id="矩形 92" o:spid="_x0000_s1026" o:spt="1" style="position:absolute;left:0pt;margin-left:52.05pt;margin-top:27.25pt;height:25.25pt;width:109.55pt;z-index:251745280;mso-width-relative:page;mso-height-relative:page;" filled="f" stroked="f" coordsize="21600,21600" o:gfxdata="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DmEkm2QAAAAoBAAAPAAAAAAAAAAEAIAAAACIAAABkcnMvZG93bnJl&#10;di54bWxQSwECFAAUAAAACACHTuJAW+tSAsMBAAB3AwAADgAAAAAAAAABACAAAAAoAQAAZHJzL2Uy&#10;b0RvYy54bWxQSwUGAAAAAAYABgBZAQAAXQU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油漆</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32992" behindDoc="0" locked="0" layoutInCell="1" allowOverlap="1">
                      <wp:simplePos x="0" y="0"/>
                      <wp:positionH relativeFrom="column">
                        <wp:posOffset>2677160</wp:posOffset>
                      </wp:positionH>
                      <wp:positionV relativeFrom="paragraph">
                        <wp:posOffset>362585</wp:posOffset>
                      </wp:positionV>
                      <wp:extent cx="2510155" cy="320040"/>
                      <wp:effectExtent l="0" t="0" r="0" b="0"/>
                      <wp:wrapNone/>
                      <wp:docPr id="253" name="矩形 95"/>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噪声、有机废气、固废</w:t>
                                  </w:r>
                                </w:p>
                                <w:p>
                                  <w:pPr>
                                    <w:jc w:val="left"/>
                                    <w:rPr>
                                      <w:rFonts w:hint="eastAsia" w:eastAsia="宋体"/>
                                      <w:lang w:val="en-US" w:eastAsia="zh-CN"/>
                                    </w:rPr>
                                  </w:pPr>
                                </w:p>
                              </w:txbxContent>
                            </wps:txbx>
                            <wps:bodyPr vert="horz" wrap="square" anchor="t" upright="1"/>
                          </wps:wsp>
                        </a:graphicData>
                      </a:graphic>
                    </wp:anchor>
                  </w:drawing>
                </mc:Choice>
                <mc:Fallback>
                  <w:pict>
                    <v:rect id="矩形 95" o:spid="_x0000_s1026" o:spt="1" style="position:absolute;left:0pt;margin-left:210.8pt;margin-top:28.55pt;height:25.2pt;width:197.65pt;z-index:251732992;mso-width-relative:page;mso-height-relative:page;" filled="f" stroked="f" coordsize="21600,21600" o:gfxdata="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pUAnTbAAAACgEAAA8AAAAAAAAAAQAgAAAAIgAAAGRycy9kb3du&#10;cmV2LnhtbFBLAQIUABQAAAAIAIdO4kCRo+CewwEAAHcDAAAOAAAAAAAAAAEAIAAAACoBAABkcnMv&#10;ZTJvRG9jLnhtbFBLBQYAAAAABgAGAFkBAABf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噪声、有机废气、固废</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07392" behindDoc="0" locked="0" layoutInCell="1" allowOverlap="1">
                      <wp:simplePos x="0" y="0"/>
                      <wp:positionH relativeFrom="column">
                        <wp:posOffset>1447165</wp:posOffset>
                      </wp:positionH>
                      <wp:positionV relativeFrom="paragraph">
                        <wp:posOffset>386715</wp:posOffset>
                      </wp:positionV>
                      <wp:extent cx="1079500" cy="285750"/>
                      <wp:effectExtent l="4445" t="4445" r="20955" b="14605"/>
                      <wp:wrapNone/>
                      <wp:docPr id="228" name="矩形 109"/>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lang w:val="en-US" w:eastAsia="zh-CN"/>
                                    </w:rPr>
                                  </w:pPr>
                                  <w:r>
                                    <w:rPr>
                                      <w:rFonts w:hint="eastAsia"/>
                                      <w:lang w:val="en-US" w:eastAsia="zh-CN"/>
                                    </w:rPr>
                                    <w:t>油漆施工</w:t>
                                  </w:r>
                                </w:p>
                              </w:txbxContent>
                            </wps:txbx>
                            <wps:bodyPr vert="horz" wrap="square" anchor="t" upright="1"/>
                          </wps:wsp>
                        </a:graphicData>
                      </a:graphic>
                    </wp:anchor>
                  </w:drawing>
                </mc:Choice>
                <mc:Fallback>
                  <w:pict>
                    <v:rect id="矩形 109" o:spid="_x0000_s1026" o:spt="1" style="position:absolute;left:0pt;margin-left:113.95pt;margin-top:30.45pt;height:22.5pt;width:85pt;z-index:251707392;mso-width-relative:page;mso-height-relative:page;" filled="f" stroked="t" coordsize="21600,21600" o:gfxdata="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O+QfA1wAAAAoB&#10;AAAPAAAAAAAAAAEAIAAAACIAAABkcnMvZG93bnJldi54bWxQSwECFAAUAAAACACHTuJAI92BjxwC&#10;AAA3BAAADgAAAAAAAAABACAAAAAmAQAAZHJzL2Uyb0RvYy54bWxQSwUGAAAAAAYABgBZAQAAtAUA&#10;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油漆施工</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42208" behindDoc="0" locked="0" layoutInCell="1" allowOverlap="1">
                      <wp:simplePos x="0" y="0"/>
                      <wp:positionH relativeFrom="column">
                        <wp:posOffset>158750</wp:posOffset>
                      </wp:positionH>
                      <wp:positionV relativeFrom="paragraph">
                        <wp:posOffset>128270</wp:posOffset>
                      </wp:positionV>
                      <wp:extent cx="1282065" cy="635"/>
                      <wp:effectExtent l="0" t="48260" r="13335" b="65405"/>
                      <wp:wrapNone/>
                      <wp:docPr id="262" name="直接连接符 88"/>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88" o:spid="_x0000_s1026" o:spt="20" style="position:absolute;left:0pt;margin-left:12.5pt;margin-top:10.1pt;height:0.05pt;width:100.95pt;z-index:251742208;mso-width-relative:page;mso-height-relative:page;" filled="f" stroked="t" coordsize="21600,21600" o:gfxdata="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fMO/HYAAAACAEAAA8AAAAAAAAAAQAgAAAAIgAAAGRycy9k&#10;b3ducmV2LnhtbFBLAQIUABQAAAAIAIdO4kBWnTDiAgIAAPgDAAAOAAAAAAAAAAEAIAAAACcBAABk&#10;cnMvZTJvRG9jLnhtbFBLBQYAAAAABgAGAFkBAACbBQAAAAA=&#10;">
                      <v:fill on="f" focussize="0,0"/>
                      <v:stroke color="#000000" joinstyle="round" endarrow="open"/>
                      <v:imagedata o:title=""/>
                      <o:lock v:ext="edit" aspectratio="f"/>
                    </v:line>
                  </w:pict>
                </mc:Fallback>
              </mc:AlternateContent>
            </w:r>
          </w:p>
          <w:p>
            <w:pPr>
              <w:keepNext w:val="0"/>
              <w:keepLines w:val="0"/>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27872" behindDoc="0" locked="0" layoutInCell="1" allowOverlap="1">
                      <wp:simplePos x="0" y="0"/>
                      <wp:positionH relativeFrom="column">
                        <wp:posOffset>2533015</wp:posOffset>
                      </wp:positionH>
                      <wp:positionV relativeFrom="paragraph">
                        <wp:posOffset>123825</wp:posOffset>
                      </wp:positionV>
                      <wp:extent cx="169545" cy="635"/>
                      <wp:effectExtent l="5080" t="48895" r="15875" b="64770"/>
                      <wp:wrapNone/>
                      <wp:docPr id="248" name="直接连接符 105"/>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105" o:spid="_x0000_s1026" o:spt="20" style="position:absolute;left:0pt;margin-left:199.45pt;margin-top:9.75pt;height:0.05pt;width:13.35pt;z-index:251727872;mso-width-relative:page;mso-height-relative:page;" filled="f" stroked="t" coordsize="21600,21600" o:gfxdata="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4hTvOtkAAAAJAQAADwAAAAAAAAABACAAAAAiAAAA&#10;ZHJzL2Rvd25yZXYueG1sUEsBAhQAFAAAAAgAh07iQIWQal8GAgAA9wMAAA4AAAAAAAAAAQAgAAAA&#10;KAEAAGRycy9lMm9Eb2MueG1sUEsFBgAAAAAGAAYAWQEAAKAFA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21728" behindDoc="0" locked="0" layoutInCell="1" allowOverlap="1">
                      <wp:simplePos x="0" y="0"/>
                      <wp:positionH relativeFrom="column">
                        <wp:posOffset>1988820</wp:posOffset>
                      </wp:positionH>
                      <wp:positionV relativeFrom="paragraph">
                        <wp:posOffset>294640</wp:posOffset>
                      </wp:positionV>
                      <wp:extent cx="1905" cy="153670"/>
                      <wp:effectExtent l="48260" t="0" r="64135" b="17780"/>
                      <wp:wrapNone/>
                      <wp:docPr id="242" name="直接连接符 107"/>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107" o:spid="_x0000_s1026" o:spt="20" style="position:absolute;left:0pt;margin-left:156.6pt;margin-top:23.2pt;height:12.1pt;width:0.15pt;z-index:251721728;mso-width-relative:page;mso-height-relative:page;" filled="f" stroked="t" coordsize="21600,21600" o:gfxdata="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tdWzNkAAAAJAQAADwAAAAAAAAABACAAAAAiAAAA&#10;ZHJzL2Rvd25yZXYueG1sUEsBAhQAFAAAAAgAh07iQI34keQGAgAA+QMAAA4AAAAAAAAAAQAgAAAA&#10;KAEAAGRycy9lMm9Eb2MueG1sUEsFBgAAAAAGAAYAWQEAAKA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43232" behindDoc="0" locked="0" layoutInCell="1" allowOverlap="1">
                      <wp:simplePos x="0" y="0"/>
                      <wp:positionH relativeFrom="column">
                        <wp:posOffset>172085</wp:posOffset>
                      </wp:positionH>
                      <wp:positionV relativeFrom="paragraph">
                        <wp:posOffset>199390</wp:posOffset>
                      </wp:positionV>
                      <wp:extent cx="1282065" cy="635"/>
                      <wp:effectExtent l="0" t="48260" r="13335" b="65405"/>
                      <wp:wrapNone/>
                      <wp:docPr id="263" name="直接连接符 93"/>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93" o:spid="_x0000_s1026" o:spt="20" style="position:absolute;left:0pt;margin-left:13.55pt;margin-top:15.7pt;height:0.05pt;width:100.95pt;z-index:251743232;mso-width-relative:page;mso-height-relative:page;" filled="f" stroked="t" coordsize="21600,21600" o:gfxdata="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baP0HYAAAACAEAAA8AAAAAAAAAAQAgAAAAIgAAAGRycy9k&#10;b3ducmV2LnhtbFBLAQIUABQAAAAIAIdO4kBhftv5AgIAAPgDAAAOAAAAAAAAAAEAIAAAACcBAABk&#10;cnMvZTJvRG9jLnhtbFBLBQYAAAAABgAGAFkBAACbBQAAAAA=&#10;">
                      <v:fill on="f" focussize="0,0"/>
                      <v:stroke color="#000000" joinstyle="round" endarrow="open"/>
                      <v:imagedata o:title=""/>
                      <o:lock v:ext="edit" aspectratio="f"/>
                    </v:line>
                  </w:pict>
                </mc:Fallback>
              </mc:AlternateContent>
            </w:r>
          </w:p>
          <w:p>
            <w:pPr>
              <w:keepNext w:val="0"/>
              <w:keepLines w:val="0"/>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744256" behindDoc="0" locked="0" layoutInCell="1" allowOverlap="1">
                      <wp:simplePos x="0" y="0"/>
                      <wp:positionH relativeFrom="column">
                        <wp:posOffset>177800</wp:posOffset>
                      </wp:positionH>
                      <wp:positionV relativeFrom="paragraph">
                        <wp:posOffset>256540</wp:posOffset>
                      </wp:positionV>
                      <wp:extent cx="1282065" cy="635"/>
                      <wp:effectExtent l="0" t="48260" r="13335" b="65405"/>
                      <wp:wrapNone/>
                      <wp:docPr id="264" name="直接连接符 130"/>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130" o:spid="_x0000_s1026" o:spt="20" style="position:absolute;left:0pt;margin-left:14pt;margin-top:20.2pt;height:0.05pt;width:100.95pt;z-index:251744256;mso-width-relative:page;mso-height-relative:page;" filled="f" stroked="t" coordsize="21600,21600" o:gfxdata="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zXndkAAAAIAQAADwAAAAAAAAABACAAAAAiAAAAZHJz&#10;L2Rvd25yZXYueG1sUEsBAhQAFAAAAAgAh07iQGxP/ccDAgAA+QMAAA4AAAAAAAAAAQAgAAAAKAEA&#10;AGRycy9lMm9Eb2MueG1sUEsFBgAAAAAGAAYAWQEAAJ0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34016" behindDoc="0" locked="0" layoutInCell="1" allowOverlap="1">
                      <wp:simplePos x="0" y="0"/>
                      <wp:positionH relativeFrom="column">
                        <wp:posOffset>2678430</wp:posOffset>
                      </wp:positionH>
                      <wp:positionV relativeFrom="paragraph">
                        <wp:posOffset>55880</wp:posOffset>
                      </wp:positionV>
                      <wp:extent cx="2510155" cy="320040"/>
                      <wp:effectExtent l="0" t="0" r="0" b="0"/>
                      <wp:wrapNone/>
                      <wp:docPr id="254" name="矩形 135"/>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噪声、废气、生活污水、砂浆水、固废</w:t>
                                  </w:r>
                                </w:p>
                              </w:txbxContent>
                            </wps:txbx>
                            <wps:bodyPr vert="horz" wrap="square" anchor="t" upright="1"/>
                          </wps:wsp>
                        </a:graphicData>
                      </a:graphic>
                    </wp:anchor>
                  </w:drawing>
                </mc:Choice>
                <mc:Fallback>
                  <w:pict>
                    <v:rect id="矩形 135" o:spid="_x0000_s1026" o:spt="1" style="position:absolute;left:0pt;margin-left:210.9pt;margin-top:4.4pt;height:25.2pt;width:197.65pt;z-index:251734016;mso-width-relative:page;mso-height-relative:page;" filled="f" stroked="f" coordsize="21600,21600" o:gfxdata="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N/S84doAAAAIAQAADwAAAAAAAAABACAAAAAiAAAAZHJzL2Rvd25y&#10;ZXYueG1sUEsBAhQAFAAAAAgAh07iQHSKhsHDAQAAeAMAAA4AAAAAAAAAAQAgAAAAKQEAAGRycy9l&#10;Mm9Eb2MueG1sUEsFBgAAAAAGAAYAWQEAAF4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噪声、废气、生活污水、砂浆水、固废</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28896" behindDoc="0" locked="0" layoutInCell="1" allowOverlap="1">
                      <wp:simplePos x="0" y="0"/>
                      <wp:positionH relativeFrom="column">
                        <wp:posOffset>2553970</wp:posOffset>
                      </wp:positionH>
                      <wp:positionV relativeFrom="paragraph">
                        <wp:posOffset>203835</wp:posOffset>
                      </wp:positionV>
                      <wp:extent cx="169545" cy="635"/>
                      <wp:effectExtent l="5080" t="48895" r="15875" b="64770"/>
                      <wp:wrapNone/>
                      <wp:docPr id="249" name="直接连接符 146"/>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a:effectLst/>
                            </wps:spPr>
                            <wps:bodyPr upright="1"/>
                          </wps:wsp>
                        </a:graphicData>
                      </a:graphic>
                    </wp:anchor>
                  </w:drawing>
                </mc:Choice>
                <mc:Fallback>
                  <w:pict>
                    <v:line id="直接连接符 146" o:spid="_x0000_s1026" o:spt="20" style="position:absolute;left:0pt;margin-left:201.1pt;margin-top:16.05pt;height:0.05pt;width:13.35pt;z-index:251728896;mso-width-relative:page;mso-height-relative:page;" filled="f" stroked="t" coordsize="21600,21600" o:gfxdata="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LW59kAAAAJAQAADwAAAAAAAAABACAAAAAiAAAAZHJz&#10;L2Rvd25yZXYueG1sUEsBAhQAFAAAAAgAh07iQHQXcc0DAgAA9wMAAA4AAAAAAAAAAQAgAAAAKAEA&#10;AGRycy9lMm9Eb2MueG1sUEsFBgAAAAAGAAYAWQEAAJ0FA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722752" behindDoc="0" locked="0" layoutInCell="1" allowOverlap="1">
                      <wp:simplePos x="0" y="0"/>
                      <wp:positionH relativeFrom="column">
                        <wp:posOffset>1452880</wp:posOffset>
                      </wp:positionH>
                      <wp:positionV relativeFrom="paragraph">
                        <wp:posOffset>46990</wp:posOffset>
                      </wp:positionV>
                      <wp:extent cx="1079500" cy="285750"/>
                      <wp:effectExtent l="4445" t="4445" r="20955" b="14605"/>
                      <wp:wrapNone/>
                      <wp:docPr id="243" name="矩形 151"/>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lang w:val="en-US" w:eastAsia="zh-CN"/>
                                    </w:rPr>
                                  </w:pPr>
                                  <w:r>
                                    <w:rPr>
                                      <w:rFonts w:hint="eastAsia"/>
                                      <w:lang w:val="en-US" w:eastAsia="zh-CN"/>
                                    </w:rPr>
                                    <w:t>附属工程</w:t>
                                  </w:r>
                                </w:p>
                              </w:txbxContent>
                            </wps:txbx>
                            <wps:bodyPr vert="horz" wrap="square" anchor="t" upright="1"/>
                          </wps:wsp>
                        </a:graphicData>
                      </a:graphic>
                    </wp:anchor>
                  </w:drawing>
                </mc:Choice>
                <mc:Fallback>
                  <w:pict>
                    <v:rect id="矩形 151" o:spid="_x0000_s1026" o:spt="1" style="position:absolute;left:0pt;margin-left:114.4pt;margin-top:3.7pt;height:22.5pt;width:85pt;z-index:251722752;mso-width-relative:page;mso-height-relative:page;" filled="f" stroked="t" coordsize="21600,21600" o:gfxdata="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6Ww9i1gAAAAgB&#10;AAAPAAAAAAAAAAEAIAAAACIAAABkcnMvZG93bnJldi54bWxQSwECFAAUAAAACACHTuJAZ8FKiB0C&#10;AAA3BAAADgAAAAAAAAABACAAAAAlAQAAZHJzL2Uyb0RvYy54bWxQSwUGAAAAAAYABgBZAQAAtAUA&#10;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附属工程</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5408" behindDoc="1" locked="0" layoutInCell="1" allowOverlap="1">
                      <wp:simplePos x="0" y="0"/>
                      <wp:positionH relativeFrom="column">
                        <wp:posOffset>520700</wp:posOffset>
                      </wp:positionH>
                      <wp:positionV relativeFrom="paragraph">
                        <wp:posOffset>15240</wp:posOffset>
                      </wp:positionV>
                      <wp:extent cx="1391285" cy="320675"/>
                      <wp:effectExtent l="0" t="0" r="0" b="0"/>
                      <wp:wrapNone/>
                      <wp:docPr id="122" name="矩形 122"/>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a:effectLst/>
                            </wps:spPr>
                            <wps:txbx>
                              <w:txbxContent>
                                <w:p>
                                  <w:pPr>
                                    <w:jc w:val="left"/>
                                    <w:rPr>
                                      <w:rFonts w:hint="eastAsia" w:eastAsia="宋体"/>
                                      <w:lang w:val="en-US" w:eastAsia="zh-CN"/>
                                    </w:rPr>
                                  </w:pPr>
                                  <w:r>
                                    <w:rPr>
                                      <w:rFonts w:hint="eastAsia"/>
                                      <w:color w:val="auto"/>
                                      <w:lang w:val="en-US" w:eastAsia="zh-CN"/>
                                    </w:rPr>
                                    <w:t>建材、水</w:t>
                                  </w:r>
                                </w:p>
                              </w:txbxContent>
                            </wps:txbx>
                            <wps:bodyPr vert="horz" wrap="square" anchor="t" upright="1"/>
                          </wps:wsp>
                        </a:graphicData>
                      </a:graphic>
                    </wp:anchor>
                  </w:drawing>
                </mc:Choice>
                <mc:Fallback>
                  <w:pict>
                    <v:rect id="_x0000_s1026" o:spid="_x0000_s1026" o:spt="1" style="position:absolute;left:0pt;margin-left:41pt;margin-top:1.2pt;height:25.25pt;width:109.55pt;z-index:-251651072;mso-width-relative:page;mso-height-relative:page;" filled="f" stroked="f" coordsize="21600,21600" o:gfxdata="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htDlbZAAAABwEAAA8AAAAAAAAAAQAgAAAAIgAAAGRycy9kb3ducmV2&#10;LnhtbFBLAQIUABQAAAAIAIdO4kDNwPeKwgEAAHgDAAAOAAAAAAAAAAEAIAAAACgBAABkcnMvZTJv&#10;RG9jLnhtbFBLBQYAAAAABgAGAFkBAABc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建材、水</w:t>
                            </w:r>
                          </w:p>
                        </w:txbxContent>
                      </v:textbox>
                    </v:rect>
                  </w:pict>
                </mc:Fallback>
              </mc:AlternateContent>
            </w:r>
          </w:p>
          <w:p>
            <w:pPr>
              <w:keepNext w:val="0"/>
              <w:keepLines w:val="0"/>
              <w:numPr>
                <w:ilvl w:val="0"/>
                <w:numId w:val="0"/>
              </w:numPr>
              <w:suppressLineNumbers w:val="0"/>
              <w:tabs>
                <w:tab w:val="left" w:pos="975"/>
              </w:tabs>
              <w:spacing w:before="0" w:beforeAutospacing="0" w:after="0" w:afterAutospacing="0" w:line="360" w:lineRule="auto"/>
              <w:ind w:left="0" w:right="0" w:firstLine="420"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注：附属工程包括道路、围墙、化粪池、下水道等。</w:t>
            </w:r>
          </w:p>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b/>
                <w:color w:val="auto"/>
                <w:sz w:val="24"/>
                <w:highlight w:val="none"/>
                <w:lang w:val="en-US" w:eastAsia="zh-CN"/>
              </w:rPr>
            </w:pPr>
            <w:r>
              <w:rPr>
                <w:rFonts w:hint="eastAsia" w:ascii="Times New Roman" w:hAnsi="Times New Roman" w:eastAsia="宋体"/>
                <w:b/>
                <w:color w:val="auto"/>
                <w:sz w:val="24"/>
                <w:highlight w:val="none"/>
                <w:lang w:val="en-US" w:eastAsia="zh-CN"/>
              </w:rPr>
              <w:t>图5-1 项目施工期工艺流程及产污节点</w:t>
            </w:r>
          </w:p>
          <w:p>
            <w:pPr>
              <w:keepNext w:val="0"/>
              <w:keepLines w:val="0"/>
              <w:suppressLineNumbers w:val="0"/>
              <w:tabs>
                <w:tab w:val="left" w:pos="975"/>
              </w:tabs>
              <w:spacing w:before="0" w:beforeAutospacing="0" w:after="0" w:afterAutospacing="0" w:line="360" w:lineRule="auto"/>
              <w:ind w:left="0" w:right="0" w:firstLine="562" w:firstLineChars="200"/>
              <w:rPr>
                <w:rFonts w:hint="eastAsia" w:ascii="Times New Roman" w:hAnsi="Times New Roman" w:eastAsia="宋体"/>
                <w:b/>
                <w:color w:val="auto"/>
                <w:sz w:val="28"/>
                <w:szCs w:val="28"/>
                <w:highlight w:val="none"/>
              </w:rPr>
            </w:pPr>
            <w:r>
              <w:rPr>
                <w:rFonts w:hint="eastAsia" w:ascii="Times New Roman" w:hAnsi="Times New Roman" w:eastAsia="宋体"/>
                <w:b/>
                <w:color w:val="auto"/>
                <w:sz w:val="28"/>
                <w:szCs w:val="28"/>
                <w:highlight w:val="none"/>
              </w:rPr>
              <w:t>2、</w:t>
            </w:r>
            <w:r>
              <w:rPr>
                <w:rFonts w:hint="default" w:ascii="Times New Roman" w:hAnsi="Times New Roman" w:eastAsia="宋体"/>
                <w:b/>
                <w:color w:val="auto"/>
                <w:sz w:val="28"/>
                <w:szCs w:val="28"/>
                <w:highlight w:val="none"/>
              </w:rPr>
              <w:t>工艺流程说明</w:t>
            </w:r>
            <w:r>
              <w:rPr>
                <w:rFonts w:hint="eastAsia" w:ascii="Times New Roman" w:hAnsi="Times New Roman" w:eastAsia="宋体"/>
                <w:b/>
                <w:color w:val="auto"/>
                <w:sz w:val="28"/>
                <w:szCs w:val="28"/>
                <w:highlight w:val="none"/>
              </w:rPr>
              <w:t>简述</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1</w:t>
            </w:r>
            <w:r>
              <w:rPr>
                <w:rFonts w:hint="eastAsia" w:ascii="Times New Roman" w:hAnsi="Times New Roman" w:eastAsia="宋体" w:cs="宋体"/>
                <w:color w:val="auto"/>
                <w:sz w:val="24"/>
                <w:highlight w:val="none"/>
                <w:lang w:val="en-US" w:eastAsia="zh-CN"/>
              </w:rPr>
              <w:t>）填土、夯实</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填土施工时，一般将软弱土层挖至天然好土，然后作砂框，用平板振荡器挡实，再进行分层填土，用</w:t>
            </w:r>
            <w:r>
              <w:rPr>
                <w:rFonts w:hint="default" w:ascii="Times New Roman" w:hAnsi="Times New Roman" w:eastAsia="宋体" w:cs="Times New Roman"/>
                <w:color w:val="auto"/>
                <w:sz w:val="24"/>
                <w:highlight w:val="none"/>
                <w:lang w:val="en-US" w:eastAsia="zh-CN"/>
              </w:rPr>
              <w:t>10～12</w:t>
            </w:r>
            <w:r>
              <w:rPr>
                <w:rFonts w:hint="eastAsia" w:ascii="Times New Roman" w:hAnsi="Times New Roman" w:eastAsia="宋体" w:cs="宋体"/>
                <w:color w:val="auto"/>
                <w:sz w:val="24"/>
                <w:highlight w:val="none"/>
                <w:lang w:val="en-US" w:eastAsia="zh-CN"/>
              </w:rPr>
              <w:t>吨的压路机碾压，碾压时需浇水湿润填土以利于密实。</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夯实是利用起重机械吊起特制的重锤来冲击基土表面，使地基受到压密。适用于加固稍湿的压缩不均的各种土和人工填土。一般夯打为</w:t>
            </w:r>
            <w:r>
              <w:rPr>
                <w:rFonts w:hint="default" w:ascii="Times New Roman" w:hAnsi="Times New Roman" w:eastAsia="宋体" w:cs="Times New Roman"/>
                <w:color w:val="auto"/>
                <w:sz w:val="24"/>
                <w:highlight w:val="none"/>
                <w:lang w:val="en-US" w:eastAsia="zh-CN"/>
              </w:rPr>
              <w:t>8～12</w:t>
            </w:r>
            <w:r>
              <w:rPr>
                <w:rFonts w:hint="eastAsia" w:ascii="Times New Roman" w:hAnsi="Times New Roman" w:eastAsia="宋体" w:cs="宋体"/>
                <w:color w:val="auto"/>
                <w:sz w:val="24"/>
                <w:highlight w:val="none"/>
                <w:lang w:val="en-US" w:eastAsia="zh-CN"/>
              </w:rPr>
              <w:t>遍，重锤夯实应分段进行，第一遍按一夯挨一夯进行，在一次循环中同一夯位应连夯二下，下一循环有</w:t>
            </w:r>
            <w:r>
              <w:rPr>
                <w:rFonts w:hint="default" w:ascii="Times New Roman" w:hAnsi="Times New Roman" w:eastAsia="宋体" w:cs="Times New Roman"/>
                <w:color w:val="auto"/>
                <w:sz w:val="24"/>
                <w:highlight w:val="none"/>
                <w:lang w:val="en-US" w:eastAsia="zh-CN"/>
              </w:rPr>
              <w:t>1/2</w:t>
            </w:r>
            <w:r>
              <w:rPr>
                <w:rFonts w:hint="eastAsia" w:ascii="Times New Roman" w:hAnsi="Times New Roman" w:eastAsia="宋体" w:cs="宋体"/>
                <w:color w:val="auto"/>
                <w:sz w:val="24"/>
                <w:highlight w:val="none"/>
                <w:lang w:val="en-US" w:eastAsia="zh-CN"/>
              </w:rPr>
              <w:t xml:space="preserve">锤底直径搭接，如此反复进行。 </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主要污染物是施工机械产生的噪声、粉尘和排放的尾气（主要是</w:t>
            </w:r>
            <w:r>
              <w:rPr>
                <w:rFonts w:hint="default" w:ascii="Times New Roman" w:hAnsi="Times New Roman" w:eastAsia="宋体" w:cs="Times New Roman"/>
                <w:color w:val="auto"/>
                <w:sz w:val="24"/>
                <w:highlight w:val="none"/>
                <w:lang w:val="en-US" w:eastAsia="zh-CN"/>
              </w:rPr>
              <w:t>NO</w:t>
            </w:r>
            <w:r>
              <w:rPr>
                <w:rFonts w:hint="default" w:ascii="Times New Roman" w:hAnsi="Times New Roman" w:eastAsia="宋体" w:cs="Times New Roman"/>
                <w:color w:val="auto"/>
                <w:sz w:val="24"/>
                <w:highlight w:val="none"/>
                <w:vertAlign w:val="subscript"/>
                <w:lang w:val="en-US" w:eastAsia="zh-CN"/>
              </w:rPr>
              <w:t>2</w:t>
            </w: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CO</w:t>
            </w:r>
            <w:r>
              <w:rPr>
                <w:rFonts w:hint="eastAsia" w:ascii="Times New Roman" w:hAnsi="Times New Roman" w:eastAsia="宋体" w:cs="宋体"/>
                <w:color w:val="auto"/>
                <w:sz w:val="24"/>
                <w:highlight w:val="none"/>
                <w:lang w:val="en-US" w:eastAsia="zh-CN"/>
              </w:rPr>
              <w:t>和烃类物等），工人的生活污水。</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2</w:t>
            </w:r>
            <w:r>
              <w:rPr>
                <w:rFonts w:hint="eastAsia" w:ascii="Times New Roman" w:hAnsi="Times New Roman" w:eastAsia="宋体" w:cs="宋体"/>
                <w:color w:val="auto"/>
                <w:sz w:val="24"/>
                <w:highlight w:val="none"/>
                <w:lang w:val="en-US" w:eastAsia="zh-CN"/>
              </w:rPr>
              <w:t>）钻孔灌注基</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根据设计开发壕沟，用钢筋混凝土浇灌。浇灌时用光元钢做导杆，放入钢筋笼（架），用溜筒注放预先拌制均匀的混凝土。浇注时应随灌、随振、随提棒，振捣均匀，不满振、不过振，防止混凝土不实和素浆上浮。</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 xml:space="preserve">主要污染物是施工机械产生的噪声、粉尘和排放的尾气和工人的生活污水。 </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3</w:t>
            </w:r>
            <w:r>
              <w:rPr>
                <w:rFonts w:hint="eastAsia" w:ascii="Times New Roman" w:hAnsi="Times New Roman" w:eastAsia="宋体" w:cs="宋体"/>
                <w:color w:val="auto"/>
                <w:sz w:val="24"/>
                <w:highlight w:val="none"/>
                <w:lang w:val="en-US" w:eastAsia="zh-CN"/>
              </w:rPr>
              <w:t>）商品混凝土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 xml:space="preserve">直接采购符合标注的商品混凝土进行梁、柱等的建设。 </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4</w:t>
            </w:r>
            <w:r>
              <w:rPr>
                <w:rFonts w:hint="eastAsia" w:ascii="Times New Roman" w:hAnsi="Times New Roman" w:eastAsia="宋体" w:cs="宋体"/>
                <w:color w:val="auto"/>
                <w:sz w:val="24"/>
                <w:highlight w:val="none"/>
                <w:lang w:val="en-US" w:eastAsia="zh-CN"/>
              </w:rPr>
              <w:t>）砖墙砌筑</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首先进行水泥砂浆的调配，用水泥砂浆抄平钢砼柱、梁的基面，利用经纬仪、垂球和龙门板放线，并弹出纵横墙边线。然后在弹好线的基面上按选定的组砌方式进行摆脚，立好匹数杆，再据此挂线砌筑。一般采用铺灰挤砌法和铲灰挤砌法，砖墙砌筑完毕后，进行勾缝隙。</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该工段和现浇钢砼柱、梁工段施工期长，是施工期的主题工程。主要污染物是搅拌机产生的噪声、尾气，拌制砂浆时的砂浆水和工人的生活污水，碎砖废砂浆等固废。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5</w:t>
            </w:r>
            <w:r>
              <w:rPr>
                <w:rFonts w:hint="eastAsia" w:ascii="Times New Roman" w:hAnsi="Times New Roman" w:eastAsia="宋体" w:cs="宋体"/>
                <w:color w:val="auto"/>
                <w:sz w:val="24"/>
                <w:highlight w:val="none"/>
                <w:lang w:val="en-US" w:eastAsia="zh-CN"/>
              </w:rPr>
              <w:t>）屋面制作</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屋面由结构层、防水层和保护层组成。防水层一般有柔性防水、刚性防水和涂料防水三种做法，本项目采用柔性防水。</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平屋面做法是在现浇制板上刷一道结合水泥浆，</w:t>
            </w:r>
            <w:r>
              <w:rPr>
                <w:rFonts w:hint="default" w:ascii="Times New Roman" w:hAnsi="Times New Roman" w:eastAsia="宋体" w:cs="Times New Roman"/>
                <w:color w:val="auto"/>
                <w:sz w:val="24"/>
                <w:highlight w:val="none"/>
                <w:lang w:val="en-US" w:eastAsia="zh-CN"/>
              </w:rPr>
              <w:t>851</w:t>
            </w:r>
            <w:r>
              <w:rPr>
                <w:rFonts w:hint="eastAsia" w:ascii="Times New Roman" w:hAnsi="Times New Roman" w:eastAsia="宋体" w:cs="宋体"/>
                <w:color w:val="auto"/>
                <w:sz w:val="24"/>
                <w:highlight w:val="none"/>
                <w:lang w:val="en-US" w:eastAsia="zh-CN"/>
              </w:rPr>
              <w:t>隔气层一道，用水泥珍珠岩建隔热层，再抹</w:t>
            </w:r>
            <w:r>
              <w:rPr>
                <w:rFonts w:hint="default" w:ascii="Times New Roman" w:hAnsi="Times New Roman" w:eastAsia="宋体" w:cs="Times New Roman"/>
                <w:color w:val="auto"/>
                <w:sz w:val="24"/>
                <w:highlight w:val="none"/>
                <w:lang w:val="en-US" w:eastAsia="zh-CN"/>
              </w:rPr>
              <w:t>20～30MM</w:t>
            </w:r>
            <w:r>
              <w:rPr>
                <w:rFonts w:hint="eastAsia" w:ascii="Times New Roman" w:hAnsi="Times New Roman" w:eastAsia="宋体" w:cs="宋体"/>
                <w:color w:val="auto"/>
                <w:sz w:val="24"/>
                <w:highlight w:val="none"/>
                <w:lang w:val="en-US" w:eastAsia="zh-CN"/>
              </w:rPr>
              <w:t>厚、内掺</w:t>
            </w:r>
            <w:r>
              <w:rPr>
                <w:rFonts w:hint="default" w:ascii="Times New Roman" w:hAnsi="Times New Roman" w:eastAsia="宋体" w:cs="Times New Roman"/>
                <w:color w:val="auto"/>
                <w:sz w:val="24"/>
                <w:highlight w:val="none"/>
                <w:lang w:val="en-US" w:eastAsia="zh-CN"/>
              </w:rPr>
              <w:t>5</w:t>
            </w:r>
            <w:r>
              <w:rPr>
                <w:rFonts w:hint="eastAsia" w:ascii="Times New Roman" w:hAnsi="Times New Roman" w:eastAsia="宋体"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宋体"/>
                <w:color w:val="auto"/>
                <w:sz w:val="24"/>
                <w:highlight w:val="none"/>
                <w:lang w:val="en-US" w:eastAsia="zh-CN"/>
              </w:rPr>
              <w:t>防水剂的水泥砂浆，表面罩一层</w:t>
            </w:r>
            <w:r>
              <w:rPr>
                <w:rFonts w:hint="default" w:ascii="Times New Roman" w:hAnsi="Times New Roman" w:eastAsia="宋体" w:cs="Times New Roman"/>
                <w:color w:val="auto"/>
                <w:sz w:val="24"/>
                <w:highlight w:val="none"/>
                <w:lang w:val="en-US" w:eastAsia="zh-CN"/>
              </w:rPr>
              <w:t>1：6：8</w:t>
            </w:r>
            <w:r>
              <w:rPr>
                <w:rFonts w:hint="eastAsia" w:ascii="Times New Roman" w:hAnsi="Times New Roman" w:eastAsia="宋体" w:cs="宋体"/>
                <w:color w:val="auto"/>
                <w:sz w:val="24"/>
                <w:highlight w:val="none"/>
                <w:lang w:val="en-US" w:eastAsia="zh-CN"/>
              </w:rPr>
              <w:t>防水水泥浆（防水剂：水：水泥）。防水剂选用高分子防水卷材。</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 xml:space="preserve">瓦屋面做法是在现浇制板上刷一道结合水泥浆，抄平，粉挂瓦条和水泥彩瓦。 </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主要污染物是搅拌机的噪声、尾气，拌制砂浆时的砂浆水和工人的生活污水，碎砖瓦、废砂浆等固废。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6</w:t>
            </w:r>
            <w:r>
              <w:rPr>
                <w:rFonts w:hint="eastAsia" w:ascii="Times New Roman" w:hAnsi="Times New Roman" w:eastAsia="宋体" w:cs="宋体"/>
                <w:color w:val="auto"/>
                <w:sz w:val="24"/>
                <w:highlight w:val="none"/>
                <w:lang w:val="en-US" w:eastAsia="zh-CN"/>
              </w:rPr>
              <w:t>）管线安装</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先对管线途经墙壁进行穿孔，对各住房的水、电、管煤等管线进行安装，然后将其固定在墙壁上。主要污染物是对墙壁进行敲打、钻孔时产生的噪声、粉尘，以及碎砖块等固废。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7</w:t>
            </w:r>
            <w:r>
              <w:rPr>
                <w:rFonts w:hint="eastAsia" w:ascii="Times New Roman" w:hAnsi="Times New Roman" w:eastAsia="宋体" w:cs="宋体"/>
                <w:color w:val="auto"/>
                <w:sz w:val="24"/>
                <w:highlight w:val="none"/>
                <w:lang w:val="en-US" w:eastAsia="zh-CN"/>
              </w:rPr>
              <w:t>）抹灰、贴面</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抹灰先外墙后内墙。外墙由上而下，先阳角线、台口线，后抹窗台和墙面。用</w:t>
            </w:r>
            <w:r>
              <w:rPr>
                <w:rFonts w:hint="default" w:ascii="Times New Roman" w:hAnsi="Times New Roman" w:eastAsia="宋体" w:cs="Times New Roman"/>
                <w:color w:val="auto"/>
                <w:sz w:val="24"/>
                <w:highlight w:val="none"/>
                <w:lang w:val="en-US" w:eastAsia="zh-CN"/>
              </w:rPr>
              <w:t>1：2</w:t>
            </w:r>
            <w:r>
              <w:rPr>
                <w:rFonts w:hint="eastAsia" w:ascii="Times New Roman" w:hAnsi="Times New Roman" w:eastAsia="宋体" w:cs="宋体"/>
                <w:color w:val="auto"/>
                <w:sz w:val="24"/>
                <w:highlight w:val="none"/>
                <w:lang w:val="en-US" w:eastAsia="zh-CN"/>
              </w:rPr>
              <w:t>水泥砂浆抹内外墙，根据要求，对外墙分别采用浅色环保型高级涂料和浅灰色仿石涂料喷刷。</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主要污染物是搅拌机的噪声、尾气，拌制砂浆时的砂浆水和工人的生活污水，废砂浆和废弃的涂料及包装桶等固废。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8</w:t>
            </w:r>
            <w:r>
              <w:rPr>
                <w:rFonts w:hint="eastAsia" w:ascii="Times New Roman" w:hAnsi="Times New Roman" w:eastAsia="宋体" w:cs="宋体"/>
                <w:color w:val="auto"/>
                <w:sz w:val="24"/>
                <w:highlight w:val="none"/>
                <w:lang w:val="en-US" w:eastAsia="zh-CN"/>
              </w:rPr>
              <w:t>）油漆施工</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本项目仅对外露的铁件进行油漆施工，先刷防锈底漆，再刷两遍调和漆。因需进行油漆作业的工件很少，油漆使用量较少，施工期短，挥发的有机废气量小，且呈无组织面源排放模式，对周围环境的影响是暂时和局部的，可不做统计。</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9</w:t>
            </w:r>
            <w:r>
              <w:rPr>
                <w:rFonts w:hint="eastAsia" w:ascii="Times New Roman" w:hAnsi="Times New Roman" w:eastAsia="宋体" w:cs="宋体"/>
                <w:color w:val="auto"/>
                <w:sz w:val="24"/>
                <w:highlight w:val="none"/>
                <w:lang w:val="en-US" w:eastAsia="zh-CN"/>
              </w:rPr>
              <w:t>）附属工程</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b/>
                <w:color w:val="auto"/>
                <w:sz w:val="28"/>
                <w:szCs w:val="28"/>
                <w:highlight w:val="none"/>
                <w:lang w:val="en-US" w:eastAsia="zh-CN"/>
              </w:rPr>
            </w:pPr>
            <w:r>
              <w:rPr>
                <w:rFonts w:hint="eastAsia" w:ascii="Times New Roman" w:hAnsi="Times New Roman" w:eastAsia="宋体" w:cs="宋体"/>
                <w:color w:val="auto"/>
                <w:sz w:val="24"/>
                <w:highlight w:val="none"/>
                <w:lang w:val="en-US" w:eastAsia="zh-CN"/>
              </w:rPr>
              <w:t>包括道路、围墙、化粪池、下水道等施工，主要污染物是施工机械的噪声、尾气，拌制砂浆时的砂浆水和工人的生活污水，废砂浆和废弃的下角料等固废。</w:t>
            </w:r>
          </w:p>
          <w:p>
            <w:pPr>
              <w:spacing w:line="360" w:lineRule="auto"/>
              <w:ind w:firstLine="480" w:firstLineChars="200"/>
              <w:rPr>
                <w:rFonts w:ascii="Times New Roman" w:hAnsi="Times New Roman" w:eastAsia="宋体"/>
                <w:bCs/>
                <w:sz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12"/>
              <w:kinsoku w:val="0"/>
              <w:overflowPunct w:val="0"/>
              <w:spacing w:after="0" w:line="360" w:lineRule="auto"/>
              <w:ind w:firstLine="471"/>
              <w:rPr>
                <w:rFonts w:ascii="Times New Roman" w:hAnsi="Times New Roman" w:eastAsia="宋体"/>
                <w:sz w:val="24"/>
                <w:szCs w:val="24"/>
              </w:rPr>
            </w:pPr>
          </w:p>
          <w:p>
            <w:pPr>
              <w:pStyle w:val="78"/>
              <w:spacing w:line="360" w:lineRule="auto"/>
              <w:ind w:firstLine="0" w:firstLineChars="0"/>
              <w:rPr>
                <w:rFonts w:ascii="Times New Roman" w:hAnsi="Times New Roman" w:eastAsia="宋体"/>
                <w:b/>
                <w:bCs/>
                <w:szCs w:val="24"/>
              </w:rPr>
            </w:pPr>
            <w:r>
              <w:rPr>
                <w:rFonts w:ascii="Times New Roman" w:hAnsi="Times New Roman" w:eastAsia="宋体"/>
                <w:b/>
                <w:bCs/>
                <w:szCs w:val="24"/>
              </w:rPr>
              <w:t>二、营运工程分析</w:t>
            </w:r>
          </w:p>
          <w:p>
            <w:pPr>
              <w:spacing w:line="360" w:lineRule="auto"/>
              <w:ind w:firstLine="470" w:firstLineChars="196"/>
              <w:rPr>
                <w:rFonts w:ascii="Times New Roman" w:hAnsi="Times New Roman" w:eastAsia="宋体"/>
                <w:sz w:val="24"/>
                <w:szCs w:val="24"/>
              </w:rPr>
            </w:pPr>
            <w:r>
              <w:rPr>
                <w:rFonts w:ascii="Times New Roman" w:hAnsi="Times New Roman" w:eastAsia="宋体"/>
                <w:sz w:val="24"/>
                <w:szCs w:val="24"/>
              </w:rPr>
              <w:t>1、生产工艺流程图及污染节点简图</w:t>
            </w:r>
          </w:p>
          <w:p>
            <w:pPr>
              <w:widowControl/>
              <w:spacing w:line="240" w:lineRule="auto"/>
              <w:ind w:firstLine="0"/>
              <w:textAlignment w:val="baseline"/>
              <w:rPr>
                <w:rFonts w:ascii="Times New Roman" w:hAnsi="Times New Roman" w:eastAsia="宋体" w:cs="Times New Roman"/>
                <w:b/>
                <w:color w:val="auto"/>
                <w:kern w:val="0"/>
                <w:sz w:val="28"/>
                <w:szCs w:val="28"/>
              </w:rPr>
            </w:pPr>
            <w:r>
              <w:rPr>
                <w:rFonts w:ascii="Times New Roman" w:hAnsi="Times New Roman" w:eastAsia="宋体" w:cs="Times New Roman"/>
                <w:color w:val="auto"/>
                <w:kern w:val="0"/>
                <w:sz w:val="28"/>
                <w:szCs w:val="28"/>
              </w:rPr>
              <mc:AlternateContent>
                <mc:Choice Requires="wpg">
                  <w:drawing>
                    <wp:anchor distT="0" distB="0" distL="114300" distR="114300" simplePos="0" relativeHeight="251667456" behindDoc="0" locked="0" layoutInCell="1" allowOverlap="1">
                      <wp:simplePos x="0" y="0"/>
                      <wp:positionH relativeFrom="column">
                        <wp:posOffset>290195</wp:posOffset>
                      </wp:positionH>
                      <wp:positionV relativeFrom="paragraph">
                        <wp:posOffset>250190</wp:posOffset>
                      </wp:positionV>
                      <wp:extent cx="5695950" cy="8839200"/>
                      <wp:effectExtent l="0" t="5080" r="0" b="0"/>
                      <wp:wrapNone/>
                      <wp:docPr id="3" name="Group 48" descr="2F1BB93544974aabB2EEA081C308AE78# #组合 1072"/>
                      <wp:cNvGraphicFramePr/>
                      <a:graphic xmlns:a="http://schemas.openxmlformats.org/drawingml/2006/main">
                        <a:graphicData uri="http://schemas.microsoft.com/office/word/2010/wordprocessingGroup">
                          <wpg:wgp>
                            <wpg:cNvGrpSpPr/>
                            <wpg:grpSpPr>
                              <a:xfrm>
                                <a:off x="0" y="0"/>
                                <a:ext cx="5695950" cy="8839200"/>
                                <a:chOff x="-12" y="-2412"/>
                                <a:chExt cx="6906" cy="10210"/>
                              </a:xfrm>
                              <a:effectLst/>
                            </wpg:grpSpPr>
                            <wps:wsp>
                              <wps:cNvPr id="4" name="AutoShape 49"/>
                              <wps:cNvSpPr>
                                <a:spLocks noChangeAspect="1" noChangeArrowheads="1" noTextEdit="1"/>
                              </wps:cNvSpPr>
                              <wps:spPr bwMode="auto">
                                <a:xfrm>
                                  <a:off x="-12" y="-2412"/>
                                  <a:ext cx="6906" cy="10210"/>
                                </a:xfrm>
                                <a:prstGeom prst="rect">
                                  <a:avLst/>
                                </a:prstGeom>
                                <a:noFill/>
                                <a:ln>
                                  <a:noFill/>
                                </a:ln>
                                <a:effectLst/>
                              </wps:spPr>
                              <wps:bodyPr rot="0" vert="horz" wrap="square" lIns="91440" tIns="45720" rIns="91440" bIns="45720" anchor="t" anchorCtr="0" upright="1">
                                <a:noAutofit/>
                              </wps:bodyPr>
                            </wps:wsp>
                            <wps:wsp>
                              <wps:cNvPr id="5" name="Rectangle 50"/>
                              <wps:cNvSpPr>
                                <a:spLocks noChangeArrowheads="1"/>
                              </wps:cNvSpPr>
                              <wps:spPr bwMode="auto">
                                <a:xfrm>
                                  <a:off x="2584" y="-2412"/>
                                  <a:ext cx="1469" cy="369"/>
                                </a:xfrm>
                                <a:prstGeom prst="rect">
                                  <a:avLst/>
                                </a:prstGeom>
                                <a:no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进厂吨袋料</w:t>
                                    </w:r>
                                  </w:p>
                                </w:txbxContent>
                              </wps:txbx>
                              <wps:bodyPr rot="0" vert="horz" wrap="square" lIns="91440" tIns="45720" rIns="91440" bIns="45720" anchor="t" anchorCtr="0" upright="1">
                                <a:noAutofit/>
                              </wps:bodyPr>
                            </wps:wsp>
                            <wps:wsp>
                              <wps:cNvPr id="6" name="Rectangle 51"/>
                              <wps:cNvSpPr>
                                <a:spLocks noChangeArrowheads="1"/>
                              </wps:cNvSpPr>
                              <wps:spPr bwMode="auto">
                                <a:xfrm>
                                  <a:off x="2584" y="-1774"/>
                                  <a:ext cx="1469" cy="380"/>
                                </a:xfrm>
                                <a:prstGeom prst="rect">
                                  <a:avLst/>
                                </a:prstGeom>
                                <a:no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自动化原料立库</w:t>
                                    </w:r>
                                  </w:p>
                                </w:txbxContent>
                              </wps:txbx>
                              <wps:bodyPr rot="0" vert="horz" wrap="square" lIns="91440" tIns="45720" rIns="91440" bIns="45720" anchor="t" anchorCtr="0" upright="1">
                                <a:noAutofit/>
                              </wps:bodyPr>
                            </wps:wsp>
                            <wps:wsp>
                              <wps:cNvPr id="7" name="Rectangle 52"/>
                              <wps:cNvSpPr>
                                <a:spLocks noChangeArrowheads="1"/>
                              </wps:cNvSpPr>
                              <wps:spPr bwMode="auto">
                                <a:xfrm>
                                  <a:off x="2584" y="-1136"/>
                                  <a:ext cx="1469" cy="381"/>
                                </a:xfrm>
                                <a:prstGeom prst="rect">
                                  <a:avLst/>
                                </a:prstGeom>
                                <a:no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布料小车</w:t>
                                    </w:r>
                                  </w:p>
                                </w:txbxContent>
                              </wps:txbx>
                              <wps:bodyPr rot="0" vert="horz" wrap="square" lIns="91440" tIns="45720" rIns="91440" bIns="45720" anchor="t" anchorCtr="0" upright="1">
                                <a:noAutofit/>
                              </wps:bodyPr>
                            </wps:wsp>
                            <wps:wsp>
                              <wps:cNvPr id="8" name="Rectangle 53"/>
                              <wps:cNvSpPr>
                                <a:spLocks noChangeArrowheads="1"/>
                              </wps:cNvSpPr>
                              <wps:spPr bwMode="auto">
                                <a:xfrm>
                                  <a:off x="2584" y="-498"/>
                                  <a:ext cx="1469" cy="381"/>
                                </a:xfrm>
                                <a:prstGeom prst="rect">
                                  <a:avLst/>
                                </a:prstGeom>
                                <a:no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配料仓</w:t>
                                    </w:r>
                                  </w:p>
                                </w:txbxContent>
                              </wps:txbx>
                              <wps:bodyPr rot="0" vert="horz" wrap="square" lIns="91440" tIns="45720" rIns="91440" bIns="45720" anchor="t" anchorCtr="0" upright="1">
                                <a:noAutofit/>
                              </wps:bodyPr>
                            </wps:wsp>
                            <wps:wsp>
                              <wps:cNvPr id="9" name="Rectangle 61"/>
                              <wps:cNvSpPr>
                                <a:spLocks noChangeArrowheads="1"/>
                              </wps:cNvSpPr>
                              <wps:spPr bwMode="auto">
                                <a:xfrm>
                                  <a:off x="2584" y="145"/>
                                  <a:ext cx="1469" cy="379"/>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中间过渡仓</w:t>
                                    </w:r>
                                  </w:p>
                                </w:txbxContent>
                              </wps:txbx>
                              <wps:bodyPr rot="0" vert="horz" wrap="square" lIns="91440" tIns="45720" rIns="91440" bIns="45720" anchor="t" anchorCtr="0" upright="1">
                                <a:noAutofit/>
                              </wps:bodyPr>
                            </wps:wsp>
                            <wps:wsp>
                              <wps:cNvPr id="11" name="Line 64"/>
                              <wps:cNvCnPr>
                                <a:cxnSpLocks noChangeShapeType="1"/>
                              </wps:cNvCnPr>
                              <wps:spPr bwMode="auto">
                                <a:xfrm>
                                  <a:off x="3319" y="-2029"/>
                                  <a:ext cx="1" cy="258"/>
                                </a:xfrm>
                                <a:prstGeom prst="line">
                                  <a:avLst/>
                                </a:prstGeom>
                                <a:noFill/>
                                <a:ln w="9525">
                                  <a:solidFill>
                                    <a:srgbClr val="000000"/>
                                  </a:solidFill>
                                  <a:round/>
                                  <a:tailEnd type="triangle" w="med" len="med"/>
                                </a:ln>
                                <a:effectLst/>
                              </wps:spPr>
                              <wps:bodyPr/>
                            </wps:wsp>
                            <wps:wsp>
                              <wps:cNvPr id="13" name="Rectangle 65"/>
                              <wps:cNvSpPr>
                                <a:spLocks noChangeArrowheads="1"/>
                              </wps:cNvSpPr>
                              <wps:spPr bwMode="auto">
                                <a:xfrm>
                                  <a:off x="2584" y="783"/>
                                  <a:ext cx="1469" cy="381"/>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自动配料车</w:t>
                                    </w:r>
                                  </w:p>
                                </w:txbxContent>
                              </wps:txbx>
                              <wps:bodyPr rot="0" vert="horz" wrap="square" lIns="91440" tIns="45720" rIns="91440" bIns="45720" anchor="t" anchorCtr="0" upright="1">
                                <a:noAutofit/>
                              </wps:bodyPr>
                            </wps:wsp>
                            <wps:wsp>
                              <wps:cNvPr id="14" name="Rectangle 66"/>
                              <wps:cNvSpPr>
                                <a:spLocks noChangeArrowheads="1"/>
                              </wps:cNvSpPr>
                              <wps:spPr bwMode="auto">
                                <a:xfrm>
                                  <a:off x="2584" y="1421"/>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混合</w:t>
                                    </w:r>
                                  </w:p>
                                </w:txbxContent>
                              </wps:txbx>
                              <wps:bodyPr rot="0" vert="horz" wrap="square" lIns="91440" tIns="45720" rIns="91440" bIns="45720" anchor="t" anchorCtr="0" upright="1">
                                <a:noAutofit/>
                              </wps:bodyPr>
                            </wps:wsp>
                            <wps:wsp>
                              <wps:cNvPr id="15" name="Rectangle 67"/>
                              <wps:cNvSpPr>
                                <a:spLocks noChangeArrowheads="1"/>
                              </wps:cNvSpPr>
                              <wps:spPr bwMode="auto">
                                <a:xfrm>
                                  <a:off x="2584" y="2696"/>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干燥</w:t>
                                    </w:r>
                                  </w:p>
                                </w:txbxContent>
                              </wps:txbx>
                              <wps:bodyPr rot="0" vert="horz" wrap="square" lIns="91440" tIns="45720" rIns="91440" bIns="45720" anchor="t" anchorCtr="0" upright="1">
                                <a:noAutofit/>
                              </wps:bodyPr>
                            </wps:wsp>
                            <wps:wsp>
                              <wps:cNvPr id="16" name="Line 68"/>
                              <wps:cNvCnPr>
                                <a:cxnSpLocks noChangeShapeType="1"/>
                              </wps:cNvCnPr>
                              <wps:spPr bwMode="auto">
                                <a:xfrm>
                                  <a:off x="3319" y="-753"/>
                                  <a:ext cx="1" cy="259"/>
                                </a:xfrm>
                                <a:prstGeom prst="line">
                                  <a:avLst/>
                                </a:prstGeom>
                                <a:noFill/>
                                <a:ln w="9525">
                                  <a:solidFill>
                                    <a:srgbClr val="000000"/>
                                  </a:solidFill>
                                  <a:round/>
                                  <a:tailEnd type="triangle" w="med" len="med"/>
                                </a:ln>
                                <a:effectLst/>
                              </wps:spPr>
                              <wps:bodyPr/>
                            </wps:wsp>
                            <wps:wsp>
                              <wps:cNvPr id="17" name="Line 69"/>
                              <wps:cNvCnPr>
                                <a:cxnSpLocks noChangeShapeType="1"/>
                              </wps:cNvCnPr>
                              <wps:spPr bwMode="auto">
                                <a:xfrm>
                                  <a:off x="3319" y="-1391"/>
                                  <a:ext cx="1" cy="258"/>
                                </a:xfrm>
                                <a:prstGeom prst="line">
                                  <a:avLst/>
                                </a:prstGeom>
                                <a:noFill/>
                                <a:ln w="9525">
                                  <a:solidFill>
                                    <a:srgbClr val="000000"/>
                                  </a:solidFill>
                                  <a:round/>
                                  <a:tailEnd type="triangle" w="med" len="med"/>
                                </a:ln>
                                <a:effectLst/>
                              </wps:spPr>
                              <wps:bodyPr/>
                            </wps:wsp>
                            <wps:wsp>
                              <wps:cNvPr id="18" name="Line 70"/>
                              <wps:cNvCnPr>
                                <a:cxnSpLocks noChangeShapeType="1"/>
                              </wps:cNvCnPr>
                              <wps:spPr bwMode="auto">
                                <a:xfrm>
                                  <a:off x="3319" y="-115"/>
                                  <a:ext cx="1" cy="260"/>
                                </a:xfrm>
                                <a:prstGeom prst="line">
                                  <a:avLst/>
                                </a:prstGeom>
                                <a:noFill/>
                                <a:ln w="9525">
                                  <a:solidFill>
                                    <a:srgbClr val="000000"/>
                                  </a:solidFill>
                                  <a:round/>
                                  <a:tailEnd type="triangle" w="med" len="med"/>
                                </a:ln>
                                <a:effectLst/>
                              </wps:spPr>
                              <wps:bodyPr/>
                            </wps:wsp>
                            <wps:wsp>
                              <wps:cNvPr id="19" name="Line 75"/>
                              <wps:cNvCnPr>
                                <a:cxnSpLocks noChangeShapeType="1"/>
                              </wps:cNvCnPr>
                              <wps:spPr bwMode="auto">
                                <a:xfrm>
                                  <a:off x="3319" y="528"/>
                                  <a:ext cx="1" cy="261"/>
                                </a:xfrm>
                                <a:prstGeom prst="line">
                                  <a:avLst/>
                                </a:prstGeom>
                                <a:noFill/>
                                <a:ln w="9525">
                                  <a:solidFill>
                                    <a:srgbClr val="000000"/>
                                  </a:solidFill>
                                  <a:round/>
                                  <a:tailEnd type="triangle" w="med" len="med"/>
                                </a:ln>
                                <a:effectLst/>
                              </wps:spPr>
                              <wps:bodyPr/>
                            </wps:wsp>
                            <wps:wsp>
                              <wps:cNvPr id="20" name="Line 76"/>
                              <wps:cNvCnPr>
                                <a:cxnSpLocks noChangeShapeType="1"/>
                              </wps:cNvCnPr>
                              <wps:spPr bwMode="auto">
                                <a:xfrm>
                                  <a:off x="3319" y="1166"/>
                                  <a:ext cx="1" cy="261"/>
                                </a:xfrm>
                                <a:prstGeom prst="line">
                                  <a:avLst/>
                                </a:prstGeom>
                                <a:noFill/>
                                <a:ln w="9525">
                                  <a:solidFill>
                                    <a:srgbClr val="000000"/>
                                  </a:solidFill>
                                  <a:round/>
                                  <a:tailEnd type="triangle" w="med" len="med"/>
                                </a:ln>
                                <a:effectLst/>
                              </wps:spPr>
                              <wps:bodyPr/>
                            </wps:wsp>
                            <wps:wsp>
                              <wps:cNvPr id="21" name="Line 77"/>
                              <wps:cNvCnPr>
                                <a:cxnSpLocks noChangeShapeType="1"/>
                              </wps:cNvCnPr>
                              <wps:spPr bwMode="auto">
                                <a:xfrm>
                                  <a:off x="3319" y="1804"/>
                                  <a:ext cx="1" cy="261"/>
                                </a:xfrm>
                                <a:prstGeom prst="line">
                                  <a:avLst/>
                                </a:prstGeom>
                                <a:noFill/>
                                <a:ln w="9525">
                                  <a:solidFill>
                                    <a:srgbClr val="000000"/>
                                  </a:solidFill>
                                  <a:round/>
                                  <a:tailEnd type="triangle" w="med" len="med"/>
                                </a:ln>
                                <a:effectLst/>
                              </wps:spPr>
                              <wps:bodyPr/>
                            </wps:wsp>
                            <wps:wsp>
                              <wps:cNvPr id="22" name="Rectangle 78"/>
                              <wps:cNvSpPr>
                                <a:spLocks noChangeArrowheads="1"/>
                              </wps:cNvSpPr>
                              <wps:spPr bwMode="auto">
                                <a:xfrm>
                                  <a:off x="4641" y="1421"/>
                                  <a:ext cx="1302" cy="379"/>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结合剂</w:t>
                                    </w:r>
                                  </w:p>
                                </w:txbxContent>
                              </wps:txbx>
                              <wps:bodyPr rot="0" vert="horz" wrap="square" lIns="91440" tIns="45720" rIns="91440" bIns="45720" anchor="t" anchorCtr="0" upright="1">
                                <a:noAutofit/>
                              </wps:bodyPr>
                            </wps:wsp>
                            <wps:wsp>
                              <wps:cNvPr id="91" name="Line 79"/>
                              <wps:cNvCnPr>
                                <a:cxnSpLocks noChangeShapeType="1"/>
                              </wps:cNvCnPr>
                              <wps:spPr bwMode="auto">
                                <a:xfrm flipH="1">
                                  <a:off x="4053" y="1640"/>
                                  <a:ext cx="590" cy="1"/>
                                </a:xfrm>
                                <a:prstGeom prst="line">
                                  <a:avLst/>
                                </a:prstGeom>
                                <a:noFill/>
                                <a:ln w="9525">
                                  <a:solidFill>
                                    <a:srgbClr val="000000"/>
                                  </a:solidFill>
                                  <a:round/>
                                  <a:tailEnd type="triangle" w="med" len="med"/>
                                </a:ln>
                                <a:effectLst/>
                              </wps:spPr>
                              <wps:bodyPr/>
                            </wps:wsp>
                            <wps:wsp>
                              <wps:cNvPr id="92" name="Line 80"/>
                              <wps:cNvCnPr>
                                <a:cxnSpLocks noChangeShapeType="1"/>
                              </wps:cNvCnPr>
                              <wps:spPr bwMode="auto">
                                <a:xfrm>
                                  <a:off x="3319" y="3079"/>
                                  <a:ext cx="1" cy="261"/>
                                </a:xfrm>
                                <a:prstGeom prst="line">
                                  <a:avLst/>
                                </a:prstGeom>
                                <a:noFill/>
                                <a:ln w="9525">
                                  <a:solidFill>
                                    <a:srgbClr val="000000"/>
                                  </a:solidFill>
                                  <a:round/>
                                  <a:tailEnd type="triangle" w="med" len="med"/>
                                </a:ln>
                                <a:effectLst/>
                              </wps:spPr>
                              <wps:bodyPr/>
                            </wps:wsp>
                            <wps:wsp>
                              <wps:cNvPr id="93" name="Rectangle 81"/>
                              <wps:cNvSpPr>
                                <a:spLocks noChangeArrowheads="1"/>
                              </wps:cNvSpPr>
                              <wps:spPr bwMode="auto">
                                <a:xfrm>
                                  <a:off x="2584" y="3334"/>
                                  <a:ext cx="1469" cy="383"/>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烧成</w:t>
                                    </w:r>
                                  </w:p>
                                </w:txbxContent>
                              </wps:txbx>
                              <wps:bodyPr rot="0" vert="horz" wrap="square" lIns="91440" tIns="45720" rIns="91440" bIns="45720" anchor="t" anchorCtr="0" upright="1">
                                <a:noAutofit/>
                              </wps:bodyPr>
                            </wps:wsp>
                            <wps:wsp>
                              <wps:cNvPr id="24" name="Line 82"/>
                              <wps:cNvCnPr>
                                <a:cxnSpLocks noChangeShapeType="1"/>
                              </wps:cNvCnPr>
                              <wps:spPr bwMode="auto">
                                <a:xfrm>
                                  <a:off x="3319" y="3718"/>
                                  <a:ext cx="1" cy="261"/>
                                </a:xfrm>
                                <a:prstGeom prst="line">
                                  <a:avLst/>
                                </a:prstGeom>
                                <a:noFill/>
                                <a:ln w="9525">
                                  <a:solidFill>
                                    <a:srgbClr val="000000"/>
                                  </a:solidFill>
                                  <a:round/>
                                  <a:tailEnd type="triangle" w="med" len="med"/>
                                </a:ln>
                                <a:effectLst/>
                              </wps:spPr>
                              <wps:bodyPr/>
                            </wps:wsp>
                            <wps:wsp>
                              <wps:cNvPr id="25" name="Rectangle 83"/>
                              <wps:cNvSpPr>
                                <a:spLocks noChangeArrowheads="1"/>
                              </wps:cNvSpPr>
                              <wps:spPr bwMode="auto">
                                <a:xfrm>
                                  <a:off x="2597" y="3973"/>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拣选</w:t>
                                    </w:r>
                                  </w:p>
                                </w:txbxContent>
                              </wps:txbx>
                              <wps:bodyPr rot="0" vert="horz" wrap="square" lIns="91440" tIns="45720" rIns="91440" bIns="45720" anchor="t" anchorCtr="0" upright="1">
                                <a:noAutofit/>
                              </wps:bodyPr>
                            </wps:wsp>
                            <wps:wsp>
                              <wps:cNvPr id="26" name="Line 84"/>
                              <wps:cNvCnPr>
                                <a:cxnSpLocks noChangeShapeType="1"/>
                              </wps:cNvCnPr>
                              <wps:spPr bwMode="auto">
                                <a:xfrm>
                                  <a:off x="3319" y="4356"/>
                                  <a:ext cx="1" cy="261"/>
                                </a:xfrm>
                                <a:prstGeom prst="line">
                                  <a:avLst/>
                                </a:prstGeom>
                                <a:noFill/>
                                <a:ln w="9525">
                                  <a:solidFill>
                                    <a:srgbClr val="000000"/>
                                  </a:solidFill>
                                  <a:round/>
                                  <a:tailEnd type="triangle" w="med" len="med"/>
                                </a:ln>
                                <a:effectLst/>
                              </wps:spPr>
                              <wps:bodyPr/>
                            </wps:wsp>
                            <wps:wsp>
                              <wps:cNvPr id="28" name="Rectangle 85"/>
                              <wps:cNvSpPr>
                                <a:spLocks noChangeArrowheads="1"/>
                              </wps:cNvSpPr>
                              <wps:spPr bwMode="auto">
                                <a:xfrm>
                                  <a:off x="2584" y="5249"/>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自动化成品立库</w:t>
                                    </w:r>
                                  </w:p>
                                </w:txbxContent>
                              </wps:txbx>
                              <wps:bodyPr rot="0" vert="horz" wrap="square" lIns="91440" tIns="45720" rIns="91440" bIns="45720" anchor="t" anchorCtr="0" upright="1">
                                <a:noAutofit/>
                              </wps:bodyPr>
                            </wps:wsp>
                            <wps:wsp>
                              <wps:cNvPr id="104" name="Rectangle 92"/>
                              <wps:cNvSpPr>
                                <a:spLocks noChangeArrowheads="1"/>
                              </wps:cNvSpPr>
                              <wps:spPr bwMode="auto">
                                <a:xfrm>
                                  <a:off x="2584" y="4611"/>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包装</w:t>
                                    </w:r>
                                  </w:p>
                                </w:txbxContent>
                              </wps:txbx>
                              <wps:bodyPr rot="0" vert="horz" wrap="square" lIns="91440" tIns="45720" rIns="91440" bIns="45720" anchor="t" anchorCtr="0" upright="1">
                                <a:noAutofit/>
                              </wps:bodyPr>
                            </wps:wsp>
                            <wps:wsp>
                              <wps:cNvPr id="105" name="Line 93"/>
                              <wps:cNvCnPr>
                                <a:cxnSpLocks noChangeShapeType="1"/>
                              </wps:cNvCnPr>
                              <wps:spPr bwMode="auto">
                                <a:xfrm>
                                  <a:off x="3318" y="4994"/>
                                  <a:ext cx="1" cy="261"/>
                                </a:xfrm>
                                <a:prstGeom prst="line">
                                  <a:avLst/>
                                </a:prstGeom>
                                <a:noFill/>
                                <a:ln w="9525">
                                  <a:solidFill>
                                    <a:srgbClr val="000000"/>
                                  </a:solidFill>
                                  <a:round/>
                                  <a:tailEnd type="triangle" w="med" len="med"/>
                                </a:ln>
                                <a:effectLst/>
                              </wps:spPr>
                              <wps:bodyPr/>
                            </wps:wsp>
                            <wps:wsp>
                              <wps:cNvPr id="106" name="Rectangle 67"/>
                              <wps:cNvSpPr>
                                <a:spLocks noChangeArrowheads="1"/>
                              </wps:cNvSpPr>
                              <wps:spPr bwMode="auto">
                                <a:xfrm>
                                  <a:off x="2584" y="2065"/>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成型</w:t>
                                    </w:r>
                                  </w:p>
                                </w:txbxContent>
                              </wps:txbx>
                              <wps:bodyPr rot="0" vert="horz" wrap="square" lIns="91440" tIns="45720" rIns="91440" bIns="45720" anchor="t" anchorCtr="0" upright="1">
                                <a:noAutofit/>
                              </wps:bodyPr>
                            </wps:wsp>
                            <wps:wsp>
                              <wps:cNvPr id="107" name="Line 80"/>
                              <wps:cNvCnPr>
                                <a:cxnSpLocks noChangeShapeType="1"/>
                              </wps:cNvCnPr>
                              <wps:spPr bwMode="auto">
                                <a:xfrm>
                                  <a:off x="3319" y="2448"/>
                                  <a:ext cx="1" cy="261"/>
                                </a:xfrm>
                                <a:prstGeom prst="line">
                                  <a:avLst/>
                                </a:prstGeom>
                                <a:noFill/>
                                <a:ln w="9525">
                                  <a:solidFill>
                                    <a:srgbClr val="000000"/>
                                  </a:solidFill>
                                  <a:round/>
                                  <a:tailEnd type="triangle" w="med" len="med"/>
                                </a:ln>
                                <a:effectLst/>
                              </wps:spPr>
                              <wps:bodyPr/>
                            </wps:wsp>
                            <wps:wsp>
                              <wps:cNvPr id="29" name="Rectangle 83"/>
                              <wps:cNvSpPr>
                                <a:spLocks noChangeArrowheads="1"/>
                              </wps:cNvSpPr>
                              <wps:spPr bwMode="auto">
                                <a:xfrm>
                                  <a:off x="586" y="3998"/>
                                  <a:ext cx="1271"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叉车</w:t>
                                    </w:r>
                                  </w:p>
                                </w:txbxContent>
                              </wps:txbx>
                              <wps:bodyPr rot="0" vert="horz" wrap="square" lIns="91440" tIns="45720" rIns="91440" bIns="45720" anchor="t" anchorCtr="0" upright="1">
                                <a:noAutofit/>
                              </wps:bodyPr>
                            </wps:wsp>
                            <wps:wsp>
                              <wps:cNvPr id="30" name="Line 79"/>
                              <wps:cNvCnPr>
                                <a:cxnSpLocks noChangeShapeType="1"/>
                                <a:endCxn id="66" idx="3"/>
                              </wps:cNvCnPr>
                              <wps:spPr bwMode="auto">
                                <a:xfrm flipH="1">
                                  <a:off x="1857" y="4170"/>
                                  <a:ext cx="727" cy="19"/>
                                </a:xfrm>
                                <a:prstGeom prst="line">
                                  <a:avLst/>
                                </a:prstGeom>
                                <a:noFill/>
                                <a:ln w="9525">
                                  <a:solidFill>
                                    <a:srgbClr val="000000"/>
                                  </a:solidFill>
                                  <a:round/>
                                  <a:tailEnd type="triangle" w="med" len="med"/>
                                </a:ln>
                                <a:effectLst/>
                              </wps:spPr>
                              <wps:bodyPr/>
                            </wps:wsp>
                            <wps:wsp>
                              <wps:cNvPr id="31" name="Rectangle 61"/>
                              <wps:cNvSpPr>
                                <a:spLocks noChangeArrowheads="1"/>
                              </wps:cNvSpPr>
                              <wps:spPr bwMode="auto">
                                <a:xfrm>
                                  <a:off x="508" y="133"/>
                                  <a:ext cx="1469" cy="379"/>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储料仓</w:t>
                                    </w:r>
                                  </w:p>
                                </w:txbxContent>
                              </wps:txbx>
                              <wps:bodyPr rot="0" vert="horz" wrap="square" lIns="91440" tIns="45720" rIns="91440" bIns="45720" anchor="t" anchorCtr="0" upright="1">
                                <a:noAutofit/>
                              </wps:bodyPr>
                            </wps:wsp>
                            <wps:wsp>
                              <wps:cNvPr id="32" name="Rectangle 65"/>
                              <wps:cNvSpPr>
                                <a:spLocks noChangeArrowheads="1"/>
                              </wps:cNvSpPr>
                              <wps:spPr bwMode="auto">
                                <a:xfrm>
                                  <a:off x="508" y="771"/>
                                  <a:ext cx="1469" cy="381"/>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铁器</w:t>
                                    </w:r>
                                  </w:p>
                                </w:txbxContent>
                              </wps:txbx>
                              <wps:bodyPr rot="0" vert="horz" wrap="square" lIns="91440" tIns="45720" rIns="91440" bIns="45720" anchor="t" anchorCtr="0" upright="1">
                                <a:noAutofit/>
                              </wps:bodyPr>
                            </wps:wsp>
                            <wps:wsp>
                              <wps:cNvPr id="33" name="Rectangle 66"/>
                              <wps:cNvSpPr>
                                <a:spLocks noChangeArrowheads="1"/>
                              </wps:cNvSpPr>
                              <wps:spPr bwMode="auto">
                                <a:xfrm>
                                  <a:off x="508" y="1409"/>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振动筛</w:t>
                                    </w:r>
                                  </w:p>
                                </w:txbxContent>
                              </wps:txbx>
                              <wps:bodyPr rot="0" vert="horz" wrap="square" lIns="91440" tIns="45720" rIns="91440" bIns="45720" anchor="t" anchorCtr="0" upright="1">
                                <a:noAutofit/>
                              </wps:bodyPr>
                            </wps:wsp>
                            <wps:wsp>
                              <wps:cNvPr id="34" name="Rectangle 67"/>
                              <wps:cNvSpPr>
                                <a:spLocks noChangeArrowheads="1"/>
                              </wps:cNvSpPr>
                              <wps:spPr bwMode="auto">
                                <a:xfrm>
                                  <a:off x="508" y="2684"/>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斗式提升机</w:t>
                                    </w:r>
                                  </w:p>
                                </w:txbxContent>
                              </wps:txbx>
                              <wps:bodyPr rot="0" vert="horz" wrap="square" lIns="91440" tIns="45720" rIns="91440" bIns="45720" anchor="t" anchorCtr="0" upright="1">
                                <a:noAutofit/>
                              </wps:bodyPr>
                            </wps:wsp>
                            <wps:wsp>
                              <wps:cNvPr id="35" name="Rectangle 81"/>
                              <wps:cNvSpPr>
                                <a:spLocks noChangeArrowheads="1"/>
                              </wps:cNvSpPr>
                              <wps:spPr bwMode="auto">
                                <a:xfrm>
                                  <a:off x="508" y="3322"/>
                                  <a:ext cx="1469" cy="383"/>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颚式破碎机</w:t>
                                    </w:r>
                                  </w:p>
                                </w:txbxContent>
                              </wps:txbx>
                              <wps:bodyPr rot="0" vert="horz" wrap="square" lIns="91440" tIns="45720" rIns="91440" bIns="45720" anchor="t" anchorCtr="0" upright="1">
                                <a:noAutofit/>
                              </wps:bodyPr>
                            </wps:wsp>
                            <wps:wsp>
                              <wps:cNvPr id="74" name="Rectangle 67"/>
                              <wps:cNvSpPr>
                                <a:spLocks noChangeArrowheads="1"/>
                              </wps:cNvSpPr>
                              <wps:spPr bwMode="auto">
                                <a:xfrm>
                                  <a:off x="508" y="2053"/>
                                  <a:ext cx="1469" cy="382"/>
                                </a:xfrm>
                                <a:prstGeom prst="rect">
                                  <a:avLst/>
                                </a:prstGeom>
                                <a:solidFill>
                                  <a:srgbClr val="FFFFFF"/>
                                </a:solid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立式冲击破</w:t>
                                    </w:r>
                                  </w:p>
                                </w:txbxContent>
                              </wps:txbx>
                              <wps:bodyPr rot="0" vert="horz" wrap="square" lIns="91440" tIns="45720" rIns="91440" bIns="45720" anchor="t" anchorCtr="0" upright="1">
                                <a:noAutofit/>
                              </wps:bodyPr>
                            </wps:wsp>
                            <wps:wsp>
                              <wps:cNvPr id="156" name="Rectangle 53"/>
                              <wps:cNvSpPr>
                                <a:spLocks noChangeArrowheads="1"/>
                              </wps:cNvSpPr>
                              <wps:spPr bwMode="auto">
                                <a:xfrm>
                                  <a:off x="508" y="-551"/>
                                  <a:ext cx="1469" cy="381"/>
                                </a:xfrm>
                                <a:prstGeom prst="rect">
                                  <a:avLst/>
                                </a:prstGeom>
                                <a:noFill/>
                                <a:ln w="9525">
                                  <a:solidFill>
                                    <a:srgbClr val="000000"/>
                                  </a:solidFill>
                                  <a:miter lim="800000"/>
                                </a:ln>
                                <a:effectLst/>
                              </wps:spPr>
                              <wps:txb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吨袋包装机</w:t>
                                    </w:r>
                                  </w:p>
                                </w:txbxContent>
                              </wps:txbx>
                              <wps:bodyPr rot="0" vert="horz" wrap="square" lIns="91440" tIns="45720" rIns="91440" bIns="45720" anchor="t" anchorCtr="0" upright="1">
                                <a:noAutofit/>
                              </wps:bodyPr>
                            </wps:wsp>
                          </wpg:wgp>
                        </a:graphicData>
                      </a:graphic>
                    </wp:anchor>
                  </w:drawing>
                </mc:Choice>
                <mc:Fallback>
                  <w:pict>
                    <v:group id="Group 48" o:spid="_x0000_s1026" o:spt="203" alt="2F1BB93544974aabB2EEA081C308AE78# #组合 1072" style="position:absolute;left:0pt;margin-left:22.85pt;margin-top:19.7pt;height:696pt;width:448.5pt;z-index:251667456;mso-width-relative:page;mso-height-relative:page;" coordorigin="-12,-2412" coordsize="6906,10210" o:gfxdata="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">
                      <o:lock v:ext="edit" aspectratio="f"/>
                      <v:rect id="AutoShape 49" o:spid="_x0000_s1026" o:spt="1" style="position:absolute;left:-12;top:-2412;height:10210;width:6906;" filled="f" stroked="f" coordsize="21600,21600" o:gfxdata="UEsDBAoAAAAAAIdO4kAAAAAAAAAAAAAAAAAEAAAAZHJzL1BLAwQUAAAACACHTuJA3E+K1b0AAADa&#10;AAAADwAAAGRycy9kb3ducmV2LnhtbEWPQWvCQBSE74X+h+UVvJRmo0g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T4rVvQAA&#10;ANoAAAAPAAAAAAAAAAEAIAAAACIAAABkcnMvZG93bnJldi54bWxQSwECFAAUAAAACACHTuJAMy8F&#10;njsAAAA5AAAAEAAAAAAAAAABACAAAAAMAQAAZHJzL3NoYXBleG1sLnhtbFBLBQYAAAAABgAGAFsB&#10;AAC2AwAAAAA=&#10;">
                        <v:fill on="f" focussize="0,0"/>
                        <v:stroke on="f"/>
                        <v:imagedata o:title=""/>
                        <o:lock v:ext="edit" text="t" aspectratio="t"/>
                      </v:rect>
                      <v:rect id="Rectangle 50" o:spid="_x0000_s1026" o:spt="1" style="position:absolute;left:2584;top:-2412;height:369;width:1469;" filled="f" stroked="t" coordsize="21600,21600" o:gfxdata="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TgwfugAAANoA&#10;AAAPAAAAAAAAAAEAIAAAACIAAABkcnMvZG93bnJldi54bWxQSwECFAAUAAAACACHTuJAMy8FnjsA&#10;AAA5AAAAEAAAAAAAAAABACAAAAAJAQAAZHJzL3NoYXBleG1sLnhtbFBLBQYAAAAABgAGAFsBAACz&#10;AwAAAAA=&#10;">
                        <v:fill on="f"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进厂吨袋料</w:t>
                              </w:r>
                            </w:p>
                          </w:txbxContent>
                        </v:textbox>
                      </v:rect>
                      <v:rect id="Rectangle 51" o:spid="_x0000_s1026" o:spt="1" style="position:absolute;left:2584;top:-1774;height:380;width:1469;" filled="f" stroked="t" coordsize="21600,21600" o:gfxdata="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nJJougAAANoA&#10;AAAPAAAAAAAAAAEAIAAAACIAAABkcnMvZG93bnJldi54bWxQSwECFAAUAAAACACHTuJAMy8FnjsA&#10;AAA5AAAAEAAAAAAAAAABACAAAAAJAQAAZHJzL3NoYXBleG1sLnhtbFBLBQYAAAAABgAGAFsBAACz&#10;AwAAAAA=&#10;">
                        <v:fill on="f"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自动化原料立库</w:t>
                              </w:r>
                            </w:p>
                          </w:txbxContent>
                        </v:textbox>
                      </v:rect>
                      <v:rect id="Rectangle 52" o:spid="_x0000_s1026" o:spt="1" style="position:absolute;left:2584;top:-1136;height:381;width:1469;" filled="f" stroked="t" coordsize="21600,21600" o:gfxdata="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0DfzugAAANoA&#10;AAAPAAAAAAAAAAEAIAAAACIAAABkcnMvZG93bnJldi54bWxQSwECFAAUAAAACACHTuJAMy8FnjsA&#10;AAA5AAAAEAAAAAAAAAABACAAAAAJAQAAZHJzL3NoYXBleG1sLnhtbFBLBQYAAAAABgAGAFsBAACz&#10;AwAAAAA=&#10;">
                        <v:fill on="f"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布料小车</w:t>
                              </w:r>
                            </w:p>
                          </w:txbxContent>
                        </v:textbox>
                      </v:rect>
                      <v:rect id="Rectangle 53" o:spid="_x0000_s1026" o:spt="1" style="position:absolute;left:2584;top:-498;height:381;width:1469;" filled="f" stroked="t" coordsize="21600,21600" o:gfxdata="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5Po4G2AAAA2gAAAA8A&#10;AAAAAAAAAQAgAAAAIgAAAGRycy9kb3ducmV2LnhtbFBLAQIUABQAAAAIAIdO4kAzLwWeOwAAADkA&#10;AAAQAAAAAAAAAAEAIAAAAAUBAABkcnMvc2hhcGV4bWwueG1sUEsFBgAAAAAGAAYAWwEAAK8DAAAA&#10;AA==&#10;">
                        <v:fill on="f"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配料仓</w:t>
                              </w:r>
                            </w:p>
                          </w:txbxContent>
                        </v:textbox>
                      </v:rect>
                      <v:rect id="Rectangle 61" o:spid="_x0000_s1026" o:spt="1" style="position:absolute;left:2584;top:145;height:379;width:1469;"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中间过渡仓</w:t>
                              </w:r>
                            </w:p>
                          </w:txbxContent>
                        </v:textbox>
                      </v:rect>
                      <v:line id="Line 64" o:spid="_x0000_s1026" o:spt="20" style="position:absolute;left:3319;top:-2029;height:258;width:1;"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Rectangle 65" o:spid="_x0000_s1026" o:spt="1" style="position:absolute;left:2584;top:783;height:381;width:1469;"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自动配料车</w:t>
                              </w:r>
                            </w:p>
                          </w:txbxContent>
                        </v:textbox>
                      </v:rect>
                      <v:rect id="Rectangle 66" o:spid="_x0000_s1026" o:spt="1" style="position:absolute;left:2584;top:1421;height:382;width:1469;" fillcolor="#FFFFFF" filled="t" stroked="t" coordsize="21600,21600" o:gfxdata="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pxiS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混合</w:t>
                              </w:r>
                            </w:p>
                          </w:txbxContent>
                        </v:textbox>
                      </v:rect>
                      <v:rect id="Rectangle 67" o:spid="_x0000_s1026" o:spt="1" style="position:absolute;left:2584;top:2696;height:382;width:1469;" fillcolor="#FFFFFF" filled="t" stroked="t" coordsize="21600,21600" o:gfxdata="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670J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干燥</w:t>
                              </w:r>
                            </w:p>
                          </w:txbxContent>
                        </v:textbox>
                      </v:rect>
                      <v:line id="Line 68" o:spid="_x0000_s1026" o:spt="20" style="position:absolute;left:3319;top:-753;height:259;width:1;" filled="f" stroked="t" coordsize="21600,21600" o:gfxdata="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QzBR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Line 69" o:spid="_x0000_s1026" o:spt="20" style="position:absolute;left:3319;top:-1391;height:258;width:1;"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Line 70" o:spid="_x0000_s1026" o:spt="20" style="position:absolute;left:3319;top:-115;height:260;width:1;" filled="f" stroked="t" coordsize="21600,21600" o:gfxdata="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ff8K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75" o:spid="_x0000_s1026" o:spt="20" style="position:absolute;left:3319;top:528;height:261;width:1;" filled="f" stroked="t" coordsize="21600,21600" o:gfxdata="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k1U2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76" o:spid="_x0000_s1026" o:spt="20" style="position:absolute;left:3319;top:1166;height:261;width:1;" filled="f" stroked="t" coordsize="21600,21600" o:gfxdata="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FNha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Line 77" o:spid="_x0000_s1026" o:spt="20" style="position:absolute;left:3319;top:1804;height:261;width:1;" filled="f" stroked="t" coordsize="21600,21600" o:gfxdata="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ImTj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Rectangle 78" o:spid="_x0000_s1026" o:spt="1" style="position:absolute;left:4641;top:1421;height:379;width:1302;" fillcolor="#FFFFFF" filled="t" stroked="t" coordsize="21600,21600" o:gfxdata="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bu/A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结合剂</w:t>
                              </w:r>
                            </w:p>
                          </w:txbxContent>
                        </v:textbox>
                      </v:rect>
                      <v:line id="Line 79" o:spid="_x0000_s1026" o:spt="20" style="position:absolute;left:4053;top:1640;flip:x;height:1;width:590;" filled="f" stroked="t" coordsize="21600,21600" o:gfxdata="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e18t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80" o:spid="_x0000_s1026" o:spt="20" style="position:absolute;left:3319;top:3079;height:261;width:1;" filled="f" stroked="t" coordsize="21600,21600" o:gfxdata="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vkxB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Rectangle 81" o:spid="_x0000_s1026" o:spt="1" style="position:absolute;left:2584;top:3334;height:383;width:1469;" fillcolor="#FFFFFF" filled="t" stroked="t" coordsize="21600,21600" o:gfxdata="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nYO8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烧成</w:t>
                              </w:r>
                            </w:p>
                          </w:txbxContent>
                        </v:textbox>
                      </v:rect>
                      <v:line id="Line 82" o:spid="_x0000_s1026" o:spt="20" style="position:absolute;left:3319;top:3718;height:261;width:1;" filled="f" stroked="t" coordsize="21600,21600" o:gfxdata="UEsDBAoAAAAAAIdO4kAAAAAAAAAAAAAAAAAEAAAAZHJzL1BLAwQUAAAACACHTuJA2P4wFb8AAADb&#10;AAAADwAAAGRycy9kb3ducmV2LnhtbEWPT2vCQBTE7wW/w/IEb3UTk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MB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Rectangle 83" o:spid="_x0000_s1026" o:spt="1" style="position:absolute;left:2597;top:3973;height:382;width:1469;" fillcolor="#FFFFFF" filled="t" stroked="t" coordsize="21600,21600" o:gfxdata="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h3e0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拣选</w:t>
                              </w:r>
                            </w:p>
                          </w:txbxContent>
                        </v:textbox>
                      </v:rect>
                      <v:line id="Line 84" o:spid="_x0000_s1026" o:spt="20" style="position:absolute;left:3319;top:4356;height:261;width:1;" filled="f" stroked="t" coordsize="21600,21600" o:gfxdata="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2A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Rectangle 85" o:spid="_x0000_s1026" o:spt="1" style="position:absolute;left:2584;top:5249;height:382;width:1469;" fillcolor="#FFFFFF" filled="t" stroked="t" coordsize="21600,21600" o:gfxdata="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htgq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自动化成品立库</w:t>
                              </w:r>
                            </w:p>
                          </w:txbxContent>
                        </v:textbox>
                      </v:rect>
                      <v:rect id="Rectangle 92" o:spid="_x0000_s1026" o:spt="1" style="position:absolute;left:2584;top:4611;height:382;width:1469;" fillcolor="#FFFFFF" filled="t" stroked="t" coordsize="21600,21600" o:gfxdata="UEsDBAoAAAAAAIdO4kAAAAAAAAAAAAAAAAAEAAAAZHJzL1BLAwQUAAAACACHTuJA/8p+HLoAAADc&#10;AAAADwAAAGRycy9kb3ducmV2LnhtbEVPPW/CMBDdK/EfrENiKza0Qh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n4cugAAANw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包装</w:t>
                              </w:r>
                            </w:p>
                          </w:txbxContent>
                        </v:textbox>
                      </v:rect>
                      <v:line id="Line 93" o:spid="_x0000_s1026" o:spt="20" style="position:absolute;left:3318;top:4994;height:261;width:1;" filled="f" stroked="t" coordsize="21600,21600" o:gfxdata="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yl0u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Rectangle 67" o:spid="_x0000_s1026" o:spt="1" style="position:absolute;left:2584;top:2065;height:382;width:1469;"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成型</w:t>
                              </w:r>
                            </w:p>
                          </w:txbxContent>
                        </v:textbox>
                      </v:rect>
                      <v:line id="Line 80" o:spid="_x0000_s1026" o:spt="20" style="position:absolute;left:3319;top:2448;height:261;width:1;" filled="f" stroked="t" coordsize="21600,21600" o:gfxdata="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VGbC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Rectangle 83" o:spid="_x0000_s1026" o:spt="1" style="position:absolute;left:586;top:3998;height:382;width:1271;" fillcolor="#FFFFFF" filled="t" stroked="t" coordsize="21600,21600" o:gfxdata="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KfbG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叉车</w:t>
                              </w:r>
                            </w:p>
                          </w:txbxContent>
                        </v:textbox>
                      </v:rect>
                      <v:line id="Line 79" o:spid="_x0000_s1026" o:spt="20" style="position:absolute;left:1857;top:4170;flip:x;height:19;width:727;" filled="f" stroked="t" coordsize="21600,21600" o:gfxdata="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jHhhe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rect id="Rectangle 61" o:spid="_x0000_s1026" o:spt="1" style="position:absolute;left:508;top:133;height:379;width:1469;" fillcolor="#FFFFFF" filled="t" stroked="t" coordsize="21600,21600" o:gfxdata="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l52q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储料仓</w:t>
                              </w:r>
                            </w:p>
                          </w:txbxContent>
                        </v:textbox>
                      </v:rect>
                      <v:rect id="Rectangle 65" o:spid="_x0000_s1026" o:spt="1" style="position:absolute;left:508;top:771;height:381;width:1469;" fillcolor="#FFFFFF" filled="t" stroked="t" coordsize="21600,21600" o:gfxdata="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3eR2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铁器</w:t>
                              </w:r>
                            </w:p>
                          </w:txbxContent>
                        </v:textbox>
                      </v:rect>
                      <v:rect id="Rectangle 66" o:spid="_x0000_s1026" o:spt="1" style="position:absolute;left:508;top:1409;height:382;width:1469;" fillcolor="#FFFFFF" filled="t" stroked="t" coordsize="21600,21600" o:gfxdata="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73Ia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振动筛</w:t>
                              </w:r>
                            </w:p>
                          </w:txbxContent>
                        </v:textbox>
                      </v:rect>
                      <v:rect id="Rectangle 67" o:spid="_x0000_s1026" o:spt="1" style="position:absolute;left:508;top:2684;height:382;width:1469;" fillcolor="#FFFFFF" filled="t" stroked="t" coordsize="21600,21600" o:gfxdata="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EkTy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斗式提升机</w:t>
                              </w:r>
                            </w:p>
                          </w:txbxContent>
                        </v:textbox>
                      </v:rect>
                      <v:rect id="Rectangle 81" o:spid="_x0000_s1026" o:spt="1" style="position:absolute;left:508;top:3322;height:383;width:1469;" fillcolor="#FFFFFF" filled="t" stroked="t" coordsize="21600,21600" o:gfxdata="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5e4Wm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颚式破碎机</w:t>
                              </w:r>
                            </w:p>
                          </w:txbxContent>
                        </v:textbox>
                      </v:rect>
                      <v:rect id="Rectangle 67" o:spid="_x0000_s1026" o:spt="1" style="position:absolute;left:508;top:2053;height:382;width:1469;" fillcolor="#FFFFFF" filled="t" stroked="t" coordsize="21600,21600" o:gfxdata="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eP0y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立式冲击破</w:t>
                              </w:r>
                            </w:p>
                          </w:txbxContent>
                        </v:textbox>
                      </v:rect>
                      <v:rect id="Rectangle 53" o:spid="_x0000_s1026" o:spt="1" style="position:absolute;left:508;top:-551;height:381;width:1469;" filled="f" stroked="t" coordsize="21600,21600" o:gfxdata="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cngugAAANwA&#10;AAAPAAAAAAAAAAEAIAAAACIAAABkcnMvZG93bnJldi54bWxQSwECFAAUAAAACACHTuJAMy8FnjsA&#10;AAA5AAAAEAAAAAAAAAABACAAAAAJAQAAZHJzL3NoYXBleG1sLnhtbFBLBQYAAAAABgAGAFsBAACz&#10;AwAAAAA=&#10;">
                        <v:fill on="f" focussize="0,0"/>
                        <v:stroke color="#000000" miterlimit="8" joinstyle="miter"/>
                        <v:imagedata o:title=""/>
                        <o:lock v:ext="edit" aspectratio="f"/>
                        <v:textbox>
                          <w:txbxContent>
                            <w:p>
                              <w:pPr>
                                <w:widowControl w:val="0"/>
                                <w:spacing w:line="240" w:lineRule="auto"/>
                                <w:ind w:firstLine="0"/>
                                <w:jc w:val="center"/>
                                <w:textAlignment w:val="baseline"/>
                                <w:rPr>
                                  <w:rFonts w:ascii="Times New Roman" w:hAnsi="Times New Roman" w:eastAsia="宋体" w:cs="Times New Roman"/>
                                  <w:color w:val="000000"/>
                                  <w:kern w:val="0"/>
                                </w:rPr>
                              </w:pPr>
                              <w:r>
                                <w:rPr>
                                  <w:rFonts w:hint="eastAsia" w:ascii="Times New Roman" w:hAnsi="Times New Roman" w:eastAsia="宋体" w:cs="Times New Roman"/>
                                  <w:color w:val="000000"/>
                                  <w:kern w:val="0"/>
                                </w:rPr>
                                <w:t>吨袋包装机</w:t>
                              </w:r>
                            </w:p>
                          </w:txbxContent>
                        </v:textbox>
                      </v:rect>
                    </v:group>
                  </w:pict>
                </mc:Fallback>
              </mc:AlternateContent>
            </w:r>
          </w:p>
          <w:p>
            <w:pPr>
              <w:widowControl/>
              <w:spacing w:line="240" w:lineRule="auto"/>
              <w:ind w:firstLine="0"/>
              <w:textAlignment w:val="baseline"/>
              <w:rPr>
                <w:rFonts w:ascii="Times New Roman" w:hAnsi="Times New Roman" w:eastAsia="宋体" w:cs="Times New Roman"/>
                <w:b/>
                <w:color w:val="auto"/>
                <w:kern w:val="0"/>
                <w:sz w:val="28"/>
                <w:szCs w:val="28"/>
              </w:rPr>
            </w:pPr>
          </w:p>
          <w:p>
            <w:pPr>
              <w:widowControl/>
              <w:tabs>
                <w:tab w:val="left" w:pos="1470"/>
              </w:tabs>
              <w:spacing w:line="351" w:lineRule="atLeast"/>
              <w:ind w:firstLine="419"/>
              <w:textAlignment w:val="baseline"/>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mc:AlternateContent>
                <mc:Choice Requires="wps">
                  <w:drawing>
                    <wp:anchor distT="0" distB="0" distL="114300" distR="114300" simplePos="0" relativeHeight="251675648" behindDoc="0" locked="0" layoutInCell="1" allowOverlap="1">
                      <wp:simplePos x="0" y="0"/>
                      <wp:positionH relativeFrom="column">
                        <wp:posOffset>1931670</wp:posOffset>
                      </wp:positionH>
                      <wp:positionV relativeFrom="paragraph">
                        <wp:posOffset>154305</wp:posOffset>
                      </wp:positionV>
                      <wp:extent cx="485775" cy="1071880"/>
                      <wp:effectExtent l="0" t="38100" r="9525" b="13970"/>
                      <wp:wrapNone/>
                      <wp:docPr id="157" name="连接符: 肘形 157"/>
                      <wp:cNvGraphicFramePr/>
                      <a:graphic xmlns:a="http://schemas.openxmlformats.org/drawingml/2006/main">
                        <a:graphicData uri="http://schemas.microsoft.com/office/word/2010/wordprocessingShape">
                          <wps:wsp>
                            <wps:cNvCnPr/>
                            <wps:spPr>
                              <a:xfrm flipV="1">
                                <a:off x="0" y="0"/>
                                <a:ext cx="485458" cy="1072116"/>
                              </a:xfrm>
                              <a:prstGeom prst="bentConnector3">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连接符: 肘形 157" o:spid="_x0000_s1026" o:spt="34" type="#_x0000_t34" style="position:absolute;left:0pt;flip:y;margin-left:152.1pt;margin-top:12.15pt;height:84.4pt;width:38.25pt;z-index:251675648;mso-width-relative:page;mso-height-relative:page;" filled="f" stroked="t" coordsize="21600,21600" o:gfxdata="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p&#10;pRvM2gAAAAoBAAAPAAAAAAAAAAEAIAAAACIAAABkcnMvZG93bnJldi54bWxQSwECFAAUAAAACACH&#10;TuJALZc3WCICAAAOBAAADgAAAAAAAAABACAAAAApAQAAZHJzL2Uyb0RvYy54bWxQSwUGAAAAAAYA&#10;BgBZAQAAvQUAAAAA&#10;" adj="10800">
                      <v:fill on="f" focussize="0,0"/>
                      <v:stroke weight="0.5pt" color="#000000" miterlimit="8" joinstyle="miter" endarrow="block"/>
                      <v:imagedata o:title=""/>
                      <o:lock v:ext="edit" aspectratio="f"/>
                    </v:shape>
                  </w:pict>
                </mc:Fallback>
              </mc:AlternateContent>
            </w:r>
            <w:r>
              <w:rPr>
                <w:rFonts w:hint="eastAsia" w:ascii="Times New Roman" w:hAnsi="Times New Roman" w:eastAsia="宋体" w:cs="Times New Roman"/>
                <w:color w:val="auto"/>
                <w:kern w:val="0"/>
              </w:rPr>
              <w:t>`</w: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r>
              <w:rPr>
                <w:rFonts w:ascii="Times New Roman" w:hAnsi="Times New Roman" w:eastAsia="宋体"/>
                <w:sz w:val="28"/>
              </w:rPr>
              <mc:AlternateContent>
                <mc:Choice Requires="wps">
                  <w:drawing>
                    <wp:anchor distT="0" distB="0" distL="114300" distR="114300" simplePos="0" relativeHeight="251685888" behindDoc="0" locked="0" layoutInCell="1" allowOverlap="1">
                      <wp:simplePos x="0" y="0"/>
                      <wp:positionH relativeFrom="column">
                        <wp:posOffset>4131310</wp:posOffset>
                      </wp:positionH>
                      <wp:positionV relativeFrom="paragraph">
                        <wp:posOffset>133985</wp:posOffset>
                      </wp:positionV>
                      <wp:extent cx="814705" cy="264160"/>
                      <wp:effectExtent l="0" t="0" r="0" b="0"/>
                      <wp:wrapNone/>
                      <wp:docPr id="53" name="文本框 340"/>
                      <wp:cNvGraphicFramePr/>
                      <a:graphic xmlns:a="http://schemas.openxmlformats.org/drawingml/2006/main">
                        <a:graphicData uri="http://schemas.microsoft.com/office/word/2010/wordprocessingShape">
                          <wps:wsp>
                            <wps:cNvSpPr txBox="1"/>
                            <wps:spPr>
                              <a:xfrm>
                                <a:off x="0" y="0"/>
                                <a:ext cx="814705" cy="264160"/>
                              </a:xfrm>
                              <a:prstGeom prst="rect">
                                <a:avLst/>
                              </a:prstGeom>
                              <a:noFill/>
                              <a:ln>
                                <a:noFill/>
                              </a:ln>
                            </wps:spPr>
                            <wps:txbx>
                              <w:txbxContent>
                                <w:p>
                                  <w:pPr>
                                    <w:rPr>
                                      <w:rFonts w:hint="default" w:eastAsia="宋体"/>
                                      <w:lang w:val="en-US" w:eastAsia="zh-CN"/>
                                    </w:rPr>
                                  </w:pPr>
                                  <w:r>
                                    <w:rPr>
                                      <w:rFonts w:hint="eastAsia"/>
                                      <w:lang w:val="en-US" w:eastAsia="zh-CN"/>
                                    </w:rPr>
                                    <w:t>G1：颗粒物</w:t>
                                  </w:r>
                                </w:p>
                              </w:txbxContent>
                            </wps:txbx>
                            <wps:bodyPr vert="horz" wrap="square" anchor="t" upright="1"/>
                          </wps:wsp>
                        </a:graphicData>
                      </a:graphic>
                    </wp:anchor>
                  </w:drawing>
                </mc:Choice>
                <mc:Fallback>
                  <w:pict>
                    <v:shape id="文本框 340" o:spid="_x0000_s1026" o:spt="202" type="#_x0000_t202" style="position:absolute;left:0pt;margin-left:325.3pt;margin-top:10.55pt;height:20.8pt;width:64.15pt;z-index:251685888;mso-width-relative:page;mso-height-relative:page;" filled="f" stroked="f" coordsize="21600,21600" o:gfxdata="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dgd7u1wAAAAkBAAAPAAAAAAAAAAEAIAAAACIAAABkcnMvZG93&#10;bnJldi54bWxQSwECFAAUAAAACACHTuJA9ujBssgBAAB1AwAADgAAAAAAAAABACAAAAAmAQAAZHJz&#10;L2Uyb0RvYy54bWxQSwUGAAAAAAYABgBZAQAAYAUAAAAA&#10;">
                      <v:fill on="f" focussize="0,0"/>
                      <v:stroke on="f"/>
                      <v:imagedata o:title=""/>
                      <o:lock v:ext="edit" aspectratio="f"/>
                      <v:textbox>
                        <w:txbxContent>
                          <w:p>
                            <w:pPr>
                              <w:rPr>
                                <w:rFonts w:hint="default" w:eastAsia="宋体"/>
                                <w:lang w:val="en-US" w:eastAsia="zh-CN"/>
                              </w:rPr>
                            </w:pPr>
                            <w:r>
                              <w:rPr>
                                <w:rFonts w:hint="eastAsia"/>
                                <w:lang w:val="en-US" w:eastAsia="zh-CN"/>
                              </w:rPr>
                              <w:t>G1：颗粒物</w:t>
                            </w:r>
                          </w:p>
                        </w:txbxContent>
                      </v:textbox>
                    </v:shape>
                  </w:pict>
                </mc:Fallback>
              </mc:AlternateContent>
            </w:r>
            <w:r>
              <w:rPr>
                <w:rFonts w:ascii="Times New Roman" w:hAnsi="Times New Roman" w:eastAsia="宋体"/>
                <w:sz w:val="28"/>
              </w:rPr>
              <mc:AlternateContent>
                <mc:Choice Requires="wps">
                  <w:drawing>
                    <wp:anchor distT="0" distB="0" distL="114300" distR="114300" simplePos="0" relativeHeight="251678720" behindDoc="0" locked="0" layoutInCell="1" allowOverlap="1">
                      <wp:simplePos x="0" y="0"/>
                      <wp:positionH relativeFrom="column">
                        <wp:posOffset>3653790</wp:posOffset>
                      </wp:positionH>
                      <wp:positionV relativeFrom="paragraph">
                        <wp:posOffset>270510</wp:posOffset>
                      </wp:positionV>
                      <wp:extent cx="439420" cy="635"/>
                      <wp:effectExtent l="0" t="48895" r="17780" b="64770"/>
                      <wp:wrapNone/>
                      <wp:docPr id="46" name="直线 330"/>
                      <wp:cNvGraphicFramePr/>
                      <a:graphic xmlns:a="http://schemas.openxmlformats.org/drawingml/2006/main">
                        <a:graphicData uri="http://schemas.microsoft.com/office/word/2010/wordprocessingShape">
                          <wps:wsp>
                            <wps:cNvCnPr/>
                            <wps:spPr>
                              <a:xfrm>
                                <a:off x="0" y="0"/>
                                <a:ext cx="439420" cy="635"/>
                              </a:xfrm>
                              <a:prstGeom prst="line">
                                <a:avLst/>
                              </a:prstGeom>
                              <a:ln w="9525" cap="flat" cmpd="sng">
                                <a:solidFill>
                                  <a:srgbClr val="000000"/>
                                </a:solidFill>
                                <a:prstDash val="dash"/>
                                <a:headEnd type="none" w="med" len="med"/>
                                <a:tailEnd type="arrow" w="med" len="med"/>
                              </a:ln>
                            </wps:spPr>
                            <wps:bodyPr upright="1"/>
                          </wps:wsp>
                        </a:graphicData>
                      </a:graphic>
                    </wp:anchor>
                  </w:drawing>
                </mc:Choice>
                <mc:Fallback>
                  <w:pict>
                    <v:line id="直线 330" o:spid="_x0000_s1026" o:spt="20" style="position:absolute;left:0pt;margin-left:287.7pt;margin-top:21.3pt;height:0.05pt;width:34.6pt;z-index:251678720;mso-width-relative:page;mso-height-relative:page;" filled="f" stroked="t" coordsize="21600,21600" o:gfxdata="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Tl0XdgAAAAJAQAADwAAAAAAAAABACAAAAAiAAAAZHJzL2Rvd25yZXYueG1sUEsBAhQAFAAA&#10;AAgAh07iQEl53nnvAQAA3wMAAA4AAAAAAAAAAQAgAAAAJwEAAGRycy9lMm9Eb2MueG1sUEsFBgAA&#10;AAAGAAYAWQEAAIgFAAAAAA==&#10;">
                      <v:fill on="f" focussize="0,0"/>
                      <v:stroke color="#000000" joinstyle="round" dashstyle="dash" endarrow="open"/>
                      <v:imagedata o:title=""/>
                      <o:lock v:ext="edit" aspectratio="f"/>
                    </v:line>
                  </w:pict>
                </mc:Fallback>
              </mc:AlternateContent>
            </w:r>
            <w:r>
              <w:rPr>
                <w:rFonts w:ascii="Times New Roman" w:hAnsi="Times New Roman" w:eastAsia="宋体" w:cs="Times New Roman"/>
                <w:color w:val="auto"/>
                <w:kern w:val="0"/>
                <w:sz w:val="28"/>
                <w:szCs w:val="28"/>
              </w:rPr>
              <mc:AlternateContent>
                <mc:Choice Requires="wps">
                  <w:drawing>
                    <wp:anchor distT="0" distB="0" distL="114300" distR="114300" simplePos="0" relativeHeight="251674624" behindDoc="0" locked="0" layoutInCell="1" allowOverlap="1">
                      <wp:simplePos x="0" y="0"/>
                      <wp:positionH relativeFrom="column">
                        <wp:posOffset>1316990</wp:posOffset>
                      </wp:positionH>
                      <wp:positionV relativeFrom="paragraph">
                        <wp:posOffset>387350</wp:posOffset>
                      </wp:positionV>
                      <wp:extent cx="0" cy="243205"/>
                      <wp:effectExtent l="38100" t="0" r="38100" b="4445"/>
                      <wp:wrapNone/>
                      <wp:docPr id="155" name="直接箭头连接符 155"/>
                      <wp:cNvGraphicFramePr/>
                      <a:graphic xmlns:a="http://schemas.openxmlformats.org/drawingml/2006/main">
                        <a:graphicData uri="http://schemas.microsoft.com/office/word/2010/wordprocessingShape">
                          <wps:wsp>
                            <wps:cNvCnPr/>
                            <wps:spPr>
                              <a:xfrm flipV="1">
                                <a:off x="0" y="0"/>
                                <a:ext cx="0" cy="2432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_x0000_s1026" o:spid="_x0000_s1026" o:spt="32" type="#_x0000_t32" style="position:absolute;left:0pt;flip:y;margin-left:103.7pt;margin-top:30.5pt;height:19.15pt;width:0pt;z-index:251674624;mso-width-relative:page;mso-height-relative:page;" filled="f" stroked="t" coordsize="21600,21600" o:gfxdata="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Fl3TFvXAAAA&#10;CQEAAA8AAAAAAAAAAQAgAAAAIgAAAGRycy9kb3ducmV2LnhtbFBLAQIUABQAAAAIAIdO4kBnF663&#10;HgIAABAEAAAOAAAAAAAAAAEAIAAAACYBAABkcnMvZTJvRG9jLnhtbFBLBQYAAAAABgAGAFkBAAC2&#10;BQAAAAA=&#10;">
                      <v:fill on="f" focussize="0,0"/>
                      <v:stroke weight="0.5pt" color="#000000" miterlimit="8" joinstyle="miter" endarrow="block"/>
                      <v:imagedata o:title=""/>
                      <o:lock v:ext="edit" aspectratio="f"/>
                    </v:shape>
                  </w:pict>
                </mc:Fallback>
              </mc:AlternateConten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r>
              <w:rPr>
                <w:rFonts w:ascii="Times New Roman" w:hAnsi="Times New Roman" w:eastAsia="宋体"/>
                <w:sz w:val="28"/>
              </w:rPr>
              <mc:AlternateContent>
                <mc:Choice Requires="wps">
                  <w:drawing>
                    <wp:anchor distT="0" distB="0" distL="114300" distR="114300" simplePos="0" relativeHeight="251686912" behindDoc="0" locked="0" layoutInCell="1" allowOverlap="1">
                      <wp:simplePos x="0" y="0"/>
                      <wp:positionH relativeFrom="column">
                        <wp:posOffset>4050665</wp:posOffset>
                      </wp:positionH>
                      <wp:positionV relativeFrom="paragraph">
                        <wp:posOffset>374650</wp:posOffset>
                      </wp:positionV>
                      <wp:extent cx="1003935" cy="264160"/>
                      <wp:effectExtent l="0" t="0" r="0" b="0"/>
                      <wp:wrapNone/>
                      <wp:docPr id="54" name="文本框 341"/>
                      <wp:cNvGraphicFramePr/>
                      <a:graphic xmlns:a="http://schemas.openxmlformats.org/drawingml/2006/main">
                        <a:graphicData uri="http://schemas.microsoft.com/office/word/2010/wordprocessingShape">
                          <wps:wsp>
                            <wps:cNvSpPr txBox="1"/>
                            <wps:spPr>
                              <a:xfrm>
                                <a:off x="0" y="0"/>
                                <a:ext cx="1003935" cy="264160"/>
                              </a:xfrm>
                              <a:prstGeom prst="rect">
                                <a:avLst/>
                              </a:prstGeom>
                              <a:noFill/>
                              <a:ln>
                                <a:noFill/>
                              </a:ln>
                            </wps:spPr>
                            <wps:txbx>
                              <w:txbxContent>
                                <w:p>
                                  <w:pPr>
                                    <w:rPr>
                                      <w:rFonts w:hint="default" w:eastAsia="宋体"/>
                                      <w:lang w:val="en-US" w:eastAsia="zh-CN"/>
                                    </w:rPr>
                                  </w:pPr>
                                  <w:r>
                                    <w:rPr>
                                      <w:rFonts w:hint="eastAsia"/>
                                      <w:lang w:val="en-US" w:eastAsia="zh-CN"/>
                                    </w:rPr>
                                    <w:t>G2：颗粒物</w:t>
                                  </w:r>
                                </w:p>
                              </w:txbxContent>
                            </wps:txbx>
                            <wps:bodyPr vert="horz" wrap="square" anchor="t" upright="1"/>
                          </wps:wsp>
                        </a:graphicData>
                      </a:graphic>
                    </wp:anchor>
                  </w:drawing>
                </mc:Choice>
                <mc:Fallback>
                  <w:pict>
                    <v:shape id="文本框 341" o:spid="_x0000_s1026" o:spt="202" type="#_x0000_t202" style="position:absolute;left:0pt;margin-left:318.95pt;margin-top:29.5pt;height:20.8pt;width:79.05pt;z-index:251686912;mso-width-relative:page;mso-height-relative:page;" filled="f" stroked="f" coordsize="21600,21600" o:gfxdata="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pInLJ1QAAAAoBAAAPAAAAAAAAAAEAIAAAACIAAABkcnMvZG93&#10;bnJldi54bWxQSwECFAAUAAAACACHTuJAgYhlA8oBAAB2AwAADgAAAAAAAAABACAAAAAkAQAAZHJz&#10;L2Uyb0RvYy54bWxQSwUGAAAAAAYABgBZAQAAYAUAAAAA&#10;">
                      <v:fill on="f" focussize="0,0"/>
                      <v:stroke on="f"/>
                      <v:imagedata o:title=""/>
                      <o:lock v:ext="edit" aspectratio="f"/>
                      <v:textbox>
                        <w:txbxContent>
                          <w:p>
                            <w:pPr>
                              <w:rPr>
                                <w:rFonts w:hint="default" w:eastAsia="宋体"/>
                                <w:lang w:val="en-US" w:eastAsia="zh-CN"/>
                              </w:rPr>
                            </w:pPr>
                            <w:r>
                              <w:rPr>
                                <w:rFonts w:hint="eastAsia"/>
                                <w:lang w:val="en-US" w:eastAsia="zh-CN"/>
                              </w:rPr>
                              <w:t>G2：颗粒物</w:t>
                            </w:r>
                          </w:p>
                        </w:txbxContent>
                      </v:textbox>
                    </v:shape>
                  </w:pict>
                </mc:Fallback>
              </mc:AlternateContent>
            </w:r>
            <w:r>
              <w:rPr>
                <w:rFonts w:ascii="Times New Roman" w:hAnsi="Times New Roman" w:eastAsia="宋体" w:cs="Times New Roman"/>
                <w:color w:val="auto"/>
                <w:kern w:val="0"/>
                <w:sz w:val="28"/>
                <w:szCs w:val="28"/>
              </w:rPr>
              <mc:AlternateContent>
                <mc:Choice Requires="wps">
                  <w:drawing>
                    <wp:anchor distT="0" distB="0" distL="114300" distR="114300" simplePos="0" relativeHeight="251672576" behindDoc="0" locked="0" layoutInCell="1" allowOverlap="1">
                      <wp:simplePos x="0" y="0"/>
                      <wp:positionH relativeFrom="column">
                        <wp:posOffset>1323975</wp:posOffset>
                      </wp:positionH>
                      <wp:positionV relativeFrom="paragraph">
                        <wp:posOffset>173355</wp:posOffset>
                      </wp:positionV>
                      <wp:extent cx="0" cy="243205"/>
                      <wp:effectExtent l="38100" t="0" r="38100" b="4445"/>
                      <wp:wrapNone/>
                      <wp:docPr id="41" name="直接箭头连接符 39"/>
                      <wp:cNvGraphicFramePr/>
                      <a:graphic xmlns:a="http://schemas.openxmlformats.org/drawingml/2006/main">
                        <a:graphicData uri="http://schemas.microsoft.com/office/word/2010/wordprocessingShape">
                          <wps:wsp>
                            <wps:cNvCnPr/>
                            <wps:spPr>
                              <a:xfrm flipV="1">
                                <a:off x="0" y="0"/>
                                <a:ext cx="0" cy="2432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直接箭头连接符 39" o:spid="_x0000_s1026" o:spt="32" type="#_x0000_t32" style="position:absolute;left:0pt;flip:y;margin-left:104.25pt;margin-top:13.65pt;height:19.15pt;width:0pt;z-index:251672576;mso-width-relative:page;mso-height-relative:page;" filled="f" stroked="t" coordsize="21600,21600" o:gfxdata="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gyT/NcAAAAJ&#10;AQAADwAAAAAAAAABACAAAAAiAAAAZHJzL2Rvd25yZXYueG1sUEsBAhQAFAAAAAgAh07iQESrLy4d&#10;AgAADgQAAA4AAAAAAAAAAQAgAAAAJgEAAGRycy9lMm9Eb2MueG1sUEsFBgAAAAAGAAYAWQEAALUF&#10;AAAAAA==&#10;">
                      <v:fill on="f" focussize="0,0"/>
                      <v:stroke weight="0.5pt" color="#000000" miterlimit="8" joinstyle="miter" endarrow="block"/>
                      <v:imagedata o:title=""/>
                      <o:lock v:ext="edit" aspectratio="f"/>
                    </v:shape>
                  </w:pict>
                </mc:Fallback>
              </mc:AlternateConten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r>
              <w:rPr>
                <w:rFonts w:ascii="Times New Roman" w:hAnsi="Times New Roman" w:eastAsia="宋体"/>
                <w:sz w:val="28"/>
              </w:rPr>
              <mc:AlternateContent>
                <mc:Choice Requires="wps">
                  <w:drawing>
                    <wp:anchor distT="0" distB="0" distL="114300" distR="114300" simplePos="0" relativeHeight="251694080" behindDoc="0" locked="0" layoutInCell="1" allowOverlap="1">
                      <wp:simplePos x="0" y="0"/>
                      <wp:positionH relativeFrom="column">
                        <wp:posOffset>480060</wp:posOffset>
                      </wp:positionH>
                      <wp:positionV relativeFrom="paragraph">
                        <wp:posOffset>187325</wp:posOffset>
                      </wp:positionV>
                      <wp:extent cx="227330" cy="635"/>
                      <wp:effectExtent l="0" t="48895" r="1270" b="64770"/>
                      <wp:wrapNone/>
                      <wp:docPr id="123" name="直线 41"/>
                      <wp:cNvGraphicFramePr/>
                      <a:graphic xmlns:a="http://schemas.openxmlformats.org/drawingml/2006/main">
                        <a:graphicData uri="http://schemas.microsoft.com/office/word/2010/wordprocessingShape">
                          <wps:wsp>
                            <wps:cNvCnPr/>
                            <wps:spPr>
                              <a:xfrm rot="10800000">
                                <a:off x="0" y="0"/>
                                <a:ext cx="227330" cy="635"/>
                              </a:xfrm>
                              <a:prstGeom prst="line">
                                <a:avLst/>
                              </a:prstGeom>
                              <a:ln w="9525" cap="flat" cmpd="sng">
                                <a:solidFill>
                                  <a:srgbClr val="000000"/>
                                </a:solidFill>
                                <a:prstDash val="dash"/>
                                <a:headEnd type="none" w="med" len="med"/>
                                <a:tailEnd type="arrow" w="med" len="med"/>
                              </a:ln>
                            </wps:spPr>
                            <wps:bodyPr upright="1"/>
                          </wps:wsp>
                        </a:graphicData>
                      </a:graphic>
                    </wp:anchor>
                  </w:drawing>
                </mc:Choice>
                <mc:Fallback>
                  <w:pict>
                    <v:line id="直线 41" o:spid="_x0000_s1026" o:spt="20" style="position:absolute;left:0pt;margin-left:37.8pt;margin-top:14.75pt;height:0.05pt;width:17.9pt;rotation:11796480f;z-index:251694080;mso-width-relative:page;mso-height-relative:page;" filled="f" stroked="t" coordsize="21600,21600" o:gfxdata="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2KSOgNUAAAAIAQAADwAAAAAAAAABACAAAAAiAAAAZHJzL2Rvd25yZXYueG1s&#10;UEsBAhQAFAAAAAgAh07iQG4AcUH7AQAA7gMAAA4AAAAAAAAAAQAgAAAAJAEAAGRycy9lMm9Eb2Mu&#10;eG1sUEsFBgAAAAAGAAYAWQEAAJEFAAAAAA==&#10;">
                      <v:fill on="f" focussize="0,0"/>
                      <v:stroke color="#000000" joinstyle="round" dashstyle="dash" endarrow="open"/>
                      <v:imagedata o:title=""/>
                      <o:lock v:ext="edit" aspectratio="f"/>
                    </v:line>
                  </w:pict>
                </mc:Fallback>
              </mc:AlternateContent>
            </w:r>
            <w:r>
              <w:rPr>
                <w:rFonts w:ascii="Times New Roman" w:hAnsi="Times New Roman" w:eastAsia="宋体"/>
                <w:sz w:val="28"/>
              </w:rPr>
              <mc:AlternateContent>
                <mc:Choice Requires="wps">
                  <w:drawing>
                    <wp:anchor distT="0" distB="0" distL="114300" distR="114300" simplePos="0" relativeHeight="251695104" behindDoc="0" locked="0" layoutInCell="1" allowOverlap="1">
                      <wp:simplePos x="0" y="0"/>
                      <wp:positionH relativeFrom="column">
                        <wp:posOffset>-74930</wp:posOffset>
                      </wp:positionH>
                      <wp:positionV relativeFrom="paragraph">
                        <wp:posOffset>44450</wp:posOffset>
                      </wp:positionV>
                      <wp:extent cx="578485" cy="520065"/>
                      <wp:effectExtent l="0" t="0" r="0" b="0"/>
                      <wp:wrapNone/>
                      <wp:docPr id="129" name="文本框 42"/>
                      <wp:cNvGraphicFramePr/>
                      <a:graphic xmlns:a="http://schemas.openxmlformats.org/drawingml/2006/main">
                        <a:graphicData uri="http://schemas.microsoft.com/office/word/2010/wordprocessingShape">
                          <wps:wsp>
                            <wps:cNvSpPr txBox="1"/>
                            <wps:spPr>
                              <a:xfrm>
                                <a:off x="0" y="0"/>
                                <a:ext cx="578485" cy="520065"/>
                              </a:xfrm>
                              <a:prstGeom prst="rect">
                                <a:avLst/>
                              </a:prstGeom>
                              <a:noFill/>
                              <a:ln>
                                <a:noFill/>
                              </a:ln>
                            </wps:spPr>
                            <wps:txbx>
                              <w:txbxContent>
                                <w:p>
                                  <w:pPr>
                                    <w:rPr>
                                      <w:rFonts w:hint="default" w:eastAsia="宋体"/>
                                      <w:lang w:val="en-US" w:eastAsia="zh-CN"/>
                                    </w:rPr>
                                  </w:pPr>
                                  <w:r>
                                    <w:rPr>
                                      <w:rFonts w:hint="eastAsia"/>
                                      <w:lang w:val="en-US" w:eastAsia="zh-CN"/>
                                    </w:rPr>
                                    <w:t>S1：废渣</w:t>
                                  </w:r>
                                </w:p>
                              </w:txbxContent>
                            </wps:txbx>
                            <wps:bodyPr vert="horz" wrap="square" anchor="t" upright="1"/>
                          </wps:wsp>
                        </a:graphicData>
                      </a:graphic>
                    </wp:anchor>
                  </w:drawing>
                </mc:Choice>
                <mc:Fallback>
                  <w:pict>
                    <v:shape id="文本框 42" o:spid="_x0000_s1026" o:spt="202" type="#_x0000_t202" style="position:absolute;left:0pt;margin-left:-5.9pt;margin-top:3.5pt;height:40.95pt;width:45.55pt;z-index:251695104;mso-width-relative:page;mso-height-relative:page;" filled="f" stroked="f" coordsize="21600,21600" o:gfxdata="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r2Z1QAAAAcBAAAPAAAAAAAAAAEAIAAAACIAAABkcnMvZG93bnJl&#10;di54bWxQSwECFAAUAAAACACHTuJAqcTcuscBAAB1AwAADgAAAAAAAAABACAAAAAkAQAAZHJzL2Uy&#10;b0RvYy54bWxQSwUGAAAAAAYABgBZAQAAXQUAAAAA&#10;">
                      <v:fill on="f" focussize="0,0"/>
                      <v:stroke on="f"/>
                      <v:imagedata o:title=""/>
                      <o:lock v:ext="edit" aspectratio="f"/>
                      <v:textbox>
                        <w:txbxContent>
                          <w:p>
                            <w:pPr>
                              <w:rPr>
                                <w:rFonts w:hint="default" w:eastAsia="宋体"/>
                                <w:lang w:val="en-US" w:eastAsia="zh-CN"/>
                              </w:rPr>
                            </w:pPr>
                            <w:r>
                              <w:rPr>
                                <w:rFonts w:hint="eastAsia"/>
                                <w:lang w:val="en-US" w:eastAsia="zh-CN"/>
                              </w:rPr>
                              <w:t>S1：废渣</w:t>
                            </w:r>
                          </w:p>
                        </w:txbxContent>
                      </v:textbox>
                    </v:shape>
                  </w:pict>
                </mc:Fallback>
              </mc:AlternateContent>
            </w:r>
            <w:r>
              <w:rPr>
                <w:rFonts w:ascii="Times New Roman" w:hAnsi="Times New Roman" w:eastAsia="宋体"/>
                <w:sz w:val="28"/>
              </w:rPr>
              <mc:AlternateContent>
                <mc:Choice Requires="wps">
                  <w:drawing>
                    <wp:anchor distT="0" distB="0" distL="114300" distR="114300" simplePos="0" relativeHeight="251687936" behindDoc="0" locked="0" layoutInCell="1" allowOverlap="1">
                      <wp:simplePos x="0" y="0"/>
                      <wp:positionH relativeFrom="column">
                        <wp:posOffset>4094480</wp:posOffset>
                      </wp:positionH>
                      <wp:positionV relativeFrom="paragraph">
                        <wp:posOffset>249555</wp:posOffset>
                      </wp:positionV>
                      <wp:extent cx="901700" cy="264160"/>
                      <wp:effectExtent l="0" t="0" r="0" b="0"/>
                      <wp:wrapNone/>
                      <wp:docPr id="55" name="文本框 342"/>
                      <wp:cNvGraphicFramePr/>
                      <a:graphic xmlns:a="http://schemas.openxmlformats.org/drawingml/2006/main">
                        <a:graphicData uri="http://schemas.microsoft.com/office/word/2010/wordprocessingShape">
                          <wps:wsp>
                            <wps:cNvSpPr txBox="1"/>
                            <wps:spPr>
                              <a:xfrm>
                                <a:off x="0" y="0"/>
                                <a:ext cx="901700" cy="264160"/>
                              </a:xfrm>
                              <a:prstGeom prst="rect">
                                <a:avLst/>
                              </a:prstGeom>
                              <a:noFill/>
                              <a:ln>
                                <a:noFill/>
                              </a:ln>
                            </wps:spPr>
                            <wps:txbx>
                              <w:txbxContent>
                                <w:p>
                                  <w:pPr>
                                    <w:rPr>
                                      <w:rFonts w:hint="default" w:eastAsia="宋体"/>
                                      <w:lang w:val="en-US" w:eastAsia="zh-CN"/>
                                    </w:rPr>
                                  </w:pPr>
                                  <w:r>
                                    <w:rPr>
                                      <w:rFonts w:hint="eastAsia"/>
                                      <w:lang w:val="en-US" w:eastAsia="zh-CN"/>
                                    </w:rPr>
                                    <w:t>G3：颗粒物</w:t>
                                  </w:r>
                                </w:p>
                              </w:txbxContent>
                            </wps:txbx>
                            <wps:bodyPr vert="horz" wrap="square" anchor="t" upright="1"/>
                          </wps:wsp>
                        </a:graphicData>
                      </a:graphic>
                    </wp:anchor>
                  </w:drawing>
                </mc:Choice>
                <mc:Fallback>
                  <w:pict>
                    <v:shape id="文本框 342" o:spid="_x0000_s1026" o:spt="202" type="#_x0000_t202" style="position:absolute;left:0pt;margin-left:322.4pt;margin-top:19.65pt;height:20.8pt;width:71pt;z-index:251687936;mso-width-relative:page;mso-height-relative:page;" filled="f" stroked="f" coordsize="21600,21600" o:gfxdata="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FR/sT1wAAAAkBAAAPAAAAAAAAAAEAIAAAACIAAABkcnMvZG93&#10;bnJldi54bWxQSwECFAAUAAAACACHTuJAluTKpsgBAAB1AwAADgAAAAAAAAABACAAAAAmAQAAZHJz&#10;L2Uyb0RvYy54bWxQSwUGAAAAAAYABgBZAQAAYAUAAAAA&#10;">
                      <v:fill on="f" focussize="0,0"/>
                      <v:stroke on="f"/>
                      <v:imagedata o:title=""/>
                      <o:lock v:ext="edit" aspectratio="f"/>
                      <v:textbox>
                        <w:txbxContent>
                          <w:p>
                            <w:pPr>
                              <w:rPr>
                                <w:rFonts w:hint="default" w:eastAsia="宋体"/>
                                <w:lang w:val="en-US" w:eastAsia="zh-CN"/>
                              </w:rPr>
                            </w:pPr>
                            <w:r>
                              <w:rPr>
                                <w:rFonts w:hint="eastAsia"/>
                                <w:lang w:val="en-US" w:eastAsia="zh-CN"/>
                              </w:rPr>
                              <w:t>G3：颗粒物</w:t>
                            </w:r>
                          </w:p>
                        </w:txbxContent>
                      </v:textbox>
                    </v:shape>
                  </w:pict>
                </mc:Fallback>
              </mc:AlternateContent>
            </w:r>
            <w:r>
              <w:rPr>
                <w:rFonts w:ascii="Times New Roman" w:hAnsi="Times New Roman" w:eastAsia="宋体"/>
                <w:sz w:val="28"/>
              </w:rPr>
              <mc:AlternateContent>
                <mc:Choice Requires="wps">
                  <w:drawing>
                    <wp:anchor distT="0" distB="0" distL="114300" distR="114300" simplePos="0" relativeHeight="251677696" behindDoc="0" locked="0" layoutInCell="1" allowOverlap="1">
                      <wp:simplePos x="0" y="0"/>
                      <wp:positionH relativeFrom="column">
                        <wp:posOffset>3639185</wp:posOffset>
                      </wp:positionH>
                      <wp:positionV relativeFrom="paragraph">
                        <wp:posOffset>136525</wp:posOffset>
                      </wp:positionV>
                      <wp:extent cx="439420" cy="635"/>
                      <wp:effectExtent l="0" t="48895" r="17780" b="64770"/>
                      <wp:wrapNone/>
                      <wp:docPr id="45" name="直线 329"/>
                      <wp:cNvGraphicFramePr/>
                      <a:graphic xmlns:a="http://schemas.openxmlformats.org/drawingml/2006/main">
                        <a:graphicData uri="http://schemas.microsoft.com/office/word/2010/wordprocessingShape">
                          <wps:wsp>
                            <wps:cNvCnPr/>
                            <wps:spPr>
                              <a:xfrm>
                                <a:off x="0" y="0"/>
                                <a:ext cx="439420" cy="635"/>
                              </a:xfrm>
                              <a:prstGeom prst="line">
                                <a:avLst/>
                              </a:prstGeom>
                              <a:ln w="9525" cap="flat" cmpd="sng">
                                <a:solidFill>
                                  <a:srgbClr val="000000"/>
                                </a:solidFill>
                                <a:prstDash val="dash"/>
                                <a:headEnd type="none" w="med" len="med"/>
                                <a:tailEnd type="arrow" w="med" len="med"/>
                              </a:ln>
                            </wps:spPr>
                            <wps:bodyPr upright="1"/>
                          </wps:wsp>
                        </a:graphicData>
                      </a:graphic>
                    </wp:anchor>
                  </w:drawing>
                </mc:Choice>
                <mc:Fallback>
                  <w:pict>
                    <v:line id="直线 329" o:spid="_x0000_s1026" o:spt="20" style="position:absolute;left:0pt;margin-left:286.55pt;margin-top:10.75pt;height:0.05pt;width:34.6pt;z-index:251677696;mso-width-relative:page;mso-height-relative:page;" filled="f" stroked="t" coordsize="21600,21600" o:gfxdata="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37zyB2QAAAAkBAAAPAAAAAAAAAAEAIAAAACIAAABkcnMvZG93bnJldi54bWxQSwECFAAU&#10;AAAACACHTuJAp3uC0fABAADfAwAADgAAAAAAAAABACAAAAAoAQAAZHJzL2Uyb0RvYy54bWxQSwUG&#10;AAAAAAYABgBZAQAAigUAAAAA&#10;">
                      <v:fill on="f" focussize="0,0"/>
                      <v:stroke color="#000000" joinstyle="round" dashstyle="dash" endarrow="open"/>
                      <v:imagedata o:title=""/>
                      <o:lock v:ext="edit" aspectratio="f"/>
                    </v:line>
                  </w:pict>
                </mc:Fallback>
              </mc:AlternateContent>
            </w:r>
            <w:r>
              <w:rPr>
                <w:rFonts w:ascii="Times New Roman" w:hAnsi="Times New Roman" w:eastAsia="宋体"/>
                <w:sz w:val="28"/>
              </w:rPr>
              <mc:AlternateContent>
                <mc:Choice Requires="wps">
                  <w:drawing>
                    <wp:anchor distT="0" distB="0" distL="114300" distR="114300" simplePos="0" relativeHeight="251684864" behindDoc="0" locked="0" layoutInCell="1" allowOverlap="1">
                      <wp:simplePos x="0" y="0"/>
                      <wp:positionH relativeFrom="column">
                        <wp:posOffset>3398520</wp:posOffset>
                      </wp:positionH>
                      <wp:positionV relativeFrom="paragraph">
                        <wp:posOffset>358775</wp:posOffset>
                      </wp:positionV>
                      <wp:extent cx="725170" cy="212725"/>
                      <wp:effectExtent l="0" t="48895" r="17780" b="5080"/>
                      <wp:wrapNone/>
                      <wp:docPr id="52" name="自选图形 339"/>
                      <wp:cNvGraphicFramePr/>
                      <a:graphic xmlns:a="http://schemas.openxmlformats.org/drawingml/2006/main">
                        <a:graphicData uri="http://schemas.microsoft.com/office/word/2010/wordprocessingShape">
                          <wps:wsp>
                            <wps:cNvCnPr/>
                            <wps:spPr>
                              <a:xfrm flipV="1">
                                <a:off x="0" y="0"/>
                                <a:ext cx="725170" cy="212725"/>
                              </a:xfrm>
                              <a:prstGeom prst="bentConnector3">
                                <a:avLst>
                                  <a:gd name="adj1" fmla="val 50088"/>
                                </a:avLst>
                              </a:prstGeom>
                              <a:ln w="9525" cap="flat" cmpd="sng">
                                <a:solidFill>
                                  <a:srgbClr val="000000"/>
                                </a:solidFill>
                                <a:prstDash val="dash"/>
                                <a:miter/>
                                <a:headEnd type="none" w="med" len="med"/>
                                <a:tailEnd type="arrow" w="med" len="med"/>
                              </a:ln>
                            </wps:spPr>
                            <wps:bodyPr/>
                          </wps:wsp>
                        </a:graphicData>
                      </a:graphic>
                    </wp:anchor>
                  </w:drawing>
                </mc:Choice>
                <mc:Fallback>
                  <w:pict>
                    <v:shape id="自选图形 339" o:spid="_x0000_s1026" o:spt="34" type="#_x0000_t34" style="position:absolute;left:0pt;flip:y;margin-left:267.6pt;margin-top:28.25pt;height:16.75pt;width:57.1pt;z-index:251684864;mso-width-relative:page;mso-height-relative:page;" filled="f" stroked="t" coordsize="21600,21600" o:gfxdata="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EAfIe&#10;2QAAAAkBAAAPAAAAAAAAAAEAIAAAACIAAABkcnMvZG93bnJldi54bWxQSwECFAAUAAAACACHTuJA&#10;wYaeSCACAAAnBAAADgAAAAAAAAABACAAAAAoAQAAZHJzL2Uyb0RvYy54bWxQSwUGAAAAAAYABgBZ&#10;AQAAugUAAAAA&#10;" adj="10819">
                      <v:fill on="f" focussize="0,0"/>
                      <v:stroke color="#000000" joinstyle="miter" dashstyle="dash" endarrow="open"/>
                      <v:imagedata o:title=""/>
                      <o:lock v:ext="edit" aspectratio="f"/>
                    </v:shape>
                  </w:pict>
                </mc:Fallback>
              </mc:AlternateContent>
            </w:r>
            <w:r>
              <w:rPr>
                <w:rFonts w:ascii="Times New Roman" w:hAnsi="Times New Roman" w:eastAsia="宋体" w:cs="Times New Roman"/>
                <w:color w:val="auto"/>
                <w:kern w:val="0"/>
                <w:sz w:val="28"/>
                <w:szCs w:val="28"/>
              </w:rPr>
              <mc:AlternateContent>
                <mc:Choice Requires="wps">
                  <w:drawing>
                    <wp:anchor distT="0" distB="0" distL="114300" distR="114300" simplePos="0" relativeHeight="251671552" behindDoc="0" locked="0" layoutInCell="1" allowOverlap="1">
                      <wp:simplePos x="0" y="0"/>
                      <wp:positionH relativeFrom="column">
                        <wp:posOffset>1332230</wp:posOffset>
                      </wp:positionH>
                      <wp:positionV relativeFrom="paragraph">
                        <wp:posOffset>354330</wp:posOffset>
                      </wp:positionV>
                      <wp:extent cx="0" cy="243205"/>
                      <wp:effectExtent l="38100" t="0" r="38100" b="4445"/>
                      <wp:wrapNone/>
                      <wp:docPr id="40" name="直接箭头连接符 38"/>
                      <wp:cNvGraphicFramePr/>
                      <a:graphic xmlns:a="http://schemas.openxmlformats.org/drawingml/2006/main">
                        <a:graphicData uri="http://schemas.microsoft.com/office/word/2010/wordprocessingShape">
                          <wps:wsp>
                            <wps:cNvCnPr/>
                            <wps:spPr>
                              <a:xfrm flipV="1">
                                <a:off x="0" y="0"/>
                                <a:ext cx="0" cy="2432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直接箭头连接符 38" o:spid="_x0000_s1026" o:spt="32" type="#_x0000_t32" style="position:absolute;left:0pt;flip:y;margin-left:104.9pt;margin-top:27.9pt;height:19.15pt;width:0pt;z-index:251671552;mso-width-relative:page;mso-height-relative:page;" filled="f" stroked="t" coordsize="21600,21600" o:gfxdata="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kOCINgAAAAJ&#10;AQAADwAAAAAAAAABACAAAAAiAAAAZHJzL2Rvd25yZXYueG1sUEsBAhQAFAAAAAgAh07iQCX8GGkc&#10;AgAADgQAAA4AAAAAAAAAAQAgAAAAJwEAAGRycy9lMm9Eb2MueG1sUEsFBgAAAAAGAAYAWQEAALUF&#10;AAAAAA==&#10;">
                      <v:fill on="f" focussize="0,0"/>
                      <v:stroke weight="0.5pt" color="#000000" miterlimit="8" joinstyle="miter" endarrow="block"/>
                      <v:imagedata o:title=""/>
                      <o:lock v:ext="edit" aspectratio="f"/>
                    </v:shape>
                  </w:pict>
                </mc:Fallback>
              </mc:AlternateConten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r>
              <w:rPr>
                <w:rFonts w:ascii="Times New Roman" w:hAnsi="Times New Roman" w:eastAsia="宋体"/>
                <w:sz w:val="28"/>
              </w:rPr>
              <mc:AlternateContent>
                <mc:Choice Requires="wps">
                  <w:drawing>
                    <wp:anchor distT="0" distB="0" distL="114300" distR="114300" simplePos="0" relativeHeight="251682816" behindDoc="0" locked="0" layoutInCell="1" allowOverlap="1">
                      <wp:simplePos x="0" y="0"/>
                      <wp:positionH relativeFrom="column">
                        <wp:posOffset>437515</wp:posOffset>
                      </wp:positionH>
                      <wp:positionV relativeFrom="paragraph">
                        <wp:posOffset>340995</wp:posOffset>
                      </wp:positionV>
                      <wp:extent cx="277495" cy="6350"/>
                      <wp:effectExtent l="0" t="44450" r="8255" b="63500"/>
                      <wp:wrapNone/>
                      <wp:docPr id="50" name="直线 336"/>
                      <wp:cNvGraphicFramePr/>
                      <a:graphic xmlns:a="http://schemas.openxmlformats.org/drawingml/2006/main">
                        <a:graphicData uri="http://schemas.microsoft.com/office/word/2010/wordprocessingShape">
                          <wps:wsp>
                            <wps:cNvCnPr/>
                            <wps:spPr>
                              <a:xfrm rot="-10800000" flipV="1">
                                <a:off x="0" y="0"/>
                                <a:ext cx="277495" cy="6350"/>
                              </a:xfrm>
                              <a:prstGeom prst="line">
                                <a:avLst/>
                              </a:prstGeom>
                              <a:ln w="9525" cap="flat" cmpd="sng">
                                <a:solidFill>
                                  <a:srgbClr val="000000"/>
                                </a:solidFill>
                                <a:prstDash val="dash"/>
                                <a:headEnd type="none" w="med" len="med"/>
                                <a:tailEnd type="arrow" w="med" len="med"/>
                              </a:ln>
                            </wps:spPr>
                            <wps:bodyPr upright="1"/>
                          </wps:wsp>
                        </a:graphicData>
                      </a:graphic>
                    </wp:anchor>
                  </w:drawing>
                </mc:Choice>
                <mc:Fallback>
                  <w:pict>
                    <v:line id="直线 336" o:spid="_x0000_s1026" o:spt="20" style="position:absolute;left:0pt;flip:y;margin-left:34.45pt;margin-top:26.85pt;height:0.5pt;width:21.85pt;rotation:11796480f;z-index:251682816;mso-width-relative:page;mso-height-relative:page;" filled="f" stroked="t" coordsize="21600,21600" o:gfxdata="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U3h32QAAAAgBAAAPAAAAAAAAAAEAIAAAACIAAABk&#10;cnMvZG93bnJldi54bWxQSwECFAAUAAAACACHTuJAC3WQdQUCAAD6AwAADgAAAAAAAAABACAAAAAo&#10;AQAAZHJzL2Uyb0RvYy54bWxQSwUGAAAAAAYABgBZAQAAnwUAAAAA&#10;">
                      <v:fill on="f" focussize="0,0"/>
                      <v:stroke color="#000000" joinstyle="round" dashstyle="dash" endarrow="open"/>
                      <v:imagedata o:title=""/>
                      <o:lock v:ext="edit" aspectratio="f"/>
                    </v:line>
                  </w:pict>
                </mc:Fallback>
              </mc:AlternateContent>
            </w:r>
            <w:r>
              <w:rPr>
                <w:rFonts w:ascii="Times New Roman" w:hAnsi="Times New Roman" w:eastAsia="宋体"/>
                <w:sz w:val="28"/>
              </w:rPr>
              <mc:AlternateContent>
                <mc:Choice Requires="wps">
                  <w:drawing>
                    <wp:anchor distT="0" distB="0" distL="114300" distR="114300" simplePos="0" relativeHeight="251693056" behindDoc="0" locked="0" layoutInCell="1" allowOverlap="1">
                      <wp:simplePos x="0" y="0"/>
                      <wp:positionH relativeFrom="column">
                        <wp:posOffset>-82550</wp:posOffset>
                      </wp:positionH>
                      <wp:positionV relativeFrom="paragraph">
                        <wp:posOffset>182880</wp:posOffset>
                      </wp:positionV>
                      <wp:extent cx="542925" cy="672465"/>
                      <wp:effectExtent l="0" t="0" r="0" b="0"/>
                      <wp:wrapNone/>
                      <wp:docPr id="111" name="文本框 40"/>
                      <wp:cNvGraphicFramePr/>
                      <a:graphic xmlns:a="http://schemas.openxmlformats.org/drawingml/2006/main">
                        <a:graphicData uri="http://schemas.microsoft.com/office/word/2010/wordprocessingShape">
                          <wps:wsp>
                            <wps:cNvSpPr txBox="1"/>
                            <wps:spPr>
                              <a:xfrm>
                                <a:off x="0" y="0"/>
                                <a:ext cx="542925" cy="672465"/>
                              </a:xfrm>
                              <a:prstGeom prst="rect">
                                <a:avLst/>
                              </a:prstGeom>
                              <a:noFill/>
                              <a:ln>
                                <a:noFill/>
                              </a:ln>
                            </wps:spPr>
                            <wps:txbx>
                              <w:txbxContent>
                                <w:p>
                                  <w:pPr>
                                    <w:rPr>
                                      <w:rFonts w:hint="default" w:eastAsia="宋体"/>
                                      <w:lang w:val="en-US" w:eastAsia="zh-CN"/>
                                    </w:rPr>
                                  </w:pPr>
                                  <w:r>
                                    <w:rPr>
                                      <w:rFonts w:hint="eastAsia"/>
                                      <w:lang w:val="en-US" w:eastAsia="zh-CN"/>
                                    </w:rPr>
                                    <w:t>G8：颗粒物</w:t>
                                  </w:r>
                                </w:p>
                              </w:txbxContent>
                            </wps:txbx>
                            <wps:bodyPr vert="horz" wrap="square" anchor="t" upright="1"/>
                          </wps:wsp>
                        </a:graphicData>
                      </a:graphic>
                    </wp:anchor>
                  </w:drawing>
                </mc:Choice>
                <mc:Fallback>
                  <w:pict>
                    <v:shape id="文本框 40" o:spid="_x0000_s1026" o:spt="202" type="#_x0000_t202" style="position:absolute;left:0pt;margin-left:-6.5pt;margin-top:14.4pt;height:52.95pt;width:42.75pt;z-index:251693056;mso-width-relative:page;mso-height-relative:page;" filled="f" stroked="f" coordsize="21600,21600" o:gfxdata="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1OgorNcAAAAJAQAADwAAAAAAAAABACAAAAAiAAAAZHJzL2Rvd25y&#10;ZXYueG1sUEsBAhQAFAAAAAgAh07iQKL/CdjGAQAAdQMAAA4AAAAAAAAAAQAgAAAAJgEAAGRycy9l&#10;Mm9Eb2MueG1sUEsFBgAAAAAGAAYAWQEAAF4FAAAAAA==&#10;">
                      <v:fill on="f" focussize="0,0"/>
                      <v:stroke on="f"/>
                      <v:imagedata o:title=""/>
                      <o:lock v:ext="edit" aspectratio="f"/>
                      <v:textbox>
                        <w:txbxContent>
                          <w:p>
                            <w:pPr>
                              <w:rPr>
                                <w:rFonts w:hint="default" w:eastAsia="宋体"/>
                                <w:lang w:val="en-US" w:eastAsia="zh-CN"/>
                              </w:rPr>
                            </w:pPr>
                            <w:r>
                              <w:rPr>
                                <w:rFonts w:hint="eastAsia"/>
                                <w:lang w:val="en-US" w:eastAsia="zh-CN"/>
                              </w:rPr>
                              <w:t>G8：颗粒物</w:t>
                            </w:r>
                          </w:p>
                        </w:txbxContent>
                      </v:textbox>
                    </v:shape>
                  </w:pict>
                </mc:Fallback>
              </mc:AlternateConten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r>
              <w:rPr>
                <w:rFonts w:ascii="Times New Roman" w:hAnsi="Times New Roman" w:eastAsia="宋体"/>
                <w:sz w:val="28"/>
              </w:rPr>
              <mc:AlternateContent>
                <mc:Choice Requires="wps">
                  <w:drawing>
                    <wp:anchor distT="0" distB="0" distL="114300" distR="114300" simplePos="0" relativeHeight="251692032" behindDoc="0" locked="0" layoutInCell="1" allowOverlap="1">
                      <wp:simplePos x="0" y="0"/>
                      <wp:positionH relativeFrom="column">
                        <wp:posOffset>-89535</wp:posOffset>
                      </wp:positionH>
                      <wp:positionV relativeFrom="paragraph">
                        <wp:posOffset>372745</wp:posOffset>
                      </wp:positionV>
                      <wp:extent cx="542290" cy="755015"/>
                      <wp:effectExtent l="0" t="0" r="0" b="0"/>
                      <wp:wrapNone/>
                      <wp:docPr id="110" name="文本框 347"/>
                      <wp:cNvGraphicFramePr/>
                      <a:graphic xmlns:a="http://schemas.openxmlformats.org/drawingml/2006/main">
                        <a:graphicData uri="http://schemas.microsoft.com/office/word/2010/wordprocessingShape">
                          <wps:wsp>
                            <wps:cNvSpPr txBox="1"/>
                            <wps:spPr>
                              <a:xfrm>
                                <a:off x="0" y="0"/>
                                <a:ext cx="542290" cy="755015"/>
                              </a:xfrm>
                              <a:prstGeom prst="rect">
                                <a:avLst/>
                              </a:prstGeom>
                              <a:noFill/>
                              <a:ln>
                                <a:noFill/>
                              </a:ln>
                            </wps:spPr>
                            <wps:txbx>
                              <w:txbxContent>
                                <w:p>
                                  <w:pPr>
                                    <w:rPr>
                                      <w:rFonts w:hint="default" w:eastAsia="宋体"/>
                                      <w:lang w:val="en-US" w:eastAsia="zh-CN"/>
                                    </w:rPr>
                                  </w:pPr>
                                  <w:r>
                                    <w:rPr>
                                      <w:rFonts w:hint="eastAsia"/>
                                      <w:lang w:val="en-US" w:eastAsia="zh-CN"/>
                                    </w:rPr>
                                    <w:t>G7：颗粒物</w:t>
                                  </w:r>
                                </w:p>
                              </w:txbxContent>
                            </wps:txbx>
                            <wps:bodyPr vert="horz" wrap="square" anchor="t" upright="1"/>
                          </wps:wsp>
                        </a:graphicData>
                      </a:graphic>
                    </wp:anchor>
                  </w:drawing>
                </mc:Choice>
                <mc:Fallback>
                  <w:pict>
                    <v:shape id="文本框 347" o:spid="_x0000_s1026" o:spt="202" type="#_x0000_t202" style="position:absolute;left:0pt;margin-left:-7.05pt;margin-top:29.35pt;height:59.45pt;width:42.7pt;z-index:251692032;mso-width-relative:page;mso-height-relative:page;" filled="f" stroked="f" coordsize="21600,21600" o:gfxdata="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LDGTqrXAAAACQEAAA8AAAAAAAAAAQAgAAAAIgAAAGRycy9kb3du&#10;cmV2LnhtbFBLAQIUABQAAAAIAIdO4kATojU+xwEAAHYDAAAOAAAAAAAAAAEAIAAAACYBAABkcnMv&#10;ZTJvRG9jLnhtbFBLBQYAAAAABgAGAFkBAABfBQAAAAA=&#10;">
                      <v:fill on="f" focussize="0,0"/>
                      <v:stroke on="f"/>
                      <v:imagedata o:title=""/>
                      <o:lock v:ext="edit" aspectratio="f"/>
                      <v:textbox>
                        <w:txbxContent>
                          <w:p>
                            <w:pPr>
                              <w:rPr>
                                <w:rFonts w:hint="default" w:eastAsia="宋体"/>
                                <w:lang w:val="en-US" w:eastAsia="zh-CN"/>
                              </w:rPr>
                            </w:pPr>
                            <w:r>
                              <w:rPr>
                                <w:rFonts w:hint="eastAsia"/>
                                <w:lang w:val="en-US" w:eastAsia="zh-CN"/>
                              </w:rPr>
                              <w:t>G7：颗粒物</w:t>
                            </w:r>
                          </w:p>
                        </w:txbxContent>
                      </v:textbox>
                    </v:shape>
                  </w:pict>
                </mc:Fallback>
              </mc:AlternateContent>
            </w:r>
            <w:r>
              <w:rPr>
                <w:rFonts w:ascii="Times New Roman" w:hAnsi="Times New Roman" w:eastAsia="宋体"/>
                <w:sz w:val="28"/>
              </w:rPr>
              <mc:AlternateContent>
                <mc:Choice Requires="wps">
                  <w:drawing>
                    <wp:anchor distT="0" distB="0" distL="114300" distR="114300" simplePos="0" relativeHeight="251688960" behindDoc="0" locked="0" layoutInCell="1" allowOverlap="1">
                      <wp:simplePos x="0" y="0"/>
                      <wp:positionH relativeFrom="column">
                        <wp:posOffset>4020820</wp:posOffset>
                      </wp:positionH>
                      <wp:positionV relativeFrom="paragraph">
                        <wp:posOffset>387985</wp:posOffset>
                      </wp:positionV>
                      <wp:extent cx="1078230" cy="264160"/>
                      <wp:effectExtent l="0" t="0" r="0" b="0"/>
                      <wp:wrapNone/>
                      <wp:docPr id="103" name="文本框 343"/>
                      <wp:cNvGraphicFramePr/>
                      <a:graphic xmlns:a="http://schemas.openxmlformats.org/drawingml/2006/main">
                        <a:graphicData uri="http://schemas.microsoft.com/office/word/2010/wordprocessingShape">
                          <wps:wsp>
                            <wps:cNvSpPr txBox="1"/>
                            <wps:spPr>
                              <a:xfrm>
                                <a:off x="0" y="0"/>
                                <a:ext cx="1078230" cy="264160"/>
                              </a:xfrm>
                              <a:prstGeom prst="rect">
                                <a:avLst/>
                              </a:prstGeom>
                              <a:noFill/>
                              <a:ln>
                                <a:noFill/>
                              </a:ln>
                            </wps:spPr>
                            <wps:txbx>
                              <w:txbxContent>
                                <w:p>
                                  <w:pPr>
                                    <w:rPr>
                                      <w:rFonts w:hint="default" w:eastAsia="宋体"/>
                                      <w:lang w:val="en-US" w:eastAsia="zh-CN"/>
                                    </w:rPr>
                                  </w:pPr>
                                  <w:r>
                                    <w:rPr>
                                      <w:rFonts w:hint="eastAsia"/>
                                      <w:lang w:val="en-US" w:eastAsia="zh-CN"/>
                                    </w:rPr>
                                    <w:t>G4：颗粒物</w:t>
                                  </w:r>
                                </w:p>
                              </w:txbxContent>
                            </wps:txbx>
                            <wps:bodyPr vert="horz" wrap="square" anchor="t" upright="1"/>
                          </wps:wsp>
                        </a:graphicData>
                      </a:graphic>
                    </wp:anchor>
                  </w:drawing>
                </mc:Choice>
                <mc:Fallback>
                  <w:pict>
                    <v:shape id="文本框 343" o:spid="_x0000_s1026" o:spt="202" type="#_x0000_t202" style="position:absolute;left:0pt;margin-left:316.6pt;margin-top:30.55pt;height:20.8pt;width:84.9pt;z-index:251688960;mso-width-relative:page;mso-height-relative:page;" filled="f" stroked="f" coordsize="21600,21600" o:gfxdata="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jZWNcAAAAKAQAADwAAAAAAAAABACAAAAAiAAAAZHJzL2Rv&#10;d25yZXYueG1sUEsBAhQAFAAAAAgAh07iQC4jWPXJAQAAdwMAAA4AAAAAAAAAAQAgAAAAJgEAAGRy&#10;cy9lMm9Eb2MueG1sUEsFBgAAAAAGAAYAWQEAAGEFAAAAAA==&#10;">
                      <v:fill on="f" focussize="0,0"/>
                      <v:stroke on="f"/>
                      <v:imagedata o:title=""/>
                      <o:lock v:ext="edit" aspectratio="f"/>
                      <v:textbox>
                        <w:txbxContent>
                          <w:p>
                            <w:pPr>
                              <w:rPr>
                                <w:rFonts w:hint="default" w:eastAsia="宋体"/>
                                <w:lang w:val="en-US" w:eastAsia="zh-CN"/>
                              </w:rPr>
                            </w:pPr>
                            <w:r>
                              <w:rPr>
                                <w:rFonts w:hint="eastAsia"/>
                                <w:lang w:val="en-US" w:eastAsia="zh-CN"/>
                              </w:rPr>
                              <w:t>G4：颗粒物</w:t>
                            </w:r>
                          </w:p>
                        </w:txbxContent>
                      </v:textbox>
                    </v:shape>
                  </w:pict>
                </mc:Fallback>
              </mc:AlternateContent>
            </w:r>
            <w:r>
              <w:rPr>
                <w:rFonts w:ascii="Times New Roman" w:hAnsi="Times New Roman" w:eastAsia="宋体" w:cs="Times New Roman"/>
                <w:color w:val="auto"/>
                <w:kern w:val="0"/>
                <w:sz w:val="28"/>
                <w:szCs w:val="28"/>
              </w:rPr>
              <mc:AlternateContent>
                <mc:Choice Requires="wps">
                  <w:drawing>
                    <wp:anchor distT="0" distB="0" distL="114300" distR="114300" simplePos="0" relativeHeight="251670528" behindDoc="0" locked="0" layoutInCell="1" allowOverlap="1">
                      <wp:simplePos x="0" y="0"/>
                      <wp:positionH relativeFrom="column">
                        <wp:posOffset>1321435</wp:posOffset>
                      </wp:positionH>
                      <wp:positionV relativeFrom="paragraph">
                        <wp:posOffset>109855</wp:posOffset>
                      </wp:positionV>
                      <wp:extent cx="0" cy="243205"/>
                      <wp:effectExtent l="38100" t="0" r="38100" b="4445"/>
                      <wp:wrapNone/>
                      <wp:docPr id="39" name="直接箭头连接符 37"/>
                      <wp:cNvGraphicFramePr/>
                      <a:graphic xmlns:a="http://schemas.openxmlformats.org/drawingml/2006/main">
                        <a:graphicData uri="http://schemas.microsoft.com/office/word/2010/wordprocessingShape">
                          <wps:wsp>
                            <wps:cNvCnPr/>
                            <wps:spPr>
                              <a:xfrm flipV="1">
                                <a:off x="0" y="0"/>
                                <a:ext cx="0" cy="2432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直接箭头连接符 37" o:spid="_x0000_s1026" o:spt="32" type="#_x0000_t32" style="position:absolute;left:0pt;flip:y;margin-left:104.05pt;margin-top:8.65pt;height:19.15pt;width:0pt;z-index:251670528;mso-width-relative:page;mso-height-relative:page;" filled="f" stroked="t" coordsize="21600,21600" o:gfxdata="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wSEA9cAAAAJ&#10;AQAADwAAAAAAAAABACAAAAAiAAAAZHJzL2Rvd25yZXYueG1sUEsBAhQAFAAAAAgAh07iQPi9+c8d&#10;AgAADgQAAA4AAAAAAAAAAQAgAAAAJgEAAGRycy9lMm9Eb2MueG1sUEsFBgAAAAAGAAYAWQEAALUF&#10;AAAAAA==&#10;">
                      <v:fill on="f" focussize="0,0"/>
                      <v:stroke weight="0.5pt" color="#000000" miterlimit="8" joinstyle="miter" endarrow="block"/>
                      <v:imagedata o:title=""/>
                      <o:lock v:ext="edit" aspectratio="f"/>
                    </v:shape>
                  </w:pict>
                </mc:Fallback>
              </mc:AlternateConten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r>
              <w:rPr>
                <w:rFonts w:ascii="Times New Roman" w:hAnsi="Times New Roman" w:eastAsia="宋体"/>
                <w:sz w:val="28"/>
              </w:rPr>
              <mc:AlternateContent>
                <mc:Choice Requires="wps">
                  <w:drawing>
                    <wp:anchor distT="0" distB="0" distL="114300" distR="114300" simplePos="0" relativeHeight="251681792" behindDoc="0" locked="0" layoutInCell="1" allowOverlap="1">
                      <wp:simplePos x="0" y="0"/>
                      <wp:positionH relativeFrom="column">
                        <wp:posOffset>450850</wp:posOffset>
                      </wp:positionH>
                      <wp:positionV relativeFrom="paragraph">
                        <wp:posOffset>120650</wp:posOffset>
                      </wp:positionV>
                      <wp:extent cx="249555" cy="6985"/>
                      <wp:effectExtent l="0" t="44450" r="17145" b="62865"/>
                      <wp:wrapNone/>
                      <wp:docPr id="49" name="直线 334"/>
                      <wp:cNvGraphicFramePr/>
                      <a:graphic xmlns:a="http://schemas.openxmlformats.org/drawingml/2006/main">
                        <a:graphicData uri="http://schemas.microsoft.com/office/word/2010/wordprocessingShape">
                          <wps:wsp>
                            <wps:cNvCnPr/>
                            <wps:spPr>
                              <a:xfrm rot="-10800000" flipV="1">
                                <a:off x="0" y="0"/>
                                <a:ext cx="249555" cy="6985"/>
                              </a:xfrm>
                              <a:prstGeom prst="line">
                                <a:avLst/>
                              </a:prstGeom>
                              <a:ln w="9525" cap="flat" cmpd="sng">
                                <a:solidFill>
                                  <a:srgbClr val="000000"/>
                                </a:solidFill>
                                <a:prstDash val="dash"/>
                                <a:headEnd type="none" w="med" len="med"/>
                                <a:tailEnd type="arrow" w="med" len="med"/>
                              </a:ln>
                            </wps:spPr>
                            <wps:bodyPr upright="1"/>
                          </wps:wsp>
                        </a:graphicData>
                      </a:graphic>
                    </wp:anchor>
                  </w:drawing>
                </mc:Choice>
                <mc:Fallback>
                  <w:pict>
                    <v:line id="直线 334" o:spid="_x0000_s1026" o:spt="20" style="position:absolute;left:0pt;flip:y;margin-left:35.5pt;margin-top:9.5pt;height:0.55pt;width:19.65pt;rotation:11796480f;z-index:251681792;mso-width-relative:page;mso-height-relative:page;" filled="f" stroked="t" coordsize="21600,21600" o:gfxdata="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ifueoNcAAAAIAQAADwAAAAAAAAABACAAAAAiAAAAZHJz&#10;L2Rvd25yZXYueG1sUEsBAhQAFAAAAAgAh07iQGsksYkFAgAA+gMAAA4AAAAAAAAAAQAgAAAAJgEA&#10;AGRycy9lMm9Eb2MueG1sUEsFBgAAAAAGAAYAWQEAAJ0FAAAAAA==&#10;">
                      <v:fill on="f" focussize="0,0"/>
                      <v:stroke color="#000000" joinstyle="round" dashstyle="dash" endarrow="open"/>
                      <v:imagedata o:title=""/>
                      <o:lock v:ext="edit" aspectratio="f"/>
                    </v:line>
                  </w:pict>
                </mc:Fallback>
              </mc:AlternateContent>
            </w:r>
            <w:r>
              <w:rPr>
                <w:rFonts w:ascii="Times New Roman" w:hAnsi="Times New Roman" w:eastAsia="宋体"/>
                <w:sz w:val="28"/>
              </w:rPr>
              <mc:AlternateContent>
                <mc:Choice Requires="wps">
                  <w:drawing>
                    <wp:anchor distT="0" distB="0" distL="114300" distR="114300" simplePos="0" relativeHeight="251676672" behindDoc="0" locked="0" layoutInCell="1" allowOverlap="1">
                      <wp:simplePos x="0" y="0"/>
                      <wp:positionH relativeFrom="column">
                        <wp:posOffset>3640455</wp:posOffset>
                      </wp:positionH>
                      <wp:positionV relativeFrom="paragraph">
                        <wp:posOffset>114300</wp:posOffset>
                      </wp:positionV>
                      <wp:extent cx="439420" cy="635"/>
                      <wp:effectExtent l="0" t="48895" r="17780" b="64770"/>
                      <wp:wrapNone/>
                      <wp:docPr id="44" name="直线 328"/>
                      <wp:cNvGraphicFramePr/>
                      <a:graphic xmlns:a="http://schemas.openxmlformats.org/drawingml/2006/main">
                        <a:graphicData uri="http://schemas.microsoft.com/office/word/2010/wordprocessingShape">
                          <wps:wsp>
                            <wps:cNvCnPr/>
                            <wps:spPr>
                              <a:xfrm>
                                <a:off x="0" y="0"/>
                                <a:ext cx="439420" cy="635"/>
                              </a:xfrm>
                              <a:prstGeom prst="line">
                                <a:avLst/>
                              </a:prstGeom>
                              <a:ln w="9525" cap="flat" cmpd="sng">
                                <a:solidFill>
                                  <a:srgbClr val="000000"/>
                                </a:solidFill>
                                <a:prstDash val="dash"/>
                                <a:headEnd type="none" w="med" len="med"/>
                                <a:tailEnd type="arrow" w="med" len="med"/>
                              </a:ln>
                            </wps:spPr>
                            <wps:bodyPr upright="1"/>
                          </wps:wsp>
                        </a:graphicData>
                      </a:graphic>
                    </wp:anchor>
                  </w:drawing>
                </mc:Choice>
                <mc:Fallback>
                  <w:pict>
                    <v:line id="直线 328" o:spid="_x0000_s1026" o:spt="20" style="position:absolute;left:0pt;margin-left:286.65pt;margin-top:9pt;height:0.05pt;width:34.6pt;z-index:251676672;mso-width-relative:page;mso-height-relative:page;" filled="f" stroked="t" coordsize="21600,21600" o:gfxdata="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sEDcc2QAAAAkBAAAPAAAAAAAAAAEAIAAAACIAAABkcnMvZG93bnJldi54bWxQSwECFAAU&#10;AAAACACHTuJAYTxnaPABAADfAwAADgAAAAAAAAABACAAAAAoAQAAZHJzL2Uyb0RvYy54bWxQSwUG&#10;AAAAAAYABgBZAQAAigUAAAAA&#10;">
                      <v:fill on="f" focussize="0,0"/>
                      <v:stroke color="#000000" joinstyle="round" dashstyle="dash" endarrow="open"/>
                      <v:imagedata o:title=""/>
                      <o:lock v:ext="edit" aspectratio="f"/>
                    </v:line>
                  </w:pict>
                </mc:Fallback>
              </mc:AlternateContent>
            </w:r>
            <w:r>
              <w:rPr>
                <w:rFonts w:ascii="Times New Roman" w:hAnsi="Times New Roman" w:eastAsia="宋体" w:cs="Times New Roman"/>
                <w:color w:val="auto"/>
                <w:kern w:val="0"/>
                <w:sz w:val="28"/>
                <w:szCs w:val="28"/>
              </w:rPr>
              <mc:AlternateContent>
                <mc:Choice Requires="wps">
                  <w:drawing>
                    <wp:anchor distT="0" distB="0" distL="114300" distR="114300" simplePos="0" relativeHeight="251669504" behindDoc="0" locked="0" layoutInCell="1" allowOverlap="1">
                      <wp:simplePos x="0" y="0"/>
                      <wp:positionH relativeFrom="column">
                        <wp:posOffset>1347470</wp:posOffset>
                      </wp:positionH>
                      <wp:positionV relativeFrom="paragraph">
                        <wp:posOffset>257175</wp:posOffset>
                      </wp:positionV>
                      <wp:extent cx="0" cy="243205"/>
                      <wp:effectExtent l="38100" t="0" r="38100" b="4445"/>
                      <wp:wrapNone/>
                      <wp:docPr id="37" name="直接箭头连接符 21"/>
                      <wp:cNvGraphicFramePr/>
                      <a:graphic xmlns:a="http://schemas.openxmlformats.org/drawingml/2006/main">
                        <a:graphicData uri="http://schemas.microsoft.com/office/word/2010/wordprocessingShape">
                          <wps:wsp>
                            <wps:cNvCnPr/>
                            <wps:spPr>
                              <a:xfrm flipV="1">
                                <a:off x="0" y="0"/>
                                <a:ext cx="0" cy="24329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直接箭头连接符 21" o:spid="_x0000_s1026" o:spt="32" type="#_x0000_t32" style="position:absolute;left:0pt;flip:y;margin-left:106.1pt;margin-top:20.25pt;height:19.15pt;width:0pt;z-index:251669504;mso-width-relative:page;mso-height-relative:page;" filled="f" stroked="t" coordsize="21600,21600" o:gfxdata="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8bn7sdcAAAAJ&#10;AQAADwAAAAAAAAABACAAAAAiAAAAZHJzL2Rvd25yZXYueG1sUEsBAhQAFAAAAAgAh07iQNHjfskd&#10;AgAADgQAAA4AAAAAAAAAAQAgAAAAJgEAAGRycy9lMm9Eb2MueG1sUEsFBgAAAAAGAAYAWQEAALUF&#10;AAAAAA==&#10;">
                      <v:fill on="f" focussize="0,0"/>
                      <v:stroke weight="0.5pt" color="#000000" miterlimit="8" joinstyle="miter" endarrow="block"/>
                      <v:imagedata o:title=""/>
                      <o:lock v:ext="edit" aspectratio="f"/>
                    </v:shape>
                  </w:pict>
                </mc:Fallback>
              </mc:AlternateConten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r>
              <w:rPr>
                <w:rFonts w:ascii="Times New Roman" w:hAnsi="Times New Roman" w:eastAsia="宋体"/>
                <w:sz w:val="28"/>
              </w:rPr>
              <mc:AlternateContent>
                <mc:Choice Requires="wps">
                  <w:drawing>
                    <wp:anchor distT="0" distB="0" distL="114300" distR="114300" simplePos="0" relativeHeight="251747328" behindDoc="0" locked="0" layoutInCell="1" allowOverlap="1">
                      <wp:simplePos x="0" y="0"/>
                      <wp:positionH relativeFrom="column">
                        <wp:posOffset>4077970</wp:posOffset>
                      </wp:positionH>
                      <wp:positionV relativeFrom="paragraph">
                        <wp:posOffset>113665</wp:posOffset>
                      </wp:positionV>
                      <wp:extent cx="916940" cy="680720"/>
                      <wp:effectExtent l="0" t="0" r="0" b="0"/>
                      <wp:wrapNone/>
                      <wp:docPr id="267" name="文本框 344"/>
                      <wp:cNvGraphicFramePr/>
                      <a:graphic xmlns:a="http://schemas.openxmlformats.org/drawingml/2006/main">
                        <a:graphicData uri="http://schemas.microsoft.com/office/word/2010/wordprocessingShape">
                          <wps:wsp>
                            <wps:cNvSpPr txBox="1"/>
                            <wps:spPr>
                              <a:xfrm>
                                <a:off x="0" y="0"/>
                                <a:ext cx="916940" cy="680720"/>
                              </a:xfrm>
                              <a:prstGeom prst="rect">
                                <a:avLst/>
                              </a:prstGeom>
                              <a:noFill/>
                              <a:ln>
                                <a:noFill/>
                              </a:ln>
                            </wps:spPr>
                            <wps:txbx>
                              <w:txbxContent>
                                <w:p>
                                  <w:pPr>
                                    <w:rPr>
                                      <w:rFonts w:hint="default" w:eastAsia="宋体"/>
                                      <w:lang w:val="en-US" w:eastAsia="zh-CN"/>
                                    </w:rPr>
                                  </w:pPr>
                                  <w:r>
                                    <w:rPr>
                                      <w:rFonts w:hint="eastAsia"/>
                                      <w:lang w:val="en-US" w:eastAsia="zh-CN"/>
                                    </w:rPr>
                                    <w:t>G5：颗粒物、二氧化硫、氮氧化物</w:t>
                                  </w:r>
                                </w:p>
                              </w:txbxContent>
                            </wps:txbx>
                            <wps:bodyPr wrap="square" upright="1"/>
                          </wps:wsp>
                        </a:graphicData>
                      </a:graphic>
                    </wp:anchor>
                  </w:drawing>
                </mc:Choice>
                <mc:Fallback>
                  <w:pict>
                    <v:shape id="文本框 344" o:spid="_x0000_s1026" o:spt="202" type="#_x0000_t202" style="position:absolute;left:0pt;margin-left:321.1pt;margin-top:8.95pt;height:53.6pt;width:72.2pt;z-index:251747328;mso-width-relative:page;mso-height-relative:page;" filled="f" stroked="f" coordsize="21600,21600" o:gfxdata="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BfBWdcAAAAKAQAADwAAAAAAAAABACAAAAAiAAAAZHJzL2Rvd25yZXYueG1sUEsBAhQA&#10;FAAAAAgAh07iQJlZ7g66AQAAXwMAAA4AAAAAAAAAAQAgAAAAJgEAAGRycy9lMm9Eb2MueG1sUEsF&#10;BgAAAAAGAAYAWQEAAFIFAAAAAA==&#10;">
                      <v:fill on="f" focussize="0,0"/>
                      <v:stroke on="f"/>
                      <v:imagedata o:title=""/>
                      <o:lock v:ext="edit" aspectratio="f"/>
                      <v:textbox>
                        <w:txbxContent>
                          <w:p>
                            <w:pPr>
                              <w:rPr>
                                <w:rFonts w:hint="default" w:eastAsia="宋体"/>
                                <w:lang w:val="en-US" w:eastAsia="zh-CN"/>
                              </w:rPr>
                            </w:pPr>
                            <w:r>
                              <w:rPr>
                                <w:rFonts w:hint="eastAsia"/>
                                <w:lang w:val="en-US" w:eastAsia="zh-CN"/>
                              </w:rPr>
                              <w:t>G5：颗粒物、二氧化硫、氮氧化物</w:t>
                            </w:r>
                          </w:p>
                        </w:txbxContent>
                      </v:textbox>
                    </v:shape>
                  </w:pict>
                </mc:Fallback>
              </mc:AlternateContent>
            </w:r>
            <w:r>
              <w:rPr>
                <w:rFonts w:ascii="Times New Roman" w:hAnsi="Times New Roman" w:eastAsia="宋体"/>
                <w:sz w:val="28"/>
              </w:rPr>
              <mc:AlternateContent>
                <mc:Choice Requires="wps">
                  <w:drawing>
                    <wp:anchor distT="0" distB="0" distL="114300" distR="114300" simplePos="0" relativeHeight="251691008" behindDoc="0" locked="0" layoutInCell="1" allowOverlap="1">
                      <wp:simplePos x="0" y="0"/>
                      <wp:positionH relativeFrom="column">
                        <wp:posOffset>-52705</wp:posOffset>
                      </wp:positionH>
                      <wp:positionV relativeFrom="paragraph">
                        <wp:posOffset>268605</wp:posOffset>
                      </wp:positionV>
                      <wp:extent cx="499110" cy="659130"/>
                      <wp:effectExtent l="0" t="0" r="0" b="0"/>
                      <wp:wrapNone/>
                      <wp:docPr id="109" name="文本框 346"/>
                      <wp:cNvGraphicFramePr/>
                      <a:graphic xmlns:a="http://schemas.openxmlformats.org/drawingml/2006/main">
                        <a:graphicData uri="http://schemas.microsoft.com/office/word/2010/wordprocessingShape">
                          <wps:wsp>
                            <wps:cNvSpPr txBox="1"/>
                            <wps:spPr>
                              <a:xfrm>
                                <a:off x="0" y="0"/>
                                <a:ext cx="499110" cy="659130"/>
                              </a:xfrm>
                              <a:prstGeom prst="rect">
                                <a:avLst/>
                              </a:prstGeom>
                              <a:noFill/>
                              <a:ln>
                                <a:noFill/>
                              </a:ln>
                            </wps:spPr>
                            <wps:txbx>
                              <w:txbxContent>
                                <w:p>
                                  <w:pPr>
                                    <w:rPr>
                                      <w:rFonts w:hint="default" w:eastAsia="宋体"/>
                                      <w:lang w:val="en-US" w:eastAsia="zh-CN"/>
                                    </w:rPr>
                                  </w:pPr>
                                  <w:r>
                                    <w:rPr>
                                      <w:rFonts w:hint="eastAsia"/>
                                      <w:lang w:val="en-US" w:eastAsia="zh-CN"/>
                                    </w:rPr>
                                    <w:t>G6：颗粒物</w:t>
                                  </w:r>
                                </w:p>
                              </w:txbxContent>
                            </wps:txbx>
                            <wps:bodyPr vert="horz" wrap="square" anchor="t" upright="1"/>
                          </wps:wsp>
                        </a:graphicData>
                      </a:graphic>
                    </wp:anchor>
                  </w:drawing>
                </mc:Choice>
                <mc:Fallback>
                  <w:pict>
                    <v:shape id="文本框 346" o:spid="_x0000_s1026" o:spt="202" type="#_x0000_t202" style="position:absolute;left:0pt;margin-left:-4.15pt;margin-top:21.15pt;height:51.9pt;width:39.3pt;z-index:251691008;mso-width-relative:page;mso-height-relative:page;" filled="f" stroked="f" coordsize="21600,21600" o:gfxdata="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JIv8rrVAAAACAEAAA8AAAAAAAAAAQAgAAAAIgAAAGRycy9kb3du&#10;cmV2LnhtbFBLAQIUABQAAAAIAIdO4kBE3bkAyQEAAHYDAAAOAAAAAAAAAAEAIAAAACQBAABkcnMv&#10;ZTJvRG9jLnhtbFBLBQYAAAAABgAGAFkBAABfBQAAAAA=&#10;">
                      <v:fill on="f" focussize="0,0"/>
                      <v:stroke on="f"/>
                      <v:imagedata o:title=""/>
                      <o:lock v:ext="edit" aspectratio="f"/>
                      <v:textbox>
                        <w:txbxContent>
                          <w:p>
                            <w:pPr>
                              <w:rPr>
                                <w:rFonts w:hint="default" w:eastAsia="宋体"/>
                                <w:lang w:val="en-US" w:eastAsia="zh-CN"/>
                              </w:rPr>
                            </w:pPr>
                            <w:r>
                              <w:rPr>
                                <w:rFonts w:hint="eastAsia"/>
                                <w:lang w:val="en-US" w:eastAsia="zh-CN"/>
                              </w:rPr>
                              <w:t>G6：颗粒物</w:t>
                            </w:r>
                          </w:p>
                        </w:txbxContent>
                      </v:textbox>
                    </v:shape>
                  </w:pict>
                </mc:Fallback>
              </mc:AlternateContent>
            </w:r>
            <w:r>
              <w:rPr>
                <w:rFonts w:ascii="Times New Roman" w:hAnsi="Times New Roman" w:eastAsia="宋体" w:cs="Times New Roman"/>
                <w:color w:val="auto"/>
                <w:kern w:val="0"/>
                <w:sz w:val="28"/>
                <w:szCs w:val="28"/>
              </w:rPr>
              <mc:AlternateContent>
                <mc:Choice Requires="wps">
                  <w:drawing>
                    <wp:anchor distT="0" distB="0" distL="114300" distR="114300" simplePos="0" relativeHeight="251668480" behindDoc="0" locked="0" layoutInCell="1" allowOverlap="1">
                      <wp:simplePos x="0" y="0"/>
                      <wp:positionH relativeFrom="column">
                        <wp:posOffset>1347470</wp:posOffset>
                      </wp:positionH>
                      <wp:positionV relativeFrom="paragraph">
                        <wp:posOffset>22860</wp:posOffset>
                      </wp:positionV>
                      <wp:extent cx="0" cy="243205"/>
                      <wp:effectExtent l="38100" t="0" r="38100" b="4445"/>
                      <wp:wrapNone/>
                      <wp:docPr id="36" name="直接箭头连接符 20"/>
                      <wp:cNvGraphicFramePr/>
                      <a:graphic xmlns:a="http://schemas.openxmlformats.org/drawingml/2006/main">
                        <a:graphicData uri="http://schemas.microsoft.com/office/word/2010/wordprocessingShape">
                          <wps:wsp>
                            <wps:cNvCnPr/>
                            <wps:spPr>
                              <a:xfrm flipV="1">
                                <a:off x="0" y="0"/>
                                <a:ext cx="0" cy="24329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直接箭头连接符 20" o:spid="_x0000_s1026" o:spt="32" type="#_x0000_t32" style="position:absolute;left:0pt;flip:y;margin-left:106.1pt;margin-top:1.8pt;height:19.15pt;width:0pt;z-index:251668480;mso-width-relative:page;mso-height-relative:page;" filled="f" stroked="t" coordsize="21600,21600" o:gfxdata="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cCf21QAAAAgBAAAP&#10;AAAAAAAAAAEAIAAAACIAAABkcnMvZG93bnJldi54bWxQSwECFAAUAAAACACHTuJAsLRJjhsCAAAO&#10;BAAADgAAAAAAAAABACAAAAAkAQAAZHJzL2Uyb0RvYy54bWxQSwUGAAAAAAYABgBZAQAAsQUAAAAA&#10;">
                      <v:fill on="f" focussize="0,0"/>
                      <v:stroke weight="0.5pt" color="#000000" miterlimit="8" joinstyle="miter" endarrow="block"/>
                      <v:imagedata o:title=""/>
                      <o:lock v:ext="edit" aspectratio="f"/>
                    </v:shape>
                  </w:pict>
                </mc:Fallback>
              </mc:AlternateConten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r>
              <w:rPr>
                <w:rFonts w:ascii="Times New Roman" w:hAnsi="Times New Roman" w:eastAsia="宋体"/>
                <w:sz w:val="28"/>
              </w:rPr>
              <mc:AlternateContent>
                <mc:Choice Requires="wps">
                  <w:drawing>
                    <wp:anchor distT="0" distB="0" distL="114300" distR="114300" simplePos="0" relativeHeight="251683840" behindDoc="0" locked="0" layoutInCell="1" allowOverlap="1">
                      <wp:simplePos x="0" y="0"/>
                      <wp:positionH relativeFrom="column">
                        <wp:posOffset>429260</wp:posOffset>
                      </wp:positionH>
                      <wp:positionV relativeFrom="paragraph">
                        <wp:posOffset>8255</wp:posOffset>
                      </wp:positionV>
                      <wp:extent cx="307975" cy="635"/>
                      <wp:effectExtent l="0" t="48895" r="15875" b="64770"/>
                      <wp:wrapNone/>
                      <wp:docPr id="51" name="直线 337"/>
                      <wp:cNvGraphicFramePr/>
                      <a:graphic xmlns:a="http://schemas.openxmlformats.org/drawingml/2006/main">
                        <a:graphicData uri="http://schemas.microsoft.com/office/word/2010/wordprocessingShape">
                          <wps:wsp>
                            <wps:cNvCnPr/>
                            <wps:spPr>
                              <a:xfrm rot="10800000">
                                <a:off x="0" y="0"/>
                                <a:ext cx="307975" cy="635"/>
                              </a:xfrm>
                              <a:prstGeom prst="line">
                                <a:avLst/>
                              </a:prstGeom>
                              <a:ln w="9525" cap="flat" cmpd="sng">
                                <a:solidFill>
                                  <a:srgbClr val="000000"/>
                                </a:solidFill>
                                <a:prstDash val="dash"/>
                                <a:headEnd type="none" w="med" len="med"/>
                                <a:tailEnd type="arrow" w="med" len="med"/>
                              </a:ln>
                            </wps:spPr>
                            <wps:bodyPr upright="1"/>
                          </wps:wsp>
                        </a:graphicData>
                      </a:graphic>
                    </wp:anchor>
                  </w:drawing>
                </mc:Choice>
                <mc:Fallback>
                  <w:pict>
                    <v:line id="直线 337" o:spid="_x0000_s1026" o:spt="20" style="position:absolute;left:0pt;margin-left:33.8pt;margin-top:0.65pt;height:0.05pt;width:24.25pt;rotation:11796480f;z-index:251683840;mso-width-relative:page;mso-height-relative:page;" filled="f" stroked="t" coordsize="21600,21600" o:gfxdata="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3uaz6tIAAAAGAQAADwAAAAAAAAABACAAAAAiAAAAZHJzL2Rvd25yZXYueG1sUEsB&#10;AhQAFAAAAAgAh07iQAKiIzb7AQAA7gMAAA4AAAAAAAAAAQAgAAAAIQEAAGRycy9lMm9Eb2MueG1s&#10;UEsFBgAAAAAGAAYAWQEAAI4FAAAAAA==&#10;">
                      <v:fill on="f" focussize="0,0"/>
                      <v:stroke color="#000000" joinstyle="round" dashstyle="dash" endarrow="open"/>
                      <v:imagedata o:title=""/>
                      <o:lock v:ext="edit" aspectratio="f"/>
                    </v:line>
                  </w:pict>
                </mc:Fallback>
              </mc:AlternateContent>
            </w:r>
            <w:r>
              <w:rPr>
                <w:rFonts w:ascii="Times New Roman" w:hAnsi="Times New Roman" w:eastAsia="宋体"/>
                <w:sz w:val="28"/>
              </w:rPr>
              <mc:AlternateContent>
                <mc:Choice Requires="wps">
                  <w:drawing>
                    <wp:anchor distT="0" distB="0" distL="114300" distR="114300" simplePos="0" relativeHeight="251679744" behindDoc="0" locked="0" layoutInCell="1" allowOverlap="1">
                      <wp:simplePos x="0" y="0"/>
                      <wp:positionH relativeFrom="column">
                        <wp:posOffset>3646170</wp:posOffset>
                      </wp:positionH>
                      <wp:positionV relativeFrom="paragraph">
                        <wp:posOffset>1270</wp:posOffset>
                      </wp:positionV>
                      <wp:extent cx="439420" cy="635"/>
                      <wp:effectExtent l="0" t="48895" r="17780" b="64770"/>
                      <wp:wrapNone/>
                      <wp:docPr id="47" name="直线 332"/>
                      <wp:cNvGraphicFramePr/>
                      <a:graphic xmlns:a="http://schemas.openxmlformats.org/drawingml/2006/main">
                        <a:graphicData uri="http://schemas.microsoft.com/office/word/2010/wordprocessingShape">
                          <wps:wsp>
                            <wps:cNvCnPr/>
                            <wps:spPr>
                              <a:xfrm>
                                <a:off x="0" y="0"/>
                                <a:ext cx="439420" cy="635"/>
                              </a:xfrm>
                              <a:prstGeom prst="line">
                                <a:avLst/>
                              </a:prstGeom>
                              <a:ln w="9525" cap="flat" cmpd="sng">
                                <a:solidFill>
                                  <a:srgbClr val="000000"/>
                                </a:solidFill>
                                <a:prstDash val="dash"/>
                                <a:headEnd type="none" w="med" len="med"/>
                                <a:tailEnd type="arrow" w="med" len="med"/>
                              </a:ln>
                            </wps:spPr>
                            <wps:bodyPr upright="1"/>
                          </wps:wsp>
                        </a:graphicData>
                      </a:graphic>
                    </wp:anchor>
                  </w:drawing>
                </mc:Choice>
                <mc:Fallback>
                  <w:pict>
                    <v:line id="直线 332" o:spid="_x0000_s1026" o:spt="20" style="position:absolute;left:0pt;margin-left:287.1pt;margin-top:0.1pt;height:0.05pt;width:34.6pt;z-index:251679744;mso-width-relative:page;mso-height-relative:page;" filled="f" stroked="t" coordsize="21600,21600" o:gfxdata="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TtUw71gAAAAUBAAAPAAAAAAAAAAEAIAAAACIAAABkcnMvZG93bnJldi54bWxQSwECFAAUAAAA&#10;CACHTuJAQJeqw/ABAADfAwAADgAAAAAAAAABACAAAAAlAQAAZHJzL2Uyb0RvYy54bWxQSwUGAAAA&#10;AAYABgBZAQAAhwUAAAAA&#10;">
                      <v:fill on="f" focussize="0,0"/>
                      <v:stroke color="#000000" joinstyle="round" dashstyle="dash" endarrow="open"/>
                      <v:imagedata o:title=""/>
                      <o:lock v:ext="edit" aspectratio="f"/>
                    </v:line>
                  </w:pict>
                </mc:Fallback>
              </mc:AlternateContent>
            </w:r>
            <w:r>
              <w:rPr>
                <w:rFonts w:ascii="Times New Roman" w:hAnsi="Times New Roman" w:eastAsia="宋体" w:cs="Times New Roman"/>
                <w:color w:val="auto"/>
                <w:kern w:val="0"/>
                <w:sz w:val="28"/>
                <w:szCs w:val="28"/>
              </w:rPr>
              <mc:AlternateContent>
                <mc:Choice Requires="wps">
                  <w:drawing>
                    <wp:anchor distT="0" distB="0" distL="114300" distR="114300" simplePos="0" relativeHeight="251673600" behindDoc="0" locked="0" layoutInCell="1" allowOverlap="1">
                      <wp:simplePos x="0" y="0"/>
                      <wp:positionH relativeFrom="column">
                        <wp:posOffset>1340485</wp:posOffset>
                      </wp:positionH>
                      <wp:positionV relativeFrom="paragraph">
                        <wp:posOffset>179705</wp:posOffset>
                      </wp:positionV>
                      <wp:extent cx="0" cy="243205"/>
                      <wp:effectExtent l="38100" t="0" r="38100" b="4445"/>
                      <wp:wrapNone/>
                      <wp:docPr id="43" name="直接箭头连接符 40"/>
                      <wp:cNvGraphicFramePr/>
                      <a:graphic xmlns:a="http://schemas.openxmlformats.org/drawingml/2006/main">
                        <a:graphicData uri="http://schemas.microsoft.com/office/word/2010/wordprocessingShape">
                          <wps:wsp>
                            <wps:cNvCnPr/>
                            <wps:spPr>
                              <a:xfrm flipV="1">
                                <a:off x="0" y="0"/>
                                <a:ext cx="0" cy="24329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直接箭头连接符 40" o:spid="_x0000_s1026" o:spt="32" type="#_x0000_t32" style="position:absolute;left:0pt;flip:y;margin-left:105.55pt;margin-top:14.15pt;height:19.15pt;width:0pt;z-index:251673600;mso-width-relative:page;mso-height-relative:page;" filled="f" stroked="t" coordsize="21600,21600" o:gfxdata="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Uh693WAAAACQEA&#10;AA8AAAAAAAAAAQAgAAAAIgAAAGRycy9kb3ducmV2LnhtbFBLAQIUABQAAAAIAIdO4kDNgpj5HAIA&#10;AA4EAAAOAAAAAAAAAAEAIAAAACUBAABkcnMvZTJvRG9jLnhtbFBLBQYAAAAABgAGAFkBAACzBQAA&#10;AAA=&#10;">
                      <v:fill on="f" focussize="0,0"/>
                      <v:stroke weight="0.5pt" color="#000000" miterlimit="8" joinstyle="miter" endarrow="block"/>
                      <v:imagedata o:title=""/>
                      <o:lock v:ext="edit" aspectratio="f"/>
                    </v:shape>
                  </w:pict>
                </mc:Fallback>
              </mc:AlternateContent>
            </w: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p>
          <w:p>
            <w:pPr>
              <w:widowControl/>
              <w:tabs>
                <w:tab w:val="left" w:pos="1470"/>
              </w:tabs>
              <w:spacing w:line="351" w:lineRule="atLeast"/>
              <w:ind w:firstLine="0"/>
              <w:jc w:val="center"/>
              <w:textAlignment w:val="baseline"/>
              <w:rPr>
                <w:rFonts w:ascii="Times New Roman" w:hAnsi="Times New Roman" w:eastAsia="宋体" w:cs="Times New Roman"/>
                <w:color w:val="auto"/>
                <w:kern w:val="0"/>
                <w:sz w:val="28"/>
                <w:szCs w:val="28"/>
              </w:rPr>
            </w:pPr>
          </w:p>
          <w:p>
            <w:pPr>
              <w:widowControl/>
              <w:tabs>
                <w:tab w:val="left" w:pos="1470"/>
                <w:tab w:val="left" w:pos="2310"/>
                <w:tab w:val="center" w:pos="4450"/>
              </w:tabs>
              <w:spacing w:line="351" w:lineRule="atLeast"/>
              <w:jc w:val="center"/>
              <w:textAlignment w:val="baseline"/>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图</w:t>
            </w:r>
            <w:r>
              <w:rPr>
                <w:rFonts w:hint="eastAsia" w:ascii="Times New Roman" w:hAnsi="Times New Roman" w:eastAsia="宋体" w:cs="Times New Roman"/>
                <w:color w:val="auto"/>
                <w:kern w:val="0"/>
                <w:sz w:val="24"/>
                <w:szCs w:val="24"/>
                <w:lang w:val="en-US" w:eastAsia="zh-CN"/>
              </w:rPr>
              <w:t>5</w:t>
            </w:r>
            <w:r>
              <w:rPr>
                <w:rFonts w:hint="eastAsia" w:ascii="Times New Roman" w:hAnsi="Times New Roman" w:eastAsia="宋体" w:cs="Times New Roman"/>
                <w:color w:val="auto"/>
                <w:kern w:val="0"/>
                <w:sz w:val="24"/>
                <w:szCs w:val="24"/>
              </w:rPr>
              <w:t>-</w:t>
            </w:r>
            <w:r>
              <w:rPr>
                <w:rFonts w:ascii="Times New Roman" w:hAnsi="Times New Roman" w:eastAsia="宋体" w:cs="Times New Roman"/>
                <w:color w:val="auto"/>
                <w:kern w:val="0"/>
                <w:sz w:val="24"/>
                <w:szCs w:val="24"/>
              </w:rPr>
              <w:t>1</w:t>
            </w:r>
            <w:r>
              <w:rPr>
                <w:rFonts w:hint="eastAsia" w:ascii="Times New Roman" w:hAnsi="Times New Roman" w:eastAsia="宋体" w:cs="Times New Roman"/>
                <w:color w:val="auto"/>
                <w:kern w:val="0"/>
                <w:sz w:val="24"/>
                <w:szCs w:val="24"/>
              </w:rPr>
              <w:t xml:space="preserve"> 高铝砖生产线工艺流程图及污染节点简图</w:t>
            </w:r>
          </w:p>
          <w:p>
            <w:pPr>
              <w:spacing w:line="360" w:lineRule="auto"/>
              <w:jc w:val="center"/>
              <w:rPr>
                <w:rFonts w:ascii="Times New Roman" w:hAnsi="Times New Roman" w:eastAsia="宋体"/>
                <w:color w:val="FF0000"/>
                <w:sz w:val="24"/>
                <w:szCs w:val="24"/>
              </w:rPr>
            </w:pPr>
          </w:p>
          <w:p>
            <w:pPr>
              <w:spacing w:line="360" w:lineRule="auto"/>
              <w:ind w:firstLine="480" w:firstLineChars="200"/>
              <w:rPr>
                <w:rFonts w:ascii="Times New Roman" w:hAnsi="Times New Roman" w:eastAsia="宋体"/>
                <w:color w:val="000000"/>
                <w:sz w:val="24"/>
                <w:szCs w:val="24"/>
              </w:rPr>
            </w:pPr>
          </w:p>
          <w:p>
            <w:pPr>
              <w:spacing w:line="360" w:lineRule="auto"/>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工艺说明：</w:t>
            </w:r>
          </w:p>
          <w:p>
            <w:pPr>
              <w:spacing w:line="520" w:lineRule="exact"/>
              <w:ind w:firstLine="482" w:firstLineChars="200"/>
              <w:rPr>
                <w:rFonts w:ascii="Times New Roman" w:hAnsi="Times New Roman" w:eastAsia="宋体"/>
                <w:b/>
                <w:color w:val="auto"/>
                <w:sz w:val="24"/>
                <w:szCs w:val="24"/>
              </w:rPr>
            </w:pPr>
            <w:r>
              <w:rPr>
                <w:rFonts w:ascii="Times New Roman" w:hAnsi="Times New Roman" w:eastAsia="宋体"/>
                <w:b/>
                <w:color w:val="auto"/>
                <w:sz w:val="24"/>
                <w:szCs w:val="24"/>
              </w:rPr>
              <w:t xml:space="preserve">配料  </w:t>
            </w:r>
            <w:r>
              <w:rPr>
                <w:rFonts w:ascii="Times New Roman" w:hAnsi="Times New Roman" w:eastAsia="宋体"/>
                <w:color w:val="auto"/>
                <w:sz w:val="24"/>
                <w:szCs w:val="24"/>
              </w:rPr>
              <w:t>共设置</w:t>
            </w:r>
            <w:r>
              <w:rPr>
                <w:rFonts w:hint="eastAsia" w:ascii="Times New Roman" w:hAnsi="Times New Roman" w:eastAsia="宋体"/>
                <w:color w:val="auto"/>
                <w:sz w:val="24"/>
                <w:szCs w:val="24"/>
              </w:rPr>
              <w:t>4</w:t>
            </w:r>
            <w:r>
              <w:rPr>
                <w:rFonts w:ascii="Times New Roman" w:hAnsi="Times New Roman" w:eastAsia="宋体"/>
                <w:color w:val="auto"/>
                <w:sz w:val="24"/>
                <w:szCs w:val="24"/>
              </w:rPr>
              <w:t>4个配料仓，双排布置，</w:t>
            </w:r>
            <w:r>
              <w:rPr>
                <w:rFonts w:hint="eastAsia" w:ascii="Times New Roman" w:hAnsi="Times New Roman" w:eastAsia="宋体"/>
                <w:color w:val="auto"/>
                <w:sz w:val="24"/>
                <w:szCs w:val="24"/>
              </w:rPr>
              <w:t>一排为颗粒仓，另一排为粉料仓，</w:t>
            </w:r>
            <w:r>
              <w:rPr>
                <w:rFonts w:ascii="Times New Roman" w:hAnsi="Times New Roman" w:eastAsia="宋体"/>
                <w:color w:val="auto"/>
                <w:sz w:val="24"/>
                <w:szCs w:val="24"/>
              </w:rPr>
              <w:t>单仓有效容积为5.7m</w:t>
            </w:r>
            <w:r>
              <w:rPr>
                <w:rFonts w:ascii="Times New Roman" w:hAnsi="Times New Roman" w:eastAsia="宋体"/>
                <w:color w:val="auto"/>
                <w:sz w:val="24"/>
                <w:szCs w:val="24"/>
                <w:vertAlign w:val="superscript"/>
              </w:rPr>
              <w:t>3</w:t>
            </w:r>
            <w:r>
              <w:rPr>
                <w:rFonts w:ascii="Times New Roman" w:hAnsi="Times New Roman" w:eastAsia="宋体"/>
                <w:color w:val="auto"/>
                <w:sz w:val="24"/>
                <w:szCs w:val="24"/>
              </w:rPr>
              <w:t>。</w:t>
            </w:r>
            <w:r>
              <w:rPr>
                <w:rFonts w:hint="eastAsia" w:ascii="Times New Roman" w:hAnsi="Times New Roman" w:eastAsia="宋体"/>
                <w:color w:val="auto"/>
                <w:sz w:val="24"/>
                <w:szCs w:val="24"/>
              </w:rPr>
              <w:t>进仓原料通过两台布料小车布料。仓内原料通过给料机组经缓冲料仓进入自动配料设备。</w:t>
            </w:r>
            <w:r>
              <w:rPr>
                <w:rFonts w:ascii="Times New Roman" w:hAnsi="Times New Roman" w:eastAsia="宋体"/>
                <w:color w:val="auto"/>
                <w:sz w:val="24"/>
                <w:szCs w:val="24"/>
              </w:rPr>
              <w:t>配料设备选用2台DDWK-1000</w:t>
            </w:r>
            <w:r>
              <w:rPr>
                <w:rFonts w:hint="eastAsia" w:ascii="Times New Roman" w:hAnsi="Times New Roman" w:eastAsia="宋体"/>
                <w:color w:val="auto"/>
                <w:sz w:val="24"/>
                <w:szCs w:val="24"/>
              </w:rPr>
              <w:t>双</w:t>
            </w:r>
            <w:r>
              <w:rPr>
                <w:rFonts w:ascii="Times New Roman" w:hAnsi="Times New Roman" w:eastAsia="宋体"/>
                <w:color w:val="auto"/>
                <w:sz w:val="24"/>
                <w:szCs w:val="24"/>
              </w:rPr>
              <w:t>斗自动配料车。</w:t>
            </w:r>
            <w:r>
              <w:rPr>
                <w:rFonts w:hint="eastAsia" w:ascii="Times New Roman" w:hAnsi="Times New Roman" w:eastAsia="宋体"/>
                <w:color w:val="auto"/>
                <w:sz w:val="24"/>
                <w:szCs w:val="24"/>
              </w:rPr>
              <w:t>每台配料车可单独完成一个配料。</w:t>
            </w:r>
            <w:r>
              <w:rPr>
                <w:rFonts w:ascii="Times New Roman" w:hAnsi="Times New Roman" w:eastAsia="宋体"/>
                <w:color w:val="auto"/>
                <w:sz w:val="24"/>
                <w:szCs w:val="24"/>
              </w:rPr>
              <w:t>配好的</w:t>
            </w:r>
            <w:r>
              <w:rPr>
                <w:rFonts w:hint="eastAsia" w:ascii="Times New Roman" w:hAnsi="Times New Roman" w:eastAsia="宋体"/>
                <w:color w:val="auto"/>
                <w:sz w:val="24"/>
                <w:szCs w:val="24"/>
              </w:rPr>
              <w:t>物料经缓冲仓、溜管进入混合设备</w:t>
            </w:r>
            <w:r>
              <w:rPr>
                <w:rFonts w:ascii="Times New Roman" w:hAnsi="Times New Roman" w:eastAsia="宋体"/>
                <w:color w:val="auto"/>
                <w:sz w:val="24"/>
                <w:szCs w:val="24"/>
              </w:rPr>
              <w:t>混合。</w:t>
            </w:r>
          </w:p>
          <w:p>
            <w:pPr>
              <w:spacing w:line="520" w:lineRule="exact"/>
              <w:ind w:firstLine="482" w:firstLineChars="200"/>
              <w:rPr>
                <w:rFonts w:ascii="Times New Roman" w:hAnsi="Times New Roman" w:eastAsia="宋体"/>
                <w:color w:val="auto"/>
                <w:sz w:val="24"/>
                <w:szCs w:val="24"/>
              </w:rPr>
            </w:pPr>
            <w:r>
              <w:rPr>
                <w:rFonts w:ascii="Times New Roman" w:hAnsi="Times New Roman" w:eastAsia="宋体"/>
                <w:b/>
                <w:color w:val="auto"/>
                <w:sz w:val="24"/>
                <w:szCs w:val="24"/>
              </w:rPr>
              <w:t>混合</w:t>
            </w:r>
            <w:r>
              <w:rPr>
                <w:rFonts w:ascii="Times New Roman" w:hAnsi="Times New Roman" w:eastAsia="宋体"/>
                <w:color w:val="auto"/>
                <w:sz w:val="24"/>
                <w:szCs w:val="24"/>
              </w:rPr>
              <w:t xml:space="preserve">  混合设备选用5</w:t>
            </w:r>
            <w:r>
              <w:rPr>
                <w:rFonts w:hint="eastAsia" w:ascii="Times New Roman" w:hAnsi="Times New Roman" w:eastAsia="宋体"/>
                <w:color w:val="auto"/>
                <w:sz w:val="24"/>
                <w:szCs w:val="24"/>
              </w:rPr>
              <w:t>台爱立许R</w:t>
            </w:r>
            <w:r>
              <w:rPr>
                <w:rFonts w:ascii="Times New Roman" w:hAnsi="Times New Roman" w:eastAsia="宋体"/>
                <w:color w:val="auto"/>
                <w:sz w:val="24"/>
                <w:szCs w:val="24"/>
              </w:rPr>
              <w:t>19</w:t>
            </w:r>
            <w:r>
              <w:rPr>
                <w:rFonts w:hint="eastAsia" w:ascii="Times New Roman" w:hAnsi="Times New Roman" w:eastAsia="宋体"/>
                <w:color w:val="auto"/>
                <w:sz w:val="24"/>
                <w:szCs w:val="24"/>
              </w:rPr>
              <w:t>混合机</w:t>
            </w:r>
            <w:r>
              <w:rPr>
                <w:rFonts w:ascii="Times New Roman" w:hAnsi="Times New Roman" w:eastAsia="宋体"/>
                <w:color w:val="auto"/>
                <w:sz w:val="24"/>
                <w:szCs w:val="24"/>
              </w:rPr>
              <w:t>。每次混料量</w:t>
            </w:r>
            <w:r>
              <w:rPr>
                <w:rFonts w:hint="eastAsia" w:ascii="Times New Roman" w:hAnsi="Times New Roman" w:eastAsia="宋体"/>
                <w:color w:val="auto"/>
                <w:sz w:val="24"/>
                <w:szCs w:val="24"/>
              </w:rPr>
              <w:t>为1.0</w:t>
            </w:r>
            <w:r>
              <w:rPr>
                <w:rFonts w:ascii="Times New Roman" w:hAnsi="Times New Roman" w:eastAsia="宋体"/>
                <w:color w:val="auto"/>
                <w:sz w:val="24"/>
                <w:szCs w:val="24"/>
              </w:rPr>
              <w:t>吨。</w:t>
            </w:r>
            <w:r>
              <w:rPr>
                <w:rFonts w:hint="eastAsia" w:ascii="Times New Roman" w:hAnsi="Times New Roman" w:eastAsia="宋体"/>
                <w:color w:val="auto"/>
                <w:sz w:val="24"/>
                <w:szCs w:val="24"/>
              </w:rPr>
              <w:t>该设备混合效率高，物料在机内混合均匀，混合质量好，不成团，颗粒不易再粉碎，电耗低，整机密封，环境污染小，噪音小，具有轻型、高效、节能等特点，混合物料密实，可以</w:t>
            </w:r>
            <w:r>
              <w:rPr>
                <w:rFonts w:ascii="Times New Roman" w:hAnsi="Times New Roman" w:eastAsia="宋体"/>
                <w:color w:val="auto"/>
                <w:sz w:val="24"/>
                <w:szCs w:val="24"/>
              </w:rPr>
              <w:t>获得良好的混合效果。混合后的泥料</w:t>
            </w:r>
            <w:r>
              <w:rPr>
                <w:rFonts w:hint="eastAsia" w:ascii="Times New Roman" w:hAnsi="Times New Roman" w:eastAsia="宋体"/>
                <w:color w:val="auto"/>
                <w:sz w:val="24"/>
                <w:szCs w:val="24"/>
              </w:rPr>
              <w:t>入泥料罐通过环形轨道输送设备输送到压机料仓</w:t>
            </w:r>
            <w:r>
              <w:rPr>
                <w:rFonts w:ascii="Times New Roman" w:hAnsi="Times New Roman" w:eastAsia="宋体"/>
                <w:color w:val="auto"/>
                <w:sz w:val="24"/>
                <w:szCs w:val="24"/>
              </w:rPr>
              <w:t>。</w:t>
            </w:r>
          </w:p>
          <w:p>
            <w:pPr>
              <w:spacing w:line="520" w:lineRule="exact"/>
              <w:ind w:firstLine="482" w:firstLineChars="200"/>
              <w:rPr>
                <w:rFonts w:ascii="Times New Roman" w:hAnsi="Times New Roman" w:eastAsia="宋体"/>
                <w:color w:val="auto"/>
                <w:sz w:val="24"/>
                <w:szCs w:val="24"/>
              </w:rPr>
            </w:pPr>
            <w:r>
              <w:rPr>
                <w:rFonts w:ascii="Times New Roman" w:hAnsi="Times New Roman" w:eastAsia="宋体"/>
                <w:b/>
                <w:color w:val="auto"/>
                <w:sz w:val="24"/>
                <w:szCs w:val="24"/>
              </w:rPr>
              <w:t>成型</w:t>
            </w:r>
            <w:r>
              <w:rPr>
                <w:rFonts w:ascii="Times New Roman" w:hAnsi="Times New Roman" w:eastAsia="宋体"/>
                <w:color w:val="auto"/>
                <w:sz w:val="24"/>
                <w:szCs w:val="24"/>
              </w:rPr>
              <w:t xml:space="preserve">  在成型厂房内设1台</w:t>
            </w:r>
            <w:r>
              <w:rPr>
                <w:rFonts w:hint="eastAsia" w:ascii="Times New Roman" w:hAnsi="Times New Roman" w:eastAsia="宋体"/>
                <w:color w:val="auto"/>
                <w:sz w:val="24"/>
                <w:szCs w:val="24"/>
              </w:rPr>
              <w:t>16/3.2吨电动双梁桥式起重机和1台1</w:t>
            </w:r>
            <w:r>
              <w:rPr>
                <w:rFonts w:ascii="Times New Roman" w:hAnsi="Times New Roman" w:eastAsia="宋体"/>
                <w:color w:val="auto"/>
                <w:sz w:val="24"/>
                <w:szCs w:val="24"/>
              </w:rPr>
              <w:t>0</w:t>
            </w:r>
            <w:r>
              <w:rPr>
                <w:rFonts w:hint="eastAsia" w:ascii="Times New Roman" w:hAnsi="Times New Roman" w:eastAsia="宋体"/>
                <w:color w:val="auto"/>
                <w:sz w:val="24"/>
                <w:szCs w:val="24"/>
              </w:rPr>
              <w:t>吨单梁起重机</w:t>
            </w:r>
            <w:r>
              <w:rPr>
                <w:rFonts w:ascii="Times New Roman" w:hAnsi="Times New Roman" w:eastAsia="宋体"/>
                <w:color w:val="auto"/>
                <w:sz w:val="24"/>
                <w:szCs w:val="24"/>
              </w:rPr>
              <w:t>负责</w:t>
            </w:r>
            <w:r>
              <w:rPr>
                <w:rFonts w:hint="eastAsia" w:ascii="Times New Roman" w:hAnsi="Times New Roman" w:eastAsia="宋体"/>
                <w:color w:val="auto"/>
                <w:sz w:val="24"/>
                <w:szCs w:val="24"/>
              </w:rPr>
              <w:t>设</w:t>
            </w:r>
            <w:r>
              <w:rPr>
                <w:rFonts w:ascii="Times New Roman" w:hAnsi="Times New Roman" w:eastAsia="宋体"/>
                <w:color w:val="auto"/>
                <w:sz w:val="24"/>
                <w:szCs w:val="24"/>
              </w:rPr>
              <w:t>备</w:t>
            </w:r>
            <w:r>
              <w:rPr>
                <w:rFonts w:hint="eastAsia" w:ascii="Times New Roman" w:hAnsi="Times New Roman" w:eastAsia="宋体"/>
                <w:color w:val="auto"/>
                <w:sz w:val="24"/>
                <w:szCs w:val="24"/>
              </w:rPr>
              <w:t>、模具</w:t>
            </w:r>
            <w:r>
              <w:rPr>
                <w:rFonts w:ascii="Times New Roman" w:hAnsi="Times New Roman" w:eastAsia="宋体"/>
                <w:color w:val="auto"/>
                <w:sz w:val="24"/>
                <w:szCs w:val="24"/>
              </w:rPr>
              <w:t>检修</w:t>
            </w:r>
            <w:r>
              <w:rPr>
                <w:rFonts w:hint="eastAsia" w:ascii="Times New Roman" w:hAnsi="Times New Roman" w:eastAsia="宋体"/>
                <w:color w:val="auto"/>
                <w:sz w:val="24"/>
                <w:szCs w:val="24"/>
              </w:rPr>
              <w:t>、组装，也可根据生产需要临时他用</w:t>
            </w:r>
            <w:r>
              <w:rPr>
                <w:rFonts w:ascii="Times New Roman" w:hAnsi="Times New Roman" w:eastAsia="宋体"/>
                <w:color w:val="auto"/>
                <w:sz w:val="24"/>
                <w:szCs w:val="24"/>
              </w:rPr>
              <w:t>。</w:t>
            </w:r>
          </w:p>
          <w:p>
            <w:pPr>
              <w:spacing w:line="52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成型</w:t>
            </w:r>
            <w:r>
              <w:rPr>
                <w:rFonts w:hint="eastAsia" w:ascii="Times New Roman" w:hAnsi="Times New Roman" w:eastAsia="宋体"/>
                <w:color w:val="auto"/>
                <w:sz w:val="24"/>
                <w:szCs w:val="24"/>
              </w:rPr>
              <w:t>设备</w:t>
            </w:r>
            <w:r>
              <w:rPr>
                <w:rFonts w:ascii="Times New Roman" w:hAnsi="Times New Roman" w:eastAsia="宋体"/>
                <w:color w:val="auto"/>
                <w:sz w:val="24"/>
                <w:szCs w:val="24"/>
              </w:rPr>
              <w:t>选用5</w:t>
            </w:r>
            <w:r>
              <w:rPr>
                <w:rFonts w:hint="eastAsia" w:ascii="Times New Roman" w:hAnsi="Times New Roman" w:eastAsia="宋体"/>
                <w:color w:val="auto"/>
                <w:sz w:val="24"/>
                <w:szCs w:val="24"/>
              </w:rPr>
              <w:t>台莱斯HPFⅣ2</w:t>
            </w:r>
            <w:r>
              <w:rPr>
                <w:rFonts w:ascii="Times New Roman" w:hAnsi="Times New Roman" w:eastAsia="宋体"/>
                <w:color w:val="auto"/>
                <w:sz w:val="24"/>
                <w:szCs w:val="24"/>
              </w:rPr>
              <w:t>0</w:t>
            </w:r>
            <w:r>
              <w:rPr>
                <w:rFonts w:hint="eastAsia" w:ascii="Times New Roman" w:hAnsi="Times New Roman" w:eastAsia="宋体"/>
                <w:color w:val="auto"/>
                <w:sz w:val="24"/>
                <w:szCs w:val="24"/>
              </w:rPr>
              <w:t>00型双面加压自动压砖机</w:t>
            </w:r>
            <w:r>
              <w:rPr>
                <w:rFonts w:ascii="Times New Roman" w:hAnsi="Times New Roman" w:eastAsia="宋体"/>
                <w:color w:val="auto"/>
                <w:sz w:val="24"/>
                <w:szCs w:val="24"/>
              </w:rPr>
              <w:t>。</w:t>
            </w:r>
          </w:p>
          <w:p>
            <w:pPr>
              <w:spacing w:line="52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成型后的砖坯用机械手直接码放在窑车上，然后用电拖车倒运入干燥窑内干燥。</w:t>
            </w:r>
          </w:p>
          <w:p>
            <w:pPr>
              <w:spacing w:line="52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干燥</w:t>
            </w:r>
            <w:r>
              <w:rPr>
                <w:rFonts w:ascii="Times New Roman" w:hAnsi="Times New Roman" w:eastAsia="宋体"/>
                <w:b/>
                <w:color w:val="auto"/>
                <w:sz w:val="24"/>
                <w:szCs w:val="24"/>
              </w:rPr>
              <w:t xml:space="preserve">  </w:t>
            </w:r>
            <w:r>
              <w:rPr>
                <w:rFonts w:hint="eastAsia" w:ascii="Times New Roman" w:hAnsi="Times New Roman" w:eastAsia="宋体"/>
                <w:color w:val="auto"/>
                <w:sz w:val="24"/>
                <w:szCs w:val="24"/>
              </w:rPr>
              <w:t>共设计</w:t>
            </w:r>
            <w:r>
              <w:rPr>
                <w:rFonts w:ascii="Times New Roman" w:hAnsi="Times New Roman" w:eastAsia="宋体"/>
                <w:color w:val="auto"/>
                <w:sz w:val="24"/>
                <w:szCs w:val="24"/>
              </w:rPr>
              <w:t>2</w:t>
            </w:r>
            <w:r>
              <w:rPr>
                <w:rFonts w:hint="eastAsia" w:ascii="Times New Roman" w:hAnsi="Times New Roman" w:eastAsia="宋体"/>
                <w:color w:val="auto"/>
                <w:sz w:val="24"/>
                <w:szCs w:val="24"/>
              </w:rPr>
              <w:t>条</w:t>
            </w:r>
            <w:r>
              <w:rPr>
                <w:rFonts w:ascii="Times New Roman" w:hAnsi="Times New Roman" w:eastAsia="宋体"/>
                <w:color w:val="auto"/>
                <w:sz w:val="24"/>
                <w:szCs w:val="24"/>
              </w:rPr>
              <w:t>72.6</w:t>
            </w:r>
            <w:r>
              <w:rPr>
                <w:rFonts w:hint="eastAsia" w:ascii="Times New Roman" w:hAnsi="Times New Roman" w:eastAsia="宋体"/>
                <w:color w:val="auto"/>
                <w:sz w:val="24"/>
                <w:szCs w:val="24"/>
              </w:rPr>
              <w:t>m长隧道式干燥窑，采用烧成窑余热和燃气热风炉作为热源。可使干燥后的砖坯水分控制在2%左右，以保证烧成的成品率。</w:t>
            </w:r>
          </w:p>
          <w:p>
            <w:pPr>
              <w:widowControl w:val="0"/>
              <w:tabs>
                <w:tab w:val="left" w:pos="8010"/>
              </w:tabs>
              <w:spacing w:line="52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烧成</w:t>
            </w:r>
            <w:r>
              <w:rPr>
                <w:rFonts w:ascii="Times New Roman" w:hAnsi="Times New Roman" w:eastAsia="宋体"/>
                <w:b/>
                <w:color w:val="auto"/>
                <w:sz w:val="24"/>
                <w:szCs w:val="24"/>
              </w:rPr>
              <w:t xml:space="preserve">  </w:t>
            </w:r>
            <w:r>
              <w:rPr>
                <w:rFonts w:hint="eastAsia" w:ascii="Times New Roman" w:hAnsi="Times New Roman" w:eastAsia="宋体"/>
                <w:color w:val="auto"/>
                <w:sz w:val="24"/>
                <w:szCs w:val="24"/>
              </w:rPr>
              <w:t>根据产量要求，设计2座</w:t>
            </w:r>
            <w:r>
              <w:rPr>
                <w:rFonts w:ascii="Times New Roman" w:hAnsi="Times New Roman" w:eastAsia="宋体"/>
                <w:color w:val="auto"/>
                <w:sz w:val="24"/>
                <w:szCs w:val="24"/>
              </w:rPr>
              <w:t>128.1</w:t>
            </w:r>
            <w:r>
              <w:rPr>
                <w:rFonts w:hint="eastAsia" w:ascii="Times New Roman" w:hAnsi="Times New Roman" w:eastAsia="宋体"/>
                <w:color w:val="auto"/>
                <w:sz w:val="24"/>
                <w:szCs w:val="24"/>
              </w:rPr>
              <w:t>m长隧道式烧成窑，用于制品的烧成。窑设计烧成温度为1</w:t>
            </w:r>
            <w:r>
              <w:rPr>
                <w:rFonts w:ascii="Times New Roman" w:hAnsi="Times New Roman" w:eastAsia="宋体"/>
                <w:color w:val="auto"/>
                <w:sz w:val="24"/>
                <w:szCs w:val="24"/>
              </w:rPr>
              <w:t>55</w:t>
            </w:r>
            <w:r>
              <w:rPr>
                <w:rFonts w:hint="eastAsia" w:ascii="Times New Roman" w:hAnsi="Times New Roman" w:eastAsia="宋体"/>
                <w:color w:val="auto"/>
                <w:sz w:val="24"/>
                <w:szCs w:val="24"/>
              </w:rPr>
              <w:t>0℃，长期使用温度为15</w:t>
            </w:r>
            <w:r>
              <w:rPr>
                <w:rFonts w:ascii="Times New Roman" w:hAnsi="Times New Roman" w:eastAsia="宋体"/>
                <w:color w:val="auto"/>
                <w:sz w:val="24"/>
                <w:szCs w:val="24"/>
              </w:rPr>
              <w:t>0</w:t>
            </w:r>
            <w:r>
              <w:rPr>
                <w:rFonts w:hint="eastAsia" w:ascii="Times New Roman" w:hAnsi="Times New Roman" w:eastAsia="宋体"/>
                <w:color w:val="auto"/>
                <w:sz w:val="24"/>
                <w:szCs w:val="24"/>
              </w:rPr>
              <w:t>0℃，使用的燃料为天然气。</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2" w:firstLineChars="200"/>
              <w:rPr>
                <w:rFonts w:ascii="Times New Roman" w:hAnsi="Times New Roman" w:eastAsia="宋体"/>
                <w:bCs/>
                <w:color w:val="auto"/>
                <w:sz w:val="24"/>
                <w:szCs w:val="24"/>
              </w:rPr>
            </w:pPr>
            <w:r>
              <w:rPr>
                <w:rFonts w:hint="eastAsia" w:ascii="Times New Roman" w:hAnsi="Times New Roman" w:eastAsia="宋体"/>
                <w:b/>
                <w:bCs/>
                <w:color w:val="auto"/>
                <w:sz w:val="24"/>
                <w:szCs w:val="24"/>
              </w:rPr>
              <w:t>包装入库</w:t>
            </w:r>
            <w:r>
              <w:rPr>
                <w:rFonts w:hint="eastAsia" w:ascii="Times New Roman" w:hAnsi="Times New Roman" w:eastAsia="宋体"/>
                <w:bCs/>
                <w:color w:val="auto"/>
                <w:sz w:val="24"/>
                <w:szCs w:val="24"/>
              </w:rPr>
              <w:t xml:space="preserve">  烧成后的成品砖在卸车道卸下，经自动拣选流水线、热收缩耐火砖包装机包装后通过</w:t>
            </w:r>
            <w:r>
              <w:rPr>
                <w:rFonts w:ascii="Times New Roman" w:hAnsi="Times New Roman" w:eastAsia="宋体"/>
                <w:bCs/>
                <w:color w:val="auto"/>
                <w:sz w:val="24"/>
                <w:szCs w:val="24"/>
              </w:rPr>
              <w:t>AVG</w:t>
            </w:r>
            <w:r>
              <w:rPr>
                <w:rFonts w:hint="eastAsia" w:ascii="Times New Roman" w:hAnsi="Times New Roman" w:eastAsia="宋体"/>
                <w:bCs/>
                <w:color w:val="auto"/>
                <w:sz w:val="24"/>
                <w:szCs w:val="24"/>
              </w:rPr>
              <w:t>小车运送到自动化成品立库。</w:t>
            </w:r>
            <w:r>
              <w:rPr>
                <w:rFonts w:ascii="Times New Roman" w:hAnsi="Times New Roman" w:eastAsia="宋体"/>
                <w:bCs/>
                <w:color w:val="auto"/>
                <w:sz w:val="24"/>
                <w:szCs w:val="24"/>
              </w:rPr>
              <w:t>工艺流程见图</w:t>
            </w:r>
            <w:r>
              <w:rPr>
                <w:rFonts w:hint="eastAsia" w:ascii="Times New Roman" w:hAnsi="Times New Roman" w:eastAsia="宋体"/>
                <w:bCs/>
                <w:color w:val="auto"/>
                <w:sz w:val="24"/>
                <w:szCs w:val="24"/>
              </w:rPr>
              <w:t>3</w:t>
            </w:r>
            <w:r>
              <w:rPr>
                <w:rFonts w:ascii="Times New Roman" w:hAnsi="Times New Roman" w:eastAsia="宋体"/>
                <w:bCs/>
                <w:color w:val="auto"/>
                <w:sz w:val="24"/>
                <w:szCs w:val="24"/>
              </w:rPr>
              <w:t>-1。</w:t>
            </w:r>
          </w:p>
          <w:p>
            <w:pPr>
              <w:spacing w:line="360" w:lineRule="auto"/>
              <w:ind w:firstLine="482" w:firstLineChars="200"/>
              <w:rPr>
                <w:rFonts w:ascii="Times New Roman" w:hAnsi="Times New Roman" w:eastAsia="宋体"/>
                <w:color w:val="000000"/>
                <w:sz w:val="24"/>
                <w:szCs w:val="24"/>
              </w:rPr>
            </w:pPr>
            <w:r>
              <w:rPr>
                <w:rFonts w:hint="eastAsia" w:ascii="Times New Roman" w:hAnsi="Times New Roman" w:eastAsia="宋体"/>
                <w:b/>
                <w:bCs/>
                <w:color w:val="auto"/>
                <w:sz w:val="24"/>
                <w:szCs w:val="24"/>
              </w:rPr>
              <w:t>废砖破碎</w:t>
            </w:r>
            <w:r>
              <w:rPr>
                <w:rFonts w:hint="eastAsia" w:ascii="Times New Roman" w:hAnsi="Times New Roman" w:eastAsia="宋体"/>
                <w:bCs/>
                <w:color w:val="auto"/>
                <w:sz w:val="24"/>
                <w:szCs w:val="24"/>
              </w:rPr>
              <w:t xml:space="preserve">  烧成后拣选出来的废砖通过叉车运送到废砖破碎区域</w:t>
            </w:r>
            <w:r>
              <w:rPr>
                <w:rFonts w:ascii="Times New Roman" w:hAnsi="Times New Roman" w:eastAsia="宋体"/>
                <w:bCs/>
                <w:color w:val="auto"/>
                <w:sz w:val="24"/>
                <w:szCs w:val="24"/>
              </w:rPr>
              <w:t>。</w:t>
            </w:r>
            <w:r>
              <w:rPr>
                <w:rFonts w:hint="eastAsia" w:ascii="Times New Roman" w:hAnsi="Times New Roman" w:eastAsia="宋体"/>
                <w:bCs/>
                <w:color w:val="auto"/>
                <w:sz w:val="24"/>
                <w:szCs w:val="24"/>
              </w:rPr>
              <w:t>首先将废砖放入破碎料仓，经2</w:t>
            </w:r>
            <w:r>
              <w:rPr>
                <w:rFonts w:ascii="Times New Roman" w:hAnsi="Times New Roman" w:eastAsia="宋体"/>
                <w:bCs/>
                <w:color w:val="auto"/>
                <w:sz w:val="24"/>
                <w:szCs w:val="24"/>
              </w:rPr>
              <w:t>50×750</w:t>
            </w:r>
            <w:r>
              <w:rPr>
                <w:rFonts w:hint="eastAsia" w:ascii="Times New Roman" w:hAnsi="Times New Roman" w:eastAsia="宋体"/>
                <w:bCs/>
                <w:color w:val="auto"/>
                <w:sz w:val="24"/>
                <w:szCs w:val="24"/>
              </w:rPr>
              <w:t>颚式破碎机破碎后通过1</w:t>
            </w:r>
            <w:r>
              <w:rPr>
                <w:rFonts w:ascii="Times New Roman" w:hAnsi="Times New Roman" w:eastAsia="宋体"/>
                <w:bCs/>
                <w:color w:val="auto"/>
                <w:sz w:val="24"/>
                <w:szCs w:val="24"/>
              </w:rPr>
              <w:t>60</w:t>
            </w:r>
            <w:r>
              <w:rPr>
                <w:rFonts w:hint="eastAsia" w:ascii="Times New Roman" w:hAnsi="Times New Roman" w:eastAsia="宋体"/>
                <w:bCs/>
                <w:color w:val="auto"/>
                <w:sz w:val="24"/>
                <w:szCs w:val="24"/>
              </w:rPr>
              <w:t>斗式提升机进入立式冲击破料仓。立破选用5</w:t>
            </w:r>
            <w:r>
              <w:rPr>
                <w:rFonts w:ascii="Times New Roman" w:hAnsi="Times New Roman" w:eastAsia="宋体"/>
                <w:bCs/>
                <w:color w:val="auto"/>
                <w:sz w:val="24"/>
                <w:szCs w:val="24"/>
              </w:rPr>
              <w:t>50</w:t>
            </w:r>
            <w:r>
              <w:rPr>
                <w:rFonts w:hint="eastAsia" w:ascii="Times New Roman" w:hAnsi="Times New Roman" w:eastAsia="宋体"/>
                <w:bCs/>
                <w:color w:val="auto"/>
                <w:sz w:val="24"/>
                <w:szCs w:val="24"/>
              </w:rPr>
              <w:t>型，立破破碎后再通过1</w:t>
            </w:r>
            <w:r>
              <w:rPr>
                <w:rFonts w:ascii="Times New Roman" w:hAnsi="Times New Roman" w:eastAsia="宋体"/>
                <w:bCs/>
                <w:color w:val="auto"/>
                <w:sz w:val="24"/>
                <w:szCs w:val="24"/>
              </w:rPr>
              <w:t>60</w:t>
            </w:r>
            <w:r>
              <w:rPr>
                <w:rFonts w:hint="eastAsia" w:ascii="Times New Roman" w:hAnsi="Times New Roman" w:eastAsia="宋体"/>
                <w:bCs/>
                <w:color w:val="auto"/>
                <w:sz w:val="24"/>
                <w:szCs w:val="24"/>
              </w:rPr>
              <w:t>斗式提升机输送到1</w:t>
            </w:r>
            <w:r>
              <w:rPr>
                <w:rFonts w:ascii="Times New Roman" w:hAnsi="Times New Roman" w:eastAsia="宋体"/>
                <w:bCs/>
                <w:color w:val="auto"/>
                <w:sz w:val="24"/>
                <w:szCs w:val="24"/>
              </w:rPr>
              <w:t>224</w:t>
            </w:r>
            <w:r>
              <w:rPr>
                <w:rFonts w:hint="eastAsia" w:ascii="Times New Roman" w:hAnsi="Times New Roman" w:eastAsia="宋体"/>
                <w:bCs/>
                <w:color w:val="auto"/>
                <w:sz w:val="24"/>
                <w:szCs w:val="24"/>
              </w:rPr>
              <w:t>型单层振动筛，不符合要求的大颗粒返回立破料仓，符合要求的成品废砖料进入料仓采用吨袋包装机包装后入原料立库。溜管相应位置设置永磁除铁器除铁。</w:t>
            </w:r>
          </w:p>
          <w:p>
            <w:pPr>
              <w:spacing w:line="240" w:lineRule="auto"/>
              <w:ind w:firstLine="2501" w:firstLineChars="1038"/>
              <w:rPr>
                <w:rFonts w:ascii="Times New Roman" w:hAnsi="Times New Roman" w:eastAsia="宋体"/>
                <w:bCs/>
                <w:color w:val="auto"/>
                <w:position w:val="-6"/>
                <w:sz w:val="24"/>
                <w:szCs w:val="24"/>
              </w:rPr>
            </w:pPr>
            <w:r>
              <w:rPr>
                <w:rFonts w:hint="eastAsia" w:ascii="Times New Roman" w:hAnsi="Times New Roman" w:eastAsia="宋体"/>
                <w:b/>
                <w:color w:val="auto"/>
                <w:sz w:val="24"/>
                <w:szCs w:val="24"/>
                <w:lang w:val="en-US" w:eastAsia="zh-CN"/>
              </w:rPr>
              <w:t xml:space="preserve">表5-1 </w:t>
            </w:r>
            <w:r>
              <w:rPr>
                <w:rFonts w:hint="eastAsia" w:ascii="Times New Roman" w:hAnsi="Times New Roman" w:eastAsia="宋体"/>
                <w:b/>
                <w:color w:val="auto"/>
                <w:sz w:val="24"/>
                <w:szCs w:val="24"/>
              </w:rPr>
              <w:t xml:space="preserve">高铝砖生产线物料平衡计算表  </w:t>
            </w:r>
            <w:r>
              <w:rPr>
                <w:rFonts w:hint="eastAsia" w:ascii="Times New Roman" w:hAnsi="Times New Roman" w:eastAsia="宋体"/>
                <w:b/>
                <w:color w:val="auto"/>
                <w:sz w:val="27"/>
                <w:szCs w:val="27"/>
              </w:rPr>
              <w:t xml:space="preserve">    </w:t>
            </w:r>
          </w:p>
          <w:tbl>
            <w:tblPr>
              <w:tblStyle w:val="28"/>
              <w:tblW w:w="4998" w:type="pct"/>
              <w:tblInd w:w="0" w:type="dxa"/>
              <w:tblLayout w:type="autofit"/>
              <w:tblCellMar>
                <w:top w:w="0" w:type="dxa"/>
                <w:left w:w="108" w:type="dxa"/>
                <w:bottom w:w="0" w:type="dxa"/>
                <w:right w:w="108" w:type="dxa"/>
              </w:tblCellMar>
            </w:tblPr>
            <w:tblGrid>
              <w:gridCol w:w="595"/>
              <w:gridCol w:w="993"/>
              <w:gridCol w:w="591"/>
              <w:gridCol w:w="1848"/>
              <w:gridCol w:w="1013"/>
              <w:gridCol w:w="1011"/>
              <w:gridCol w:w="794"/>
              <w:gridCol w:w="768"/>
              <w:gridCol w:w="690"/>
            </w:tblGrid>
            <w:tr>
              <w:tblPrEx>
                <w:tblCellMar>
                  <w:top w:w="0" w:type="dxa"/>
                  <w:left w:w="108" w:type="dxa"/>
                  <w:bottom w:w="0" w:type="dxa"/>
                  <w:right w:w="108" w:type="dxa"/>
                </w:tblCellMar>
              </w:tblPrEx>
              <w:trPr>
                <w:trHeight w:val="397" w:hRule="atLeast"/>
                <w:tblHeader/>
              </w:trPr>
              <w:tc>
                <w:tcPr>
                  <w:tcW w:w="362" w:type="pct"/>
                  <w:vMerge w:val="restart"/>
                  <w:tcBorders>
                    <w:top w:val="single" w:color="auto" w:sz="8" w:space="0"/>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序号</w:t>
                  </w:r>
                </w:p>
              </w:tc>
              <w:tc>
                <w:tcPr>
                  <w:tcW w:w="601" w:type="pct"/>
                  <w:vMerge w:val="restart"/>
                  <w:tcBorders>
                    <w:top w:val="single" w:color="auto" w:sz="8" w:space="0"/>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生产</w:t>
                  </w:r>
                </w:p>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工序</w:t>
                  </w:r>
                </w:p>
              </w:tc>
              <w:tc>
                <w:tcPr>
                  <w:tcW w:w="1475" w:type="pct"/>
                  <w:gridSpan w:val="2"/>
                  <w:vMerge w:val="restart"/>
                  <w:tcBorders>
                    <w:top w:val="single" w:color="auto" w:sz="8" w:space="0"/>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计算参数</w:t>
                  </w:r>
                </w:p>
              </w:tc>
              <w:tc>
                <w:tcPr>
                  <w:tcW w:w="613" w:type="pct"/>
                  <w:tcBorders>
                    <w:top w:val="single" w:color="auto" w:sz="8"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班制</w:t>
                  </w:r>
                </w:p>
              </w:tc>
              <w:tc>
                <w:tcPr>
                  <w:tcW w:w="1946" w:type="pct"/>
                  <w:gridSpan w:val="4"/>
                  <w:tcBorders>
                    <w:top w:val="single" w:color="auto" w:sz="8" w:space="0"/>
                    <w:left w:val="nil"/>
                    <w:bottom w:val="single" w:color="auto" w:sz="4" w:space="0"/>
                    <w:right w:val="single" w:color="000000"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物料量（吨）</w:t>
                  </w:r>
                </w:p>
              </w:tc>
            </w:tr>
            <w:tr>
              <w:tblPrEx>
                <w:tblCellMar>
                  <w:top w:w="0" w:type="dxa"/>
                  <w:left w:w="108" w:type="dxa"/>
                  <w:bottom w:w="0" w:type="dxa"/>
                  <w:right w:w="108" w:type="dxa"/>
                </w:tblCellMar>
              </w:tblPrEx>
              <w:trPr>
                <w:trHeight w:val="397" w:hRule="atLeast"/>
                <w:tblHeader/>
              </w:trPr>
              <w:tc>
                <w:tcPr>
                  <w:tcW w:w="362" w:type="pct"/>
                  <w:vMerge w:val="continue"/>
                  <w:tcBorders>
                    <w:top w:val="single" w:color="auto" w:sz="8" w:space="0"/>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single" w:color="auto" w:sz="8" w:space="0"/>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475" w:type="pct"/>
                  <w:gridSpan w:val="2"/>
                  <w:vMerge w:val="continue"/>
                  <w:tcBorders>
                    <w:top w:val="single" w:color="auto" w:sz="8" w:space="0"/>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3"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日/班/时</w:t>
                  </w: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年</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日</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班</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时</w:t>
                  </w:r>
                </w:p>
              </w:tc>
            </w:tr>
            <w:tr>
              <w:tblPrEx>
                <w:tblCellMar>
                  <w:top w:w="0" w:type="dxa"/>
                  <w:left w:w="108" w:type="dxa"/>
                  <w:bottom w:w="0" w:type="dxa"/>
                  <w:right w:w="108" w:type="dxa"/>
                </w:tblCellMar>
              </w:tblPrEx>
              <w:trPr>
                <w:trHeight w:val="397" w:hRule="atLeast"/>
              </w:trPr>
              <w:tc>
                <w:tcPr>
                  <w:tcW w:w="362" w:type="pct"/>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w:t>
                  </w:r>
                </w:p>
              </w:tc>
              <w:tc>
                <w:tcPr>
                  <w:tcW w:w="601"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高铝砖</w:t>
                  </w:r>
                </w:p>
              </w:tc>
              <w:tc>
                <w:tcPr>
                  <w:tcW w:w="613"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p>
              </w:tc>
            </w:tr>
            <w:tr>
              <w:tblPrEx>
                <w:tblCellMar>
                  <w:top w:w="0" w:type="dxa"/>
                  <w:left w:w="108" w:type="dxa"/>
                  <w:bottom w:w="0" w:type="dxa"/>
                  <w:right w:w="108" w:type="dxa"/>
                </w:tblCellMar>
              </w:tblPrEx>
              <w:trPr>
                <w:trHeight w:val="397" w:hRule="atLeast"/>
              </w:trPr>
              <w:tc>
                <w:tcPr>
                  <w:tcW w:w="362" w:type="pct"/>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1.1</w:t>
                  </w:r>
                </w:p>
              </w:tc>
              <w:tc>
                <w:tcPr>
                  <w:tcW w:w="601"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成品量</w:t>
                  </w: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3"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50000</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151.52</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50.51</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6.31</w:t>
                  </w:r>
                </w:p>
              </w:tc>
            </w:tr>
            <w:tr>
              <w:tblPrEx>
                <w:tblCellMar>
                  <w:top w:w="0" w:type="dxa"/>
                  <w:left w:w="108" w:type="dxa"/>
                  <w:bottom w:w="0" w:type="dxa"/>
                  <w:right w:w="108" w:type="dxa"/>
                </w:tblCellMar>
              </w:tblPrEx>
              <w:trPr>
                <w:trHeight w:val="397" w:hRule="atLeast"/>
              </w:trPr>
              <w:tc>
                <w:tcPr>
                  <w:tcW w:w="362" w:type="pct"/>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1.2</w:t>
                  </w:r>
                </w:p>
              </w:tc>
              <w:tc>
                <w:tcPr>
                  <w:tcW w:w="601"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烧成量</w:t>
                  </w: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烧成综合废品率3%</w:t>
                  </w:r>
                </w:p>
              </w:tc>
              <w:tc>
                <w:tcPr>
                  <w:tcW w:w="613"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330/3/8</w:t>
                  </w: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51546.39</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156.20</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52.07</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6.51</w:t>
                  </w:r>
                </w:p>
              </w:tc>
            </w:tr>
            <w:tr>
              <w:tblPrEx>
                <w:tblCellMar>
                  <w:top w:w="0" w:type="dxa"/>
                  <w:left w:w="108" w:type="dxa"/>
                  <w:bottom w:w="0" w:type="dxa"/>
                  <w:right w:w="108" w:type="dxa"/>
                </w:tblCellMar>
              </w:tblPrEx>
              <w:trPr>
                <w:trHeight w:val="397" w:hRule="atLeast"/>
              </w:trPr>
              <w:tc>
                <w:tcPr>
                  <w:tcW w:w="362" w:type="pct"/>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1.3</w:t>
                  </w:r>
                </w:p>
              </w:tc>
              <w:tc>
                <w:tcPr>
                  <w:tcW w:w="601"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干燥量</w:t>
                  </w: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干燥综合废品率2%</w:t>
                  </w:r>
                </w:p>
              </w:tc>
              <w:tc>
                <w:tcPr>
                  <w:tcW w:w="613"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330/3/8</w:t>
                  </w: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52598.36</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159.39</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53.13</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6.64</w:t>
                  </w:r>
                </w:p>
              </w:tc>
            </w:tr>
            <w:tr>
              <w:trPr>
                <w:trHeight w:val="397" w:hRule="atLeast"/>
              </w:trPr>
              <w:tc>
                <w:tcPr>
                  <w:tcW w:w="362" w:type="pct"/>
                  <w:vMerge w:val="restart"/>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1.4</w:t>
                  </w:r>
                </w:p>
              </w:tc>
              <w:tc>
                <w:tcPr>
                  <w:tcW w:w="601" w:type="pct"/>
                  <w:vMerge w:val="restar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成型量</w:t>
                  </w: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成型损失率0.5%</w:t>
                  </w:r>
                </w:p>
              </w:tc>
              <w:tc>
                <w:tcPr>
                  <w:tcW w:w="613" w:type="pct"/>
                  <w:vMerge w:val="restar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330/3/8</w:t>
                  </w: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50251.26</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成型综合废品率3%</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54506.07</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165.17</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55.06</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6.88</w:t>
                  </w:r>
                </w:p>
              </w:tc>
            </w:tr>
            <w:tr>
              <w:tblPrEx>
                <w:tblCellMar>
                  <w:top w:w="0" w:type="dxa"/>
                  <w:left w:w="108" w:type="dxa"/>
                  <w:bottom w:w="0" w:type="dxa"/>
                  <w:right w:w="108" w:type="dxa"/>
                </w:tblCellMar>
              </w:tblPrEx>
              <w:trPr>
                <w:trHeight w:val="397" w:hRule="atLeast"/>
              </w:trPr>
              <w:tc>
                <w:tcPr>
                  <w:tcW w:w="362" w:type="pct"/>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1.5</w:t>
                  </w:r>
                </w:p>
              </w:tc>
              <w:tc>
                <w:tcPr>
                  <w:tcW w:w="601" w:type="pc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混合量</w:t>
                  </w: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混合损失0.5%</w:t>
                  </w:r>
                </w:p>
              </w:tc>
              <w:tc>
                <w:tcPr>
                  <w:tcW w:w="613" w:type="pc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330/3/8</w:t>
                  </w: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50503.78</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53.04</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1.01</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6</w:t>
                  </w:r>
                  <w:r>
                    <w:rPr>
                      <w:rFonts w:ascii="Times New Roman" w:hAnsi="Times New Roman" w:eastAsia="宋体"/>
                      <w:color w:val="auto"/>
                      <w:szCs w:val="21"/>
                    </w:rPr>
                    <w:t>.38</w:t>
                  </w:r>
                </w:p>
              </w:tc>
            </w:tr>
            <w:tr>
              <w:tblPrEx>
                <w:tblCellMar>
                  <w:top w:w="0" w:type="dxa"/>
                  <w:left w:w="108" w:type="dxa"/>
                  <w:bottom w:w="0" w:type="dxa"/>
                  <w:right w:w="108" w:type="dxa"/>
                </w:tblCellMar>
              </w:tblPrEx>
              <w:trPr>
                <w:trHeight w:val="397" w:hRule="atLeast"/>
              </w:trPr>
              <w:tc>
                <w:tcPr>
                  <w:tcW w:w="362" w:type="pct"/>
                  <w:vMerge w:val="restart"/>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1.6</w:t>
                  </w:r>
                </w:p>
              </w:tc>
              <w:tc>
                <w:tcPr>
                  <w:tcW w:w="601" w:type="pct"/>
                  <w:vMerge w:val="restar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配料量</w:t>
                  </w: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配料损失率0.5%</w:t>
                  </w:r>
                </w:p>
              </w:tc>
              <w:tc>
                <w:tcPr>
                  <w:tcW w:w="613" w:type="pct"/>
                  <w:vMerge w:val="restar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330/3/8</w:t>
                  </w: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50757.56</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153.81</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51.27</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6.41</w:t>
                  </w:r>
                </w:p>
              </w:tc>
            </w:tr>
            <w:tr>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restar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其中</w:t>
                  </w: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B</w:t>
                  </w:r>
                  <w:r>
                    <w:rPr>
                      <w:rFonts w:ascii="Times New Roman" w:hAnsi="Times New Roman" w:eastAsia="宋体"/>
                      <w:color w:val="auto"/>
                      <w:szCs w:val="21"/>
                    </w:rPr>
                    <w:t>1        29%</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4719.69</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4.61</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4.87</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.86</w:t>
                  </w:r>
                </w:p>
              </w:tc>
            </w:tr>
            <w:tr>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ascii="Times New Roman" w:hAnsi="Times New Roman" w:eastAsia="宋体"/>
                      <w:color w:val="auto"/>
                      <w:szCs w:val="21"/>
                    </w:rPr>
                    <w:t>B2        15%</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613.63</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3.07</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.69</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.96</w:t>
                  </w:r>
                </w:p>
              </w:tc>
            </w:tr>
            <w:tr>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G</w:t>
                  </w:r>
                  <w:r>
                    <w:rPr>
                      <w:rFonts w:ascii="Times New Roman" w:hAnsi="Times New Roman" w:eastAsia="宋体"/>
                      <w:color w:val="auto"/>
                      <w:szCs w:val="21"/>
                    </w:rPr>
                    <w:t xml:space="preserve">         30%</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5227.27</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6.14</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5.38</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.92</w:t>
                  </w:r>
                </w:p>
              </w:tc>
            </w:tr>
            <w:tr>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4        14.5%</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359.85</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2.30</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.43</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.93</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1(H)      5.5%</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791.67</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8</w:t>
                  </w:r>
                  <w:r>
                    <w:rPr>
                      <w:rFonts w:ascii="Times New Roman" w:hAnsi="Times New Roman" w:eastAsia="宋体"/>
                      <w:color w:val="auto"/>
                      <w:szCs w:val="21"/>
                    </w:rPr>
                    <w:t>.46</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.82</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.35</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L</w:t>
                  </w:r>
                  <w:r>
                    <w:rPr>
                      <w:rFonts w:ascii="Times New Roman" w:hAnsi="Times New Roman" w:eastAsia="宋体"/>
                      <w:color w:val="auto"/>
                      <w:szCs w:val="21"/>
                    </w:rPr>
                    <w:t xml:space="preserve">          3%</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522.73</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.61</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.19</w:t>
                  </w:r>
                </w:p>
              </w:tc>
            </w:tr>
            <w:tr>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1(G)      1%</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07.58</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.51</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.06</w:t>
                  </w:r>
                </w:p>
              </w:tc>
            </w:tr>
            <w:tr>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2         1%</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07.58</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.51</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.06</w:t>
                  </w:r>
                </w:p>
              </w:tc>
            </w:tr>
            <w:tr>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3         1%</w:t>
                  </w:r>
                </w:p>
              </w:tc>
              <w:tc>
                <w:tcPr>
                  <w:tcW w:w="613"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507.58</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.51</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.06</w:t>
                  </w:r>
                </w:p>
              </w:tc>
            </w:tr>
            <w:tr>
              <w:trPr>
                <w:trHeight w:val="397" w:hRule="atLeast"/>
              </w:trPr>
              <w:tc>
                <w:tcPr>
                  <w:tcW w:w="362" w:type="pct"/>
                  <w:vMerge w:val="restart"/>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1.7</w:t>
                  </w:r>
                </w:p>
              </w:tc>
              <w:tc>
                <w:tcPr>
                  <w:tcW w:w="601" w:type="pct"/>
                  <w:vMerge w:val="restar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库存量</w:t>
                  </w:r>
                </w:p>
              </w:tc>
              <w:tc>
                <w:tcPr>
                  <w:tcW w:w="1475" w:type="pct"/>
                  <w:gridSpan w:val="2"/>
                  <w:tcBorders>
                    <w:top w:val="single" w:color="auto" w:sz="4" w:space="0"/>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库存损失</w:t>
                  </w:r>
                  <w:r>
                    <w:rPr>
                      <w:rFonts w:ascii="Times New Roman" w:hAnsi="Times New Roman" w:eastAsia="宋体"/>
                      <w:color w:val="auto"/>
                      <w:szCs w:val="21"/>
                    </w:rPr>
                    <w:t>0.1%</w:t>
                  </w:r>
                </w:p>
              </w:tc>
              <w:tc>
                <w:tcPr>
                  <w:tcW w:w="613" w:type="pct"/>
                  <w:vMerge w:val="restart"/>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330/1/8</w:t>
                  </w: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0808.37</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69.36</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8</w:t>
                  </w:r>
                  <w:r>
                    <w:rPr>
                      <w:rFonts w:ascii="Times New Roman" w:hAnsi="Times New Roman" w:eastAsia="宋体"/>
                      <w:color w:val="auto"/>
                      <w:szCs w:val="21"/>
                    </w:rPr>
                    <w:t>4.68</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0.59</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restart"/>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ascii="Times New Roman" w:hAnsi="Times New Roman" w:eastAsia="宋体"/>
                      <w:color w:val="auto"/>
                      <w:szCs w:val="21"/>
                    </w:rPr>
                    <w:t>其中</w:t>
                  </w: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B</w:t>
                  </w:r>
                  <w:r>
                    <w:rPr>
                      <w:rFonts w:ascii="Times New Roman" w:hAnsi="Times New Roman" w:eastAsia="宋体"/>
                      <w:color w:val="auto"/>
                      <w:szCs w:val="21"/>
                    </w:rPr>
                    <w:t>1</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4734.43</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4.65</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4.65</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.58</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ascii="Times New Roman" w:hAnsi="Times New Roman" w:eastAsia="宋体"/>
                      <w:color w:val="auto"/>
                      <w:szCs w:val="21"/>
                    </w:rPr>
                    <w:t>B2</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621.26</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3.09</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3.09</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.89</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G</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5242.51</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6.19</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6.19</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.77</w:t>
                  </w:r>
                </w:p>
              </w:tc>
            </w:tr>
            <w:tr>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4</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367.21</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2.32</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2.32</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.79</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1(H)</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2</w:t>
                  </w:r>
                  <w:r>
                    <w:rPr>
                      <w:rFonts w:ascii="Times New Roman" w:hAnsi="Times New Roman" w:eastAsia="宋体"/>
                      <w:color w:val="auto"/>
                      <w:szCs w:val="21"/>
                    </w:rPr>
                    <w:t>794.46</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8</w:t>
                  </w:r>
                  <w:r>
                    <w:rPr>
                      <w:rFonts w:ascii="Times New Roman" w:hAnsi="Times New Roman" w:eastAsia="宋体"/>
                      <w:color w:val="auto"/>
                      <w:szCs w:val="21"/>
                    </w:rPr>
                    <w:t>.47</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8</w:t>
                  </w:r>
                  <w:r>
                    <w:rPr>
                      <w:rFonts w:ascii="Times New Roman" w:hAnsi="Times New Roman" w:eastAsia="宋体"/>
                      <w:color w:val="auto"/>
                      <w:szCs w:val="21"/>
                    </w:rPr>
                    <w:t>.47</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.06</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L</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524.25</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.62</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4</w:t>
                  </w:r>
                  <w:r>
                    <w:rPr>
                      <w:rFonts w:ascii="Times New Roman" w:hAnsi="Times New Roman" w:eastAsia="宋体"/>
                      <w:color w:val="auto"/>
                      <w:szCs w:val="21"/>
                    </w:rPr>
                    <w:t>.62</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.58</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1(G)</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08.08</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.19</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2</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08.08</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.19</w:t>
                  </w:r>
                </w:p>
              </w:tc>
            </w:tr>
            <w:tr>
              <w:tblPrEx>
                <w:tblCellMar>
                  <w:top w:w="0" w:type="dxa"/>
                  <w:left w:w="108" w:type="dxa"/>
                  <w:bottom w:w="0" w:type="dxa"/>
                  <w:right w:w="108" w:type="dxa"/>
                </w:tblCellMar>
              </w:tblPrEx>
              <w:trPr>
                <w:trHeight w:val="397" w:hRule="atLeast"/>
              </w:trPr>
              <w:tc>
                <w:tcPr>
                  <w:tcW w:w="362" w:type="pct"/>
                  <w:vMerge w:val="continue"/>
                  <w:tcBorders>
                    <w:top w:val="nil"/>
                    <w:left w:val="single" w:color="auto" w:sz="8"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01"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359" w:type="pct"/>
                  <w:vMerge w:val="continue"/>
                  <w:tcBorders>
                    <w:top w:val="nil"/>
                    <w:left w:val="single" w:color="auto" w:sz="4" w:space="0"/>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1116" w:type="pct"/>
                  <w:tcBorders>
                    <w:top w:val="nil"/>
                    <w:left w:val="nil"/>
                    <w:bottom w:val="single" w:color="auto" w:sz="4" w:space="0"/>
                    <w:right w:val="single" w:color="auto" w:sz="4" w:space="0"/>
                  </w:tcBorders>
                  <w:noWrap w:val="0"/>
                  <w:vAlign w:val="center"/>
                </w:tcPr>
                <w:p>
                  <w:pPr>
                    <w:spacing w:line="240" w:lineRule="auto"/>
                    <w:ind w:firstLine="0"/>
                    <w:jc w:val="left"/>
                    <w:textAlignment w:val="auto"/>
                    <w:rPr>
                      <w:rFonts w:ascii="Times New Roman" w:hAnsi="Times New Roman" w:eastAsia="宋体"/>
                      <w:color w:val="auto"/>
                      <w:szCs w:val="21"/>
                    </w:rPr>
                  </w:pPr>
                  <w:r>
                    <w:rPr>
                      <w:rFonts w:hint="eastAsia" w:ascii="Times New Roman" w:hAnsi="Times New Roman" w:eastAsia="宋体"/>
                      <w:color w:val="auto"/>
                      <w:szCs w:val="21"/>
                    </w:rPr>
                    <w:t>S</w:t>
                  </w:r>
                  <w:r>
                    <w:rPr>
                      <w:rFonts w:ascii="Times New Roman" w:hAnsi="Times New Roman" w:eastAsia="宋体"/>
                      <w:color w:val="auto"/>
                      <w:szCs w:val="21"/>
                    </w:rPr>
                    <w:t>3</w:t>
                  </w:r>
                </w:p>
              </w:tc>
              <w:tc>
                <w:tcPr>
                  <w:tcW w:w="613" w:type="pct"/>
                  <w:vMerge w:val="continue"/>
                  <w:tcBorders>
                    <w:top w:val="nil"/>
                    <w:left w:val="single" w:color="auto" w:sz="4" w:space="0"/>
                    <w:bottom w:val="single" w:color="000000"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p>
              </w:tc>
              <w:tc>
                <w:tcPr>
                  <w:tcW w:w="612"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5</w:t>
                  </w:r>
                  <w:r>
                    <w:rPr>
                      <w:rFonts w:ascii="Times New Roman" w:hAnsi="Times New Roman" w:eastAsia="宋体"/>
                      <w:color w:val="auto"/>
                      <w:szCs w:val="21"/>
                    </w:rPr>
                    <w:t>08.08</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66" w:type="pct"/>
                  <w:tcBorders>
                    <w:top w:val="nil"/>
                    <w:left w:val="nil"/>
                    <w:bottom w:val="single" w:color="auto" w:sz="4" w:space="0"/>
                    <w:right w:val="single" w:color="auto" w:sz="4"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.54</w:t>
                  </w:r>
                </w:p>
              </w:tc>
              <w:tc>
                <w:tcPr>
                  <w:tcW w:w="402" w:type="pct"/>
                  <w:tcBorders>
                    <w:top w:val="nil"/>
                    <w:left w:val="nil"/>
                    <w:bottom w:val="single" w:color="auto" w:sz="4" w:space="0"/>
                    <w:right w:val="single" w:color="auto" w:sz="8" w:space="0"/>
                  </w:tcBorders>
                  <w:noWrap w:val="0"/>
                  <w:vAlign w:val="center"/>
                </w:tcPr>
                <w:p>
                  <w:pPr>
                    <w:spacing w:line="240" w:lineRule="auto"/>
                    <w:ind w:firstLine="0"/>
                    <w:jc w:val="center"/>
                    <w:textAlignment w:val="auto"/>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.19</w:t>
                  </w:r>
                </w:p>
              </w:tc>
            </w:tr>
          </w:tbl>
          <w:p>
            <w:pPr>
              <w:spacing w:line="360" w:lineRule="auto"/>
              <w:ind w:firstLine="480" w:firstLineChars="200"/>
              <w:rPr>
                <w:rFonts w:ascii="Times New Roman" w:hAnsi="Times New Roman" w:eastAsia="宋体"/>
                <w:sz w:val="24"/>
                <w:szCs w:val="24"/>
              </w:rPr>
            </w:pPr>
          </w:p>
          <w:p>
            <w:pPr>
              <w:spacing w:line="360" w:lineRule="auto"/>
              <w:rPr>
                <w:rFonts w:ascii="Times New Roman" w:hAnsi="Times New Roman" w:eastAsia="宋体"/>
              </w:rPr>
            </w:pPr>
          </w:p>
        </w:tc>
      </w:tr>
    </w:tbl>
    <w:p>
      <w:pPr>
        <w:spacing w:line="360" w:lineRule="auto"/>
        <w:rPr>
          <w:rFonts w:hint="eastAsia" w:ascii="Times New Roman" w:hAnsi="Times New Roman" w:eastAsia="宋体"/>
          <w:b/>
          <w:color w:val="000000"/>
          <w:sz w:val="28"/>
          <w:highlight w:val="none"/>
          <w:lang w:eastAsia="zh-CN"/>
        </w:rPr>
        <w:sectPr>
          <w:pgSz w:w="11906" w:h="16838"/>
          <w:pgMar w:top="1440" w:right="1800" w:bottom="1558" w:left="1800" w:header="851" w:footer="992" w:gutter="0"/>
          <w:cols w:space="720" w:num="1"/>
          <w:docGrid w:type="lines" w:linePitch="312" w:charSpace="0"/>
        </w:sectPr>
      </w:pPr>
    </w:p>
    <w:tbl>
      <w:tblPr>
        <w:tblStyle w:val="2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88" w:hRule="atLeast"/>
          <w:jc w:val="center"/>
        </w:trPr>
        <w:tc>
          <w:tcPr>
            <w:tcW w:w="852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eastAsia="宋体"/>
                <w:b/>
                <w:color w:val="000000"/>
                <w:sz w:val="28"/>
                <w:highlight w:val="none"/>
              </w:rPr>
            </w:pPr>
            <w:r>
              <w:rPr>
                <w:rFonts w:hint="eastAsia" w:ascii="Times New Roman" w:hAnsi="Times New Roman" w:eastAsia="宋体"/>
                <w:b/>
                <w:color w:val="000000"/>
                <w:sz w:val="28"/>
                <w:highlight w:val="none"/>
                <w:lang w:eastAsia="zh-CN"/>
              </w:rPr>
              <w:t>运营</w:t>
            </w:r>
            <w:r>
              <w:rPr>
                <w:rFonts w:ascii="Times New Roman" w:hAnsi="Times New Roman" w:eastAsia="宋体"/>
                <w:b/>
                <w:color w:val="000000"/>
                <w:sz w:val="28"/>
                <w:highlight w:val="none"/>
              </w:rPr>
              <w:t>期主要污染工序：</w:t>
            </w:r>
          </w:p>
          <w:p>
            <w:pPr>
              <w:numPr>
                <w:ilvl w:val="0"/>
                <w:numId w:val="3"/>
              </w:numPr>
              <w:spacing w:line="360" w:lineRule="auto"/>
              <w:ind w:firstLine="482" w:firstLineChars="200"/>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废水</w:t>
            </w:r>
          </w:p>
          <w:p>
            <w:pPr>
              <w:spacing w:line="52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生产</w:t>
            </w:r>
            <w:r>
              <w:rPr>
                <w:rFonts w:hint="eastAsia" w:ascii="Times New Roman" w:hAnsi="Times New Roman" w:eastAsia="宋体"/>
                <w:color w:val="auto"/>
                <w:sz w:val="24"/>
                <w:szCs w:val="24"/>
                <w:lang w:eastAsia="zh-CN"/>
              </w:rPr>
              <w:t>用</w:t>
            </w:r>
            <w:r>
              <w:rPr>
                <w:rFonts w:ascii="Times New Roman" w:hAnsi="Times New Roman" w:eastAsia="宋体"/>
                <w:color w:val="auto"/>
                <w:sz w:val="24"/>
                <w:szCs w:val="24"/>
              </w:rPr>
              <w:t>水主要包括物料混合添加水、设备冷却循环水补充水及窑炉尾气脱硝设备检修时用冲洗水，另外还有车间地面、道路及设备清洗用水。</w:t>
            </w:r>
          </w:p>
          <w:p>
            <w:pPr>
              <w:pStyle w:val="98"/>
              <w:spacing w:line="520" w:lineRule="exact"/>
              <w:ind w:firstLine="360" w:firstLineChars="150"/>
              <w:rPr>
                <w:rFonts w:ascii="Times New Roman" w:hAnsi="Times New Roman" w:eastAsia="宋体"/>
                <w:color w:val="auto"/>
                <w:sz w:val="24"/>
                <w:szCs w:val="24"/>
              </w:rPr>
            </w:pPr>
            <w:r>
              <w:rPr>
                <w:rFonts w:ascii="Times New Roman" w:hAnsi="Times New Roman" w:eastAsia="宋体"/>
                <w:color w:val="auto"/>
                <w:sz w:val="24"/>
                <w:szCs w:val="24"/>
              </w:rPr>
              <w:t>（1）物料混合添加水量</w:t>
            </w:r>
          </w:p>
          <w:p>
            <w:pPr>
              <w:widowControl w:val="0"/>
              <w:spacing w:line="52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年产五万吨高铝砖生产线年用水量：</w:t>
            </w:r>
          </w:p>
          <w:p>
            <w:pPr>
              <w:widowControl w:val="0"/>
              <w:spacing w:line="52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Q=50000t/a×4%=2000t/a</w:t>
            </w:r>
          </w:p>
          <w:p>
            <w:pPr>
              <w:widowControl w:val="0"/>
              <w:spacing w:line="52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即6.061t/d。</w:t>
            </w:r>
          </w:p>
          <w:p>
            <w:pPr>
              <w:pStyle w:val="98"/>
              <w:spacing w:line="520" w:lineRule="exact"/>
              <w:ind w:firstLine="360" w:firstLineChars="150"/>
              <w:rPr>
                <w:rFonts w:ascii="Times New Roman" w:hAnsi="Times New Roman" w:eastAsia="宋体"/>
                <w:color w:val="auto"/>
                <w:sz w:val="24"/>
                <w:szCs w:val="24"/>
              </w:rPr>
            </w:pPr>
            <w:r>
              <w:rPr>
                <w:rFonts w:ascii="Times New Roman" w:hAnsi="Times New Roman" w:eastAsia="宋体"/>
                <w:color w:val="auto"/>
                <w:sz w:val="24"/>
                <w:szCs w:val="24"/>
              </w:rPr>
              <w:t>（2）设备冷却循环水量</w:t>
            </w:r>
          </w:p>
          <w:p>
            <w:pPr>
              <w:spacing w:line="52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本项目合计冷却循环水量24吨/小时，576吨/天。冷却循环水的重复利用率达到98%，每小时补充新水量</w:t>
            </w:r>
            <w:r>
              <w:rPr>
                <w:rFonts w:hint="eastAsia" w:ascii="Times New Roman" w:hAnsi="Times New Roman" w:eastAsia="宋体"/>
                <w:color w:val="auto"/>
                <w:sz w:val="24"/>
                <w:szCs w:val="24"/>
              </w:rPr>
              <w:t>需</w:t>
            </w:r>
            <w:r>
              <w:rPr>
                <w:rFonts w:ascii="Times New Roman" w:hAnsi="Times New Roman" w:eastAsia="宋体"/>
                <w:color w:val="auto"/>
                <w:sz w:val="24"/>
                <w:szCs w:val="24"/>
              </w:rPr>
              <w:t>0.48t，每日补充新水量11.52t，年（330天）补充新水量3801.6t。</w:t>
            </w:r>
          </w:p>
          <w:p>
            <w:pPr>
              <w:pStyle w:val="98"/>
              <w:spacing w:line="520" w:lineRule="exact"/>
              <w:ind w:firstLine="360" w:firstLineChars="150"/>
              <w:rPr>
                <w:rFonts w:ascii="Times New Roman" w:hAnsi="Times New Roman" w:eastAsia="宋体"/>
                <w:color w:val="auto"/>
                <w:sz w:val="24"/>
                <w:szCs w:val="24"/>
              </w:rPr>
            </w:pPr>
            <w:r>
              <w:rPr>
                <w:rFonts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）地面、道路及设备清洗用水</w:t>
            </w:r>
          </w:p>
          <w:p>
            <w:pPr>
              <w:widowControl w:val="0"/>
              <w:spacing w:line="52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生产线车间地面、道路及设备清洗用水量按0.5t/天▪车间考虑。本项目生产线车间地面、道路及设备清洗日用水量为0.5t，年用水量为165t。</w:t>
            </w:r>
          </w:p>
          <w:p>
            <w:pPr>
              <w:numPr>
                <w:ilvl w:val="0"/>
                <w:numId w:val="0"/>
              </w:numPr>
              <w:spacing w:line="520" w:lineRule="exact"/>
              <w:ind w:firstLine="480" w:firstLineChars="200"/>
              <w:rPr>
                <w:rFonts w:hint="eastAsia" w:ascii="Times New Roman" w:hAnsi="Times New Roman" w:eastAsia="宋体"/>
                <w:color w:val="auto"/>
                <w:sz w:val="24"/>
                <w:szCs w:val="24"/>
                <w:lang w:eastAsia="zh-CN"/>
              </w:rPr>
            </w:pPr>
            <w:r>
              <w:rPr>
                <w:rFonts w:hint="eastAsia"/>
                <w:color w:val="auto"/>
                <w:sz w:val="24"/>
                <w:szCs w:val="24"/>
                <w:lang w:eastAsia="zh-CN"/>
              </w:rPr>
              <w:t>（</w:t>
            </w:r>
            <w:r>
              <w:rPr>
                <w:rFonts w:hint="eastAsia"/>
                <w:color w:val="auto"/>
                <w:sz w:val="24"/>
                <w:szCs w:val="24"/>
                <w:lang w:val="en-US" w:eastAsia="zh-CN"/>
              </w:rPr>
              <w:t>4</w:t>
            </w:r>
            <w:r>
              <w:rPr>
                <w:rFonts w:hint="eastAsia"/>
                <w:color w:val="auto"/>
                <w:sz w:val="24"/>
                <w:szCs w:val="24"/>
                <w:lang w:eastAsia="zh-CN"/>
              </w:rPr>
              <w:t>）</w:t>
            </w:r>
            <w:r>
              <w:rPr>
                <w:rFonts w:hint="eastAsia" w:ascii="Times New Roman" w:hAnsi="Times New Roman" w:eastAsia="宋体"/>
                <w:color w:val="auto"/>
                <w:sz w:val="24"/>
                <w:szCs w:val="24"/>
                <w:lang w:eastAsia="zh-CN"/>
              </w:rPr>
              <w:t>生活用水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olor w:val="auto"/>
                <w:sz w:val="24"/>
                <w:szCs w:val="24"/>
              </w:rPr>
            </w:pPr>
            <w:r>
              <w:rPr>
                <w:rFonts w:ascii="Times New Roman" w:hAnsi="Times New Roman" w:eastAsia="宋体"/>
                <w:color w:val="auto"/>
                <w:sz w:val="24"/>
                <w:szCs w:val="24"/>
              </w:rPr>
              <w:t>该项目劳动定员为142人，</w:t>
            </w:r>
            <w:r>
              <w:rPr>
                <w:rFonts w:ascii="Times New Roman" w:hAnsi="Times New Roman" w:eastAsia="宋体"/>
                <w:color w:val="auto"/>
                <w:sz w:val="24"/>
                <w:szCs w:val="24"/>
                <w:lang w:bidi="ar"/>
              </w:rPr>
              <w:t>其中生产工人133人，管理人员9人</w:t>
            </w:r>
            <w:r>
              <w:rPr>
                <w:rFonts w:ascii="Times New Roman" w:hAnsi="Times New Roman" w:eastAsia="宋体"/>
                <w:color w:val="auto"/>
                <w:sz w:val="24"/>
                <w:szCs w:val="24"/>
              </w:rPr>
              <w:t>；工作人员生活用水定额包括洗涤、饮用、便器冲洗、淋浴等用水。取用水量定额为95L/人·班，年生产时间按330天考虑。日用水量13.49m</w:t>
            </w:r>
            <w:r>
              <w:rPr>
                <w:rFonts w:ascii="Times New Roman" w:hAnsi="Times New Roman" w:eastAsia="宋体"/>
                <w:color w:val="auto"/>
                <w:sz w:val="24"/>
                <w:szCs w:val="24"/>
                <w:vertAlign w:val="superscript"/>
              </w:rPr>
              <w:t>3</w:t>
            </w:r>
            <w:r>
              <w:rPr>
                <w:rFonts w:ascii="Times New Roman" w:hAnsi="Times New Roman" w:eastAsia="宋体"/>
                <w:color w:val="auto"/>
                <w:sz w:val="24"/>
                <w:szCs w:val="24"/>
              </w:rPr>
              <w:t>，年用水量4451.7m</w:t>
            </w:r>
            <w:r>
              <w:rPr>
                <w:rFonts w:ascii="Times New Roman" w:hAnsi="Times New Roman" w:eastAsia="宋体"/>
                <w:color w:val="auto"/>
                <w:sz w:val="24"/>
                <w:szCs w:val="24"/>
                <w:vertAlign w:val="superscript"/>
              </w:rPr>
              <w:t>3</w:t>
            </w:r>
            <w:r>
              <w:rPr>
                <w:rFonts w:ascii="Times New Roman" w:hAnsi="Times New Roman" w:eastAsia="宋体"/>
                <w:color w:val="auto"/>
                <w:sz w:val="24"/>
                <w:szCs w:val="24"/>
              </w:rPr>
              <w:t>。</w:t>
            </w:r>
          </w:p>
          <w:p>
            <w:pPr>
              <w:pStyle w:val="22"/>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jc w:val="both"/>
              <w:textAlignment w:val="auto"/>
              <w:rPr>
                <w:rFonts w:hint="eastAsia" w:ascii="Times New Roman" w:hAnsi="Times New Roman" w:eastAsia="宋体"/>
                <w:color w:val="auto"/>
                <w:kern w:val="2"/>
                <w:sz w:val="24"/>
                <w:szCs w:val="24"/>
              </w:rPr>
            </w:pPr>
            <w:r>
              <w:rPr>
                <w:rFonts w:hint="eastAsia" w:ascii="Times New Roman" w:hAnsi="Times New Roman" w:eastAsia="宋体"/>
                <w:color w:val="auto"/>
                <w:kern w:val="2"/>
                <w:sz w:val="24"/>
                <w:szCs w:val="24"/>
              </w:rPr>
              <w:t>本项目厂区排水采用雨污分流制排水系统。厂区雨水经雨水管网收集后排入厂区原有雨水管网，雨水管网采用钢筋混凝土管，雨水干管最大直径DN300。生产用水主要为工艺设备冷却水。工艺设备冷却水利用循环冷却水池循环使用，不外排；员工生活设施均使用厂区原有设施。厂区原有生活设施能满足原厂区职工及新建项目职工生活需要。新建生产线污水经厂区污水管网收集后进入厂区原有污水管网。</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highlight w:val="none"/>
              </w:rPr>
            </w:pPr>
            <w:r>
              <w:rPr>
                <w:rFonts w:hint="eastAsia" w:ascii="Times New Roman" w:hAnsi="Times New Roman" w:eastAsia="宋体" w:cs="Times New Roman"/>
                <w:sz w:val="24"/>
                <w:szCs w:val="24"/>
                <w:lang w:eastAsia="zh-CN"/>
              </w:rPr>
              <w:t>故本项目污水排放主要为员工生活用水。</w:t>
            </w:r>
            <w:r>
              <w:rPr>
                <w:rFonts w:hint="default" w:ascii="Times New Roman" w:hAnsi="Times New Roman" w:eastAsia="宋体" w:cs="Times New Roman"/>
                <w:sz w:val="24"/>
                <w:szCs w:val="24"/>
              </w:rPr>
              <w:t>排放系数取0.8，则生活污水排放量为</w:t>
            </w:r>
            <w:r>
              <w:rPr>
                <w:rFonts w:hint="eastAsia" w:ascii="Times New Roman" w:hAnsi="Times New Roman" w:eastAsia="宋体" w:cs="Times New Roman"/>
                <w:sz w:val="24"/>
                <w:szCs w:val="24"/>
                <w:lang w:val="en-US" w:eastAsia="zh-CN"/>
              </w:rPr>
              <w:t>3561.36</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/a（</w:t>
            </w:r>
            <w:r>
              <w:rPr>
                <w:rFonts w:hint="eastAsia" w:ascii="Times New Roman" w:hAnsi="Times New Roman" w:eastAsia="宋体" w:cs="Times New Roman"/>
                <w:sz w:val="24"/>
                <w:szCs w:val="24"/>
                <w:lang w:val="en-US" w:eastAsia="zh-CN"/>
              </w:rPr>
              <w:t>10.792</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/d），生活污水主要污染因子为COD、BOD、NH3-N、SS等</w:t>
            </w:r>
            <w:r>
              <w:rPr>
                <w:rFonts w:hint="eastAsia" w:ascii="Times New Roman" w:hAnsi="Times New Roman" w:eastAsia="宋体" w:cs="Times New Roman"/>
                <w:sz w:val="24"/>
                <w:szCs w:val="24"/>
                <w:lang w:eastAsia="zh-CN"/>
              </w:rPr>
              <w:t>。</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highlight w:val="none"/>
                <w:lang w:eastAsia="zh-CN"/>
              </w:rPr>
            </w:pPr>
            <w:r>
              <w:rPr>
                <w:rFonts w:hint="eastAsia" w:ascii="Times New Roman" w:hAnsi="Times New Roman" w:eastAsia="宋体"/>
                <w:highlight w:val="none"/>
                <w:lang w:eastAsia="zh-CN"/>
              </w:rPr>
              <w:drawing>
                <wp:inline distT="0" distB="0" distL="114300" distR="114300">
                  <wp:extent cx="5262880" cy="2463800"/>
                  <wp:effectExtent l="0" t="0" r="0" b="0"/>
                  <wp:docPr id="273"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ECB019B1-382A-4266-B25C-5B523AA43C14-1" descr="qt_temp"/>
                          <pic:cNvPicPr>
                            <a:picLocks noChangeAspect="1"/>
                          </pic:cNvPicPr>
                        </pic:nvPicPr>
                        <pic:blipFill>
                          <a:blip r:embed="rId7"/>
                          <a:stretch>
                            <a:fillRect/>
                          </a:stretch>
                        </pic:blipFill>
                        <pic:spPr>
                          <a:xfrm>
                            <a:off x="0" y="0"/>
                            <a:ext cx="5262880" cy="2463800"/>
                          </a:xfrm>
                          <a:prstGeom prst="rect">
                            <a:avLst/>
                          </a:prstGeom>
                        </pic:spPr>
                      </pic:pic>
                    </a:graphicData>
                  </a:graphic>
                </wp:inline>
              </w:drawing>
            </w:r>
          </w:p>
          <w:p>
            <w:pPr>
              <w:pStyle w:val="22"/>
              <w:ind w:leftChars="0" w:firstLine="0" w:firstLineChars="0"/>
              <w:rPr>
                <w:rFonts w:ascii="Times New Roman" w:hAnsi="Times New Roman" w:eastAsia="宋体"/>
                <w:highlight w:val="none"/>
              </w:rPr>
            </w:pPr>
          </w:p>
          <w:p>
            <w:pPr>
              <w:widowControl/>
              <w:spacing w:line="360" w:lineRule="auto"/>
              <w:ind w:firstLine="474"/>
              <w:jc w:val="center"/>
              <w:rPr>
                <w:rFonts w:ascii="Times New Roman" w:hAnsi="Times New Roman" w:eastAsia="宋体"/>
                <w:b/>
                <w:sz w:val="24"/>
                <w:szCs w:val="24"/>
                <w:highlight w:val="none"/>
              </w:rPr>
            </w:pPr>
            <w:r>
              <w:rPr>
                <w:rFonts w:ascii="Times New Roman" w:hAnsi="Times New Roman" w:eastAsia="宋体"/>
                <w:b/>
                <w:sz w:val="24"/>
                <w:szCs w:val="24"/>
                <w:highlight w:val="none"/>
              </w:rPr>
              <w:t>图5-3   厂区水平衡图    单位：t/d</w:t>
            </w:r>
          </w:p>
          <w:p>
            <w:pPr>
              <w:spacing w:line="360" w:lineRule="auto"/>
              <w:ind w:firstLine="480" w:firstLineChars="200"/>
              <w:rPr>
                <w:rFonts w:ascii="Times New Roman" w:hAnsi="Times New Roman" w:eastAsia="宋体"/>
                <w:highlight w:val="none"/>
              </w:rPr>
            </w:pPr>
            <w:r>
              <w:rPr>
                <w:rFonts w:ascii="Times New Roman" w:hAnsi="Times New Roman" w:eastAsia="宋体"/>
                <w:sz w:val="24"/>
                <w:highlight w:val="none"/>
              </w:rPr>
              <w:t>项目废水污染物产生情况见表下表：</w:t>
            </w:r>
          </w:p>
          <w:p>
            <w:pPr>
              <w:spacing w:line="360" w:lineRule="auto"/>
              <w:ind w:firstLine="482" w:firstLineChars="200"/>
              <w:jc w:val="center"/>
              <w:rPr>
                <w:rFonts w:ascii="Times New Roman" w:hAnsi="Times New Roman" w:eastAsia="宋体"/>
                <w:b/>
                <w:sz w:val="24"/>
                <w:highlight w:val="none"/>
              </w:rPr>
            </w:pPr>
            <w:r>
              <w:rPr>
                <w:rFonts w:ascii="Times New Roman" w:hAnsi="Times New Roman" w:eastAsia="宋体"/>
                <w:b/>
                <w:sz w:val="24"/>
                <w:highlight w:val="none"/>
              </w:rPr>
              <w:t>表5-2  项目污水污染物产生、排放情况一览表</w:t>
            </w:r>
          </w:p>
          <w:tbl>
            <w:tblPr>
              <w:tblStyle w:val="28"/>
              <w:tblW w:w="8306" w:type="dxa"/>
              <w:jc w:val="center"/>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593"/>
              <w:gridCol w:w="951"/>
              <w:gridCol w:w="1090"/>
              <w:gridCol w:w="1054"/>
              <w:gridCol w:w="938"/>
              <w:gridCol w:w="1431"/>
              <w:gridCol w:w="1158"/>
              <w:gridCol w:w="1091"/>
            </w:tblGrid>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3" w:type="dxa"/>
                  <w:vMerge w:val="restart"/>
                  <w:tcBorders>
                    <w:top w:val="single" w:color="auto" w:sz="4" w:space="0"/>
                    <w:left w:val="single" w:color="auto" w:sz="0"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种类</w:t>
                  </w:r>
                </w:p>
              </w:tc>
              <w:tc>
                <w:tcPr>
                  <w:tcW w:w="951" w:type="dxa"/>
                  <w:vMerge w:val="restar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废水量</w:t>
                  </w:r>
                </w:p>
                <w:p>
                  <w:pPr>
                    <w:jc w:val="center"/>
                    <w:rPr>
                      <w:rFonts w:ascii="Times New Roman" w:hAnsi="Times New Roman" w:eastAsia="宋体"/>
                      <w:szCs w:val="21"/>
                      <w:highlight w:val="none"/>
                    </w:rPr>
                  </w:pPr>
                  <w:r>
                    <w:rPr>
                      <w:rFonts w:ascii="Times New Roman" w:hAnsi="Times New Roman" w:eastAsia="宋体"/>
                      <w:szCs w:val="21"/>
                      <w:highlight w:val="none"/>
                    </w:rPr>
                    <w:t>（m³/a）</w:t>
                  </w:r>
                </w:p>
              </w:tc>
              <w:tc>
                <w:tcPr>
                  <w:tcW w:w="1090" w:type="dxa"/>
                  <w:vMerge w:val="restar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污染物</w:t>
                  </w:r>
                </w:p>
                <w:p>
                  <w:pPr>
                    <w:jc w:val="center"/>
                    <w:rPr>
                      <w:rFonts w:ascii="Times New Roman" w:hAnsi="Times New Roman" w:eastAsia="宋体"/>
                      <w:szCs w:val="21"/>
                      <w:highlight w:val="none"/>
                    </w:rPr>
                  </w:pPr>
                  <w:r>
                    <w:rPr>
                      <w:rFonts w:ascii="Times New Roman" w:hAnsi="Times New Roman" w:eastAsia="宋体"/>
                      <w:szCs w:val="21"/>
                      <w:highlight w:val="none"/>
                    </w:rPr>
                    <w:t>名称</w:t>
                  </w:r>
                </w:p>
              </w:tc>
              <w:tc>
                <w:tcPr>
                  <w:tcW w:w="1992"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污染物产生量</w:t>
                  </w:r>
                </w:p>
              </w:tc>
              <w:tc>
                <w:tcPr>
                  <w:tcW w:w="1431" w:type="dxa"/>
                  <w:vMerge w:val="restar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处理措施</w:t>
                  </w:r>
                </w:p>
              </w:tc>
              <w:tc>
                <w:tcPr>
                  <w:tcW w:w="224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pacing w:val="-12"/>
                      <w:szCs w:val="21"/>
                      <w:highlight w:val="none"/>
                    </w:rPr>
                    <w:t>污染物排放量</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97" w:hRule="atLeast"/>
                <w:jc w:val="center"/>
              </w:trPr>
              <w:tc>
                <w:tcPr>
                  <w:tcW w:w="593" w:type="dxa"/>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p>
              </w:tc>
              <w:tc>
                <w:tcPr>
                  <w:tcW w:w="951" w:type="dxa"/>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p>
              </w:tc>
              <w:tc>
                <w:tcPr>
                  <w:tcW w:w="1090" w:type="dxa"/>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p>
              </w:tc>
              <w:tc>
                <w:tcPr>
                  <w:tcW w:w="105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浓度(mg/L)</w:t>
                  </w:r>
                </w:p>
              </w:tc>
              <w:tc>
                <w:tcPr>
                  <w:tcW w:w="93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产生量(t/a)</w:t>
                  </w:r>
                </w:p>
              </w:tc>
              <w:tc>
                <w:tcPr>
                  <w:tcW w:w="1431" w:type="dxa"/>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p>
              </w:tc>
              <w:tc>
                <w:tcPr>
                  <w:tcW w:w="115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浓度</w:t>
                  </w:r>
                </w:p>
                <w:p>
                  <w:pPr>
                    <w:jc w:val="center"/>
                    <w:rPr>
                      <w:rFonts w:ascii="Times New Roman" w:hAnsi="Times New Roman" w:eastAsia="宋体"/>
                      <w:szCs w:val="21"/>
                      <w:highlight w:val="none"/>
                    </w:rPr>
                  </w:pPr>
                  <w:r>
                    <w:rPr>
                      <w:rFonts w:ascii="Times New Roman" w:hAnsi="Times New Roman" w:eastAsia="宋体"/>
                      <w:szCs w:val="21"/>
                      <w:highlight w:val="none"/>
                    </w:rPr>
                    <w:t>(mg/L)</w:t>
                  </w:r>
                </w:p>
              </w:tc>
              <w:tc>
                <w:tcPr>
                  <w:tcW w:w="109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排放量</w:t>
                  </w:r>
                </w:p>
                <w:p>
                  <w:pPr>
                    <w:jc w:val="center"/>
                    <w:rPr>
                      <w:rFonts w:ascii="Times New Roman" w:hAnsi="Times New Roman" w:eastAsia="宋体"/>
                      <w:szCs w:val="21"/>
                      <w:highlight w:val="none"/>
                    </w:rPr>
                  </w:pPr>
                  <w:r>
                    <w:rPr>
                      <w:rFonts w:ascii="Times New Roman" w:hAnsi="Times New Roman" w:eastAsia="宋体"/>
                      <w:szCs w:val="21"/>
                      <w:highlight w:val="none"/>
                    </w:rPr>
                    <w:t>(t/a)</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593" w:type="dxa"/>
                  <w:vMerge w:val="restart"/>
                  <w:tcBorders>
                    <w:top w:val="single" w:color="auto" w:sz="4" w:space="0"/>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r>
                    <w:rPr>
                      <w:rFonts w:ascii="Times New Roman" w:hAnsi="Times New Roman" w:eastAsia="宋体"/>
                      <w:szCs w:val="21"/>
                      <w:highlight w:val="none"/>
                      <w:lang w:eastAsia="zh-CN"/>
                    </w:rPr>
                    <w:t>生活</w:t>
                  </w:r>
                  <w:r>
                    <w:rPr>
                      <w:rFonts w:hint="eastAsia" w:ascii="Times New Roman" w:hAnsi="Times New Roman"/>
                      <w:szCs w:val="21"/>
                      <w:highlight w:val="none"/>
                      <w:lang w:val="en-US" w:eastAsia="zh-CN"/>
                    </w:rPr>
                    <w:t>餐饮</w:t>
                  </w:r>
                  <w:r>
                    <w:rPr>
                      <w:rFonts w:ascii="Times New Roman" w:hAnsi="Times New Roman" w:eastAsia="宋体"/>
                      <w:szCs w:val="21"/>
                      <w:highlight w:val="none"/>
                      <w:lang w:eastAsia="zh-CN"/>
                    </w:rPr>
                    <w:t>污水</w:t>
                  </w:r>
                </w:p>
              </w:tc>
              <w:tc>
                <w:tcPr>
                  <w:tcW w:w="951" w:type="dxa"/>
                  <w:vMerge w:val="restart"/>
                  <w:tcBorders>
                    <w:top w:val="single" w:color="auto" w:sz="4" w:space="0"/>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3561.36</w:t>
                  </w:r>
                </w:p>
              </w:tc>
              <w:tc>
                <w:tcPr>
                  <w:tcW w:w="10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r>
                    <w:rPr>
                      <w:rFonts w:ascii="Times New Roman" w:hAnsi="Times New Roman" w:eastAsia="宋体"/>
                      <w:sz w:val="21"/>
                      <w:szCs w:val="21"/>
                      <w:highlight w:val="none"/>
                    </w:rPr>
                    <w:t>COD</w:t>
                  </w:r>
                </w:p>
              </w:tc>
              <w:tc>
                <w:tcPr>
                  <w:tcW w:w="105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eastAsia="宋体"/>
                      <w:szCs w:val="21"/>
                      <w:highlight w:val="none"/>
                    </w:rPr>
                  </w:pPr>
                  <w:r>
                    <w:rPr>
                      <w:rFonts w:ascii="Times New Roman" w:hAnsi="Times New Roman" w:eastAsia="宋体"/>
                      <w:kern w:val="0"/>
                      <w:szCs w:val="21"/>
                      <w:highlight w:val="none"/>
                      <w:lang w:bidi="ar"/>
                    </w:rPr>
                    <w:t>400</w:t>
                  </w:r>
                </w:p>
              </w:tc>
              <w:tc>
                <w:tcPr>
                  <w:tcW w:w="93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eastAsia="宋体"/>
                      <w:kern w:val="0"/>
                      <w:szCs w:val="21"/>
                      <w:highlight w:val="none"/>
                      <w:lang w:val="en-US" w:eastAsia="zh-CN" w:bidi="ar"/>
                    </w:rPr>
                    <w:t>1.425</w:t>
                  </w:r>
                </w:p>
              </w:tc>
              <w:tc>
                <w:tcPr>
                  <w:tcW w:w="1431" w:type="dxa"/>
                  <w:vMerge w:val="restart"/>
                  <w:tcBorders>
                    <w:top w:val="single" w:color="auto" w:sz="4" w:space="0"/>
                    <w:left w:val="single" w:color="auto" w:sz="4" w:space="0"/>
                    <w:right w:val="single" w:color="auto" w:sz="4" w:space="0"/>
                  </w:tcBorders>
                  <w:noWrap w:val="0"/>
                  <w:tcMar>
                    <w:left w:w="28" w:type="dxa"/>
                    <w:right w:w="28" w:type="dxa"/>
                  </w:tcMar>
                  <w:vAlign w:val="center"/>
                </w:tcPr>
                <w:p>
                  <w:pPr>
                    <w:jc w:val="center"/>
                    <w:rPr>
                      <w:rFonts w:hint="eastAsia" w:ascii="Times New Roman" w:hAnsi="Times New Roman" w:eastAsia="宋体"/>
                      <w:szCs w:val="21"/>
                      <w:highlight w:val="none"/>
                      <w:lang w:eastAsia="zh-CN"/>
                    </w:rPr>
                  </w:pPr>
                  <w:r>
                    <w:rPr>
                      <w:rFonts w:hint="eastAsia" w:ascii="Times New Roman" w:hAnsi="Times New Roman" w:eastAsia="宋体"/>
                      <w:szCs w:val="21"/>
                      <w:highlight w:val="none"/>
                      <w:lang w:eastAsia="zh-CN"/>
                    </w:rPr>
                    <w:t>地埋式污水处理</w:t>
                  </w:r>
                </w:p>
              </w:tc>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eastAsia="宋体"/>
                      <w:szCs w:val="21"/>
                      <w:highlight w:val="none"/>
                      <w:lang w:val="en-US" w:eastAsia="zh-CN"/>
                    </w:rPr>
                  </w:pPr>
                  <w:r>
                    <w:rPr>
                      <w:rFonts w:hint="eastAsia" w:ascii="Times New Roman" w:hAnsi="Times New Roman" w:eastAsia="宋体"/>
                      <w:kern w:val="0"/>
                      <w:szCs w:val="21"/>
                      <w:highlight w:val="none"/>
                      <w:lang w:val="en-US" w:eastAsia="zh-CN" w:bidi="ar"/>
                    </w:rPr>
                    <w:t>100</w:t>
                  </w:r>
                </w:p>
              </w:tc>
              <w:tc>
                <w:tcPr>
                  <w:tcW w:w="109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eastAsia="宋体"/>
                      <w:kern w:val="0"/>
                      <w:szCs w:val="21"/>
                      <w:highlight w:val="none"/>
                      <w:lang w:val="en-US" w:eastAsia="zh-CN" w:bidi="ar"/>
                    </w:rPr>
                    <w:t>0.356</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593" w:type="dxa"/>
                  <w:vMerge w:val="continue"/>
                  <w:tcBorders>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p>
              </w:tc>
              <w:tc>
                <w:tcPr>
                  <w:tcW w:w="951" w:type="dxa"/>
                  <w:vMerge w:val="continue"/>
                  <w:tcBorders>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p>
              </w:tc>
              <w:tc>
                <w:tcPr>
                  <w:tcW w:w="10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r>
                    <w:rPr>
                      <w:rFonts w:ascii="Times New Roman" w:hAnsi="Times New Roman" w:eastAsia="宋体"/>
                      <w:sz w:val="21"/>
                      <w:szCs w:val="21"/>
                      <w:highlight w:val="none"/>
                    </w:rPr>
                    <w:t>SS</w:t>
                  </w:r>
                </w:p>
              </w:tc>
              <w:tc>
                <w:tcPr>
                  <w:tcW w:w="105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eastAsia="宋体"/>
                      <w:szCs w:val="21"/>
                      <w:highlight w:val="none"/>
                    </w:rPr>
                  </w:pPr>
                  <w:r>
                    <w:rPr>
                      <w:rFonts w:ascii="Times New Roman" w:hAnsi="Times New Roman" w:eastAsia="宋体"/>
                      <w:kern w:val="0"/>
                      <w:szCs w:val="21"/>
                      <w:highlight w:val="none"/>
                      <w:lang w:bidi="ar"/>
                    </w:rPr>
                    <w:t>200</w:t>
                  </w:r>
                </w:p>
              </w:tc>
              <w:tc>
                <w:tcPr>
                  <w:tcW w:w="93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eastAsia="宋体"/>
                      <w:kern w:val="0"/>
                      <w:szCs w:val="21"/>
                      <w:highlight w:val="none"/>
                      <w:lang w:val="en-US" w:eastAsia="zh-CN" w:bidi="ar"/>
                    </w:rPr>
                    <w:t>0.712</w:t>
                  </w:r>
                </w:p>
              </w:tc>
              <w:tc>
                <w:tcPr>
                  <w:tcW w:w="1431"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p>
              </w:tc>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70</w:t>
                  </w:r>
                </w:p>
              </w:tc>
              <w:tc>
                <w:tcPr>
                  <w:tcW w:w="109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eastAsia="宋体"/>
                      <w:kern w:val="0"/>
                      <w:szCs w:val="21"/>
                      <w:highlight w:val="none"/>
                      <w:lang w:val="en-US" w:eastAsia="zh-CN" w:bidi="ar"/>
                    </w:rPr>
                    <w:t>0.249</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593" w:type="dxa"/>
                  <w:vMerge w:val="continue"/>
                  <w:tcBorders>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p>
              </w:tc>
              <w:tc>
                <w:tcPr>
                  <w:tcW w:w="951" w:type="dxa"/>
                  <w:vMerge w:val="continue"/>
                  <w:tcBorders>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p>
              </w:tc>
              <w:tc>
                <w:tcPr>
                  <w:tcW w:w="10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r>
                    <w:rPr>
                      <w:rFonts w:ascii="Times New Roman" w:hAnsi="Times New Roman" w:eastAsia="宋体"/>
                      <w:sz w:val="21"/>
                      <w:szCs w:val="21"/>
                      <w:highlight w:val="none"/>
                    </w:rPr>
                    <w:t>氨氮</w:t>
                  </w:r>
                </w:p>
              </w:tc>
              <w:tc>
                <w:tcPr>
                  <w:tcW w:w="105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eastAsia="宋体"/>
                      <w:szCs w:val="21"/>
                      <w:highlight w:val="none"/>
                    </w:rPr>
                  </w:pPr>
                  <w:r>
                    <w:rPr>
                      <w:rFonts w:ascii="Times New Roman" w:hAnsi="Times New Roman" w:eastAsia="宋体"/>
                      <w:kern w:val="0"/>
                      <w:szCs w:val="21"/>
                      <w:highlight w:val="none"/>
                      <w:lang w:bidi="ar"/>
                    </w:rPr>
                    <w:t>25</w:t>
                  </w:r>
                </w:p>
              </w:tc>
              <w:tc>
                <w:tcPr>
                  <w:tcW w:w="93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eastAsia="宋体"/>
                      <w:kern w:val="0"/>
                      <w:szCs w:val="21"/>
                      <w:highlight w:val="none"/>
                      <w:lang w:bidi="ar"/>
                    </w:rPr>
                    <w:t>0.</w:t>
                  </w:r>
                  <w:r>
                    <w:rPr>
                      <w:rFonts w:hint="eastAsia" w:ascii="Times New Roman" w:hAnsi="Times New Roman" w:eastAsia="宋体"/>
                      <w:kern w:val="0"/>
                      <w:szCs w:val="21"/>
                      <w:highlight w:val="none"/>
                      <w:lang w:val="en-US" w:eastAsia="zh-CN" w:bidi="ar"/>
                    </w:rPr>
                    <w:t>089</w:t>
                  </w:r>
                </w:p>
              </w:tc>
              <w:tc>
                <w:tcPr>
                  <w:tcW w:w="1431"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p>
              </w:tc>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15</w:t>
                  </w:r>
                </w:p>
              </w:tc>
              <w:tc>
                <w:tcPr>
                  <w:tcW w:w="109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eastAsia="宋体"/>
                      <w:kern w:val="0"/>
                      <w:szCs w:val="21"/>
                      <w:highlight w:val="none"/>
                      <w:lang w:val="en-US" w:eastAsia="zh-CN" w:bidi="ar"/>
                    </w:rPr>
                    <w:t>0.053</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593" w:type="dxa"/>
                  <w:vMerge w:val="continue"/>
                  <w:tcBorders>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p>
              </w:tc>
              <w:tc>
                <w:tcPr>
                  <w:tcW w:w="951" w:type="dxa"/>
                  <w:vMerge w:val="continue"/>
                  <w:tcBorders>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p>
              </w:tc>
              <w:tc>
                <w:tcPr>
                  <w:tcW w:w="10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r>
                    <w:rPr>
                      <w:rFonts w:ascii="Times New Roman" w:hAnsi="Times New Roman" w:eastAsia="宋体"/>
                      <w:sz w:val="21"/>
                      <w:szCs w:val="21"/>
                      <w:highlight w:val="none"/>
                    </w:rPr>
                    <w:t>BOD</w:t>
                  </w:r>
                  <w:r>
                    <w:rPr>
                      <w:rFonts w:ascii="Times New Roman" w:hAnsi="Times New Roman" w:eastAsia="宋体"/>
                      <w:sz w:val="21"/>
                      <w:szCs w:val="21"/>
                      <w:highlight w:val="none"/>
                      <w:vertAlign w:val="subscript"/>
                    </w:rPr>
                    <w:t>5</w:t>
                  </w:r>
                </w:p>
              </w:tc>
              <w:tc>
                <w:tcPr>
                  <w:tcW w:w="105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eastAsia="宋体"/>
                      <w:szCs w:val="21"/>
                      <w:highlight w:val="none"/>
                    </w:rPr>
                  </w:pPr>
                  <w:r>
                    <w:rPr>
                      <w:rFonts w:ascii="Times New Roman" w:hAnsi="Times New Roman" w:eastAsia="宋体"/>
                      <w:kern w:val="0"/>
                      <w:szCs w:val="21"/>
                      <w:highlight w:val="none"/>
                      <w:lang w:bidi="ar"/>
                    </w:rPr>
                    <w:t>250</w:t>
                  </w:r>
                </w:p>
              </w:tc>
              <w:tc>
                <w:tcPr>
                  <w:tcW w:w="93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eastAsia="宋体"/>
                      <w:kern w:val="0"/>
                      <w:szCs w:val="21"/>
                      <w:highlight w:val="none"/>
                      <w:lang w:val="en-US" w:eastAsia="zh-CN" w:bidi="ar"/>
                    </w:rPr>
                    <w:t>0.890</w:t>
                  </w:r>
                </w:p>
              </w:tc>
              <w:tc>
                <w:tcPr>
                  <w:tcW w:w="1431"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p>
              </w:tc>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20</w:t>
                  </w:r>
                </w:p>
              </w:tc>
              <w:tc>
                <w:tcPr>
                  <w:tcW w:w="109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eastAsia="宋体"/>
                      <w:kern w:val="0"/>
                      <w:szCs w:val="21"/>
                      <w:highlight w:val="none"/>
                      <w:lang w:val="en-US" w:eastAsia="zh-CN" w:bidi="ar"/>
                    </w:rPr>
                    <w:t>0.071</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593" w:type="dxa"/>
                  <w:vMerge w:val="continue"/>
                  <w:tcBorders>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p>
              </w:tc>
              <w:tc>
                <w:tcPr>
                  <w:tcW w:w="951" w:type="dxa"/>
                  <w:vMerge w:val="continue"/>
                  <w:tcBorders>
                    <w:left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ascii="Times New Roman" w:hAnsi="Times New Roman" w:eastAsia="宋体"/>
                      <w:szCs w:val="21"/>
                      <w:highlight w:val="none"/>
                    </w:rPr>
                  </w:pPr>
                </w:p>
              </w:tc>
              <w:tc>
                <w:tcPr>
                  <w:tcW w:w="10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60"/>
                    <w:spacing w:before="53" w:line="240" w:lineRule="atLeast"/>
                    <w:jc w:val="center"/>
                    <w:rPr>
                      <w:rFonts w:hint="eastAsia"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动植物油</w:t>
                  </w:r>
                </w:p>
              </w:tc>
              <w:tc>
                <w:tcPr>
                  <w:tcW w:w="105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kern w:val="0"/>
                      <w:szCs w:val="21"/>
                      <w:highlight w:val="none"/>
                      <w:lang w:val="en-US" w:eastAsia="zh-CN" w:bidi="ar"/>
                    </w:rPr>
                    <w:t>50</w:t>
                  </w:r>
                </w:p>
              </w:tc>
              <w:tc>
                <w:tcPr>
                  <w:tcW w:w="93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kern w:val="0"/>
                      <w:szCs w:val="21"/>
                      <w:highlight w:val="none"/>
                      <w:lang w:val="en-US" w:eastAsia="zh-CN" w:bidi="ar"/>
                    </w:rPr>
                    <w:t>0.178</w:t>
                  </w:r>
                </w:p>
              </w:tc>
              <w:tc>
                <w:tcPr>
                  <w:tcW w:w="1431"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eastAsia="宋体"/>
                      <w:szCs w:val="21"/>
                      <w:highlight w:val="none"/>
                    </w:rPr>
                  </w:pPr>
                </w:p>
              </w:tc>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eastAsia="宋体"/>
                      <w:szCs w:val="21"/>
                      <w:highlight w:val="none"/>
                      <w:lang w:val="en-US" w:eastAsia="zh-CN"/>
                    </w:rPr>
                  </w:pPr>
                  <w:r>
                    <w:rPr>
                      <w:rFonts w:hint="eastAsia"/>
                      <w:szCs w:val="21"/>
                      <w:highlight w:val="none"/>
                      <w:lang w:val="en-US" w:eastAsia="zh-CN"/>
                    </w:rPr>
                    <w:t>25</w:t>
                  </w:r>
                </w:p>
              </w:tc>
              <w:tc>
                <w:tcPr>
                  <w:tcW w:w="109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kern w:val="0"/>
                      <w:szCs w:val="21"/>
                      <w:highlight w:val="none"/>
                      <w:lang w:val="en-US" w:eastAsia="zh-CN" w:bidi="ar"/>
                    </w:rPr>
                    <w:t>0.089</w:t>
                  </w:r>
                </w:p>
              </w:tc>
            </w:tr>
          </w:tbl>
          <w:p>
            <w:pPr>
              <w:spacing w:line="360" w:lineRule="auto"/>
              <w:ind w:firstLine="482" w:firstLineChars="200"/>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2、废气</w:t>
            </w:r>
          </w:p>
          <w:p>
            <w:pPr>
              <w:keepNext/>
              <w:keepLines/>
              <w:adjustRightInd w:val="0"/>
              <w:snapToGrid w:val="0"/>
              <w:spacing w:line="460" w:lineRule="exact"/>
              <w:ind w:firstLine="480" w:firstLineChars="200"/>
              <w:jc w:val="left"/>
              <w:outlineLvl w:val="2"/>
              <w:rPr>
                <w:rFonts w:hint="eastAsia" w:ascii="Times New Roman" w:hAnsi="Times New Roman" w:eastAsia="宋体" w:cs="宋体"/>
                <w:b w:val="0"/>
                <w:bCs w:val="0"/>
                <w:snapToGrid w:val="0"/>
                <w:kern w:val="20"/>
                <w:sz w:val="24"/>
                <w:szCs w:val="32"/>
              </w:rPr>
            </w:pPr>
            <w:bookmarkStart w:id="10" w:name="_Hlk507536064"/>
            <w:r>
              <w:rPr>
                <w:rFonts w:hint="eastAsia" w:ascii="Times New Roman" w:hAnsi="Times New Roman" w:eastAsia="宋体" w:cs="宋体"/>
                <w:b w:val="0"/>
                <w:bCs w:val="0"/>
                <w:snapToGrid w:val="0"/>
                <w:kern w:val="20"/>
                <w:sz w:val="24"/>
                <w:szCs w:val="32"/>
              </w:rPr>
              <w:t>拟建项目高铝砖生产线主要废气污染源为破碎机、振动筛生产过程中产生的粉尘污染物，混合过程中产生的粉尘污染物，烧成及干燥过程中排放的尾气。</w:t>
            </w:r>
          </w:p>
          <w:p>
            <w:pPr>
              <w:keepNext/>
              <w:keepLines/>
              <w:adjustRightInd w:val="0"/>
              <w:snapToGrid w:val="0"/>
              <w:spacing w:line="460" w:lineRule="exact"/>
              <w:jc w:val="left"/>
              <w:outlineLvl w:val="2"/>
              <w:rPr>
                <w:rFonts w:hint="default" w:ascii="Times New Roman" w:hAnsi="Times New Roman" w:eastAsia="宋体"/>
                <w:snapToGrid w:val="0"/>
                <w:kern w:val="20"/>
                <w:sz w:val="24"/>
                <w:szCs w:val="32"/>
                <w:lang w:val="en-US" w:eastAsia="zh-CN"/>
              </w:rPr>
            </w:pPr>
            <w:r>
              <w:rPr>
                <w:rFonts w:hint="eastAsia" w:ascii="Times New Roman" w:hAnsi="Times New Roman" w:eastAsia="宋体"/>
                <w:snapToGrid w:val="0"/>
                <w:kern w:val="20"/>
                <w:sz w:val="24"/>
                <w:szCs w:val="32"/>
                <w:lang w:eastAsia="zh-CN"/>
              </w:rPr>
              <w:t>（</w:t>
            </w:r>
            <w:r>
              <w:rPr>
                <w:rFonts w:hint="eastAsia" w:ascii="Times New Roman" w:hAnsi="Times New Roman" w:eastAsia="宋体"/>
                <w:snapToGrid w:val="0"/>
                <w:kern w:val="20"/>
                <w:sz w:val="24"/>
                <w:szCs w:val="32"/>
                <w:lang w:val="en-US" w:eastAsia="zh-CN"/>
              </w:rPr>
              <w:t>1</w:t>
            </w:r>
            <w:r>
              <w:rPr>
                <w:rFonts w:hint="eastAsia" w:ascii="Times New Roman" w:hAnsi="Times New Roman" w:eastAsia="宋体"/>
                <w:snapToGrid w:val="0"/>
                <w:kern w:val="20"/>
                <w:sz w:val="24"/>
                <w:szCs w:val="32"/>
                <w:lang w:eastAsia="zh-CN"/>
              </w:rPr>
              <w:t>）</w:t>
            </w:r>
            <w:r>
              <w:rPr>
                <w:rFonts w:hint="eastAsia" w:ascii="Times New Roman" w:hAnsi="Times New Roman" w:eastAsia="宋体"/>
                <w:snapToGrid w:val="0"/>
                <w:kern w:val="20"/>
                <w:sz w:val="24"/>
                <w:szCs w:val="32"/>
                <w:lang w:val="en-US" w:eastAsia="zh-CN"/>
              </w:rPr>
              <w:t>隧道窑废气</w:t>
            </w:r>
          </w:p>
          <w:p>
            <w:pPr>
              <w:spacing w:line="46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热工炉窑的燃料为天然气，天然气燃烧的主要尾气的污染物为SO</w:t>
            </w:r>
            <w:r>
              <w:rPr>
                <w:rFonts w:hint="eastAsia" w:ascii="Times New Roman" w:hAnsi="Times New Roman" w:eastAsia="宋体"/>
                <w:bCs/>
                <w:sz w:val="24"/>
                <w:szCs w:val="24"/>
                <w:vertAlign w:val="subscript"/>
              </w:rPr>
              <w:t>2</w:t>
            </w:r>
            <w:r>
              <w:rPr>
                <w:rFonts w:hint="eastAsia" w:ascii="Times New Roman" w:hAnsi="Times New Roman" w:eastAsia="宋体"/>
                <w:bCs/>
                <w:sz w:val="24"/>
                <w:szCs w:val="24"/>
              </w:rPr>
              <w:t>、</w:t>
            </w:r>
            <w:r>
              <w:rPr>
                <w:rFonts w:ascii="Times New Roman" w:hAnsi="Times New Roman" w:eastAsia="宋体"/>
                <w:bCs/>
                <w:sz w:val="24"/>
                <w:szCs w:val="24"/>
              </w:rPr>
              <w:t>NOx</w:t>
            </w:r>
            <w:r>
              <w:rPr>
                <w:rFonts w:hint="eastAsia" w:ascii="Times New Roman" w:hAnsi="Times New Roman" w:eastAsia="宋体"/>
                <w:bCs/>
                <w:sz w:val="24"/>
                <w:szCs w:val="24"/>
                <w:lang w:eastAsia="zh-CN"/>
              </w:rPr>
              <w:t>，颗粒物</w:t>
            </w:r>
            <w:r>
              <w:rPr>
                <w:rFonts w:hint="eastAsia" w:ascii="Times New Roman" w:hAnsi="Times New Roman" w:eastAsia="宋体"/>
                <w:bCs/>
                <w:sz w:val="24"/>
                <w:szCs w:val="24"/>
              </w:rPr>
              <w:t>。</w:t>
            </w:r>
          </w:p>
          <w:p>
            <w:pPr>
              <w:pStyle w:val="52"/>
              <w:spacing w:line="440" w:lineRule="exact"/>
              <w:jc w:val="both"/>
              <w:rPr>
                <w:rFonts w:hint="default" w:ascii="Times New Roman" w:hAnsi="Times New Roman" w:eastAsia="宋体"/>
                <w:vertAlign w:val="baseline"/>
                <w:lang w:val="en-US" w:eastAsia="zh-CN"/>
              </w:rPr>
            </w:pPr>
            <w:r>
              <w:rPr>
                <w:rFonts w:hint="eastAsia" w:ascii="Times New Roman" w:hAnsi="Times New Roman" w:eastAsia="宋体"/>
              </w:rPr>
              <w:t>拟建项目天然气总耗量为</w:t>
            </w:r>
            <w:r>
              <w:rPr>
                <w:rFonts w:hint="eastAsia" w:ascii="Times New Roman" w:hAnsi="Times New Roman" w:eastAsia="宋体"/>
                <w:lang w:val="en-US" w:eastAsia="zh-CN"/>
              </w:rPr>
              <w:t>300</w:t>
            </w:r>
            <w:r>
              <w:rPr>
                <w:rFonts w:hint="eastAsia" w:ascii="Times New Roman" w:hAnsi="Times New Roman" w:eastAsia="宋体"/>
              </w:rPr>
              <w:t>万m</w:t>
            </w:r>
            <w:r>
              <w:rPr>
                <w:rFonts w:hint="eastAsia" w:ascii="Times New Roman" w:hAnsi="Times New Roman" w:eastAsia="宋体"/>
                <w:vertAlign w:val="superscript"/>
              </w:rPr>
              <w:t>3</w:t>
            </w:r>
            <w:r>
              <w:rPr>
                <w:rFonts w:hint="eastAsia" w:ascii="Times New Roman" w:hAnsi="Times New Roman" w:eastAsia="宋体"/>
              </w:rPr>
              <w:t>/a，</w:t>
            </w:r>
            <w:r>
              <w:rPr>
                <w:rFonts w:hint="eastAsia" w:ascii="Times New Roman" w:hAnsi="Times New Roman" w:eastAsia="宋体"/>
                <w:lang w:eastAsia="zh-CN"/>
              </w:rPr>
              <w:t>类比一起碱性砖项目</w:t>
            </w:r>
            <w:r>
              <w:rPr>
                <w:rFonts w:hint="eastAsia" w:ascii="Times New Roman" w:hAnsi="Times New Roman" w:eastAsia="宋体"/>
              </w:rPr>
              <w:t>，</w:t>
            </w:r>
            <w:r>
              <w:rPr>
                <w:rFonts w:hint="eastAsia" w:ascii="Times New Roman" w:hAnsi="Times New Roman" w:eastAsia="宋体"/>
                <w:lang w:val="en-US" w:eastAsia="zh-CN"/>
              </w:rPr>
              <w:t>参照《环境保护实用数据手册》提供的产排污系数及计算方法，烧成工序SO</w:t>
            </w:r>
            <w:r>
              <w:rPr>
                <w:rFonts w:hint="eastAsia" w:ascii="Times New Roman" w:hAnsi="Times New Roman" w:eastAsia="宋体"/>
                <w:vertAlign w:val="subscript"/>
                <w:lang w:val="en-US" w:eastAsia="zh-CN"/>
              </w:rPr>
              <w:t>2</w:t>
            </w:r>
            <w:r>
              <w:rPr>
                <w:rFonts w:hint="eastAsia" w:ascii="Times New Roman" w:hAnsi="Times New Roman" w:eastAsia="宋体"/>
                <w:lang w:val="en-US" w:eastAsia="zh-CN"/>
              </w:rPr>
              <w:t>、NOx、烟尘产生速率分别为SO</w:t>
            </w:r>
            <w:r>
              <w:rPr>
                <w:rFonts w:hint="eastAsia" w:ascii="Times New Roman" w:hAnsi="Times New Roman" w:eastAsia="宋体"/>
                <w:vertAlign w:val="subscript"/>
                <w:lang w:val="en-US" w:eastAsia="zh-CN"/>
              </w:rPr>
              <w:t>2</w:t>
            </w:r>
            <w:r>
              <w:rPr>
                <w:rFonts w:hint="eastAsia" w:ascii="Times New Roman" w:hAnsi="Times New Roman" w:eastAsia="宋体"/>
                <w:vertAlign w:val="baseline"/>
                <w:lang w:val="en-US" w:eastAsia="zh-CN"/>
              </w:rPr>
              <w:t>：</w:t>
            </w:r>
            <w:r>
              <w:rPr>
                <w:rFonts w:hint="eastAsia"/>
                <w:lang w:val="en-US" w:eastAsia="zh-CN"/>
              </w:rPr>
              <w:t>0.8</w:t>
            </w:r>
            <w:r>
              <w:rPr>
                <w:rFonts w:hint="eastAsia" w:ascii="Times New Roman" w:hAnsi="Times New Roman" w:eastAsia="宋体"/>
                <w:lang w:val="en-US" w:eastAsia="zh-CN"/>
              </w:rPr>
              <w:t>kg/h，NOx</w:t>
            </w:r>
            <w:r>
              <w:rPr>
                <w:rFonts w:hint="eastAsia" w:ascii="Times New Roman" w:hAnsi="Times New Roman" w:eastAsia="宋体"/>
                <w:vertAlign w:val="baseline"/>
                <w:lang w:val="en-US" w:eastAsia="zh-CN"/>
              </w:rPr>
              <w:t>：</w:t>
            </w:r>
            <w:r>
              <w:rPr>
                <w:rFonts w:hint="eastAsia"/>
                <w:lang w:val="en-US" w:eastAsia="zh-CN"/>
              </w:rPr>
              <w:t>2.6</w:t>
            </w:r>
            <w:r>
              <w:rPr>
                <w:rFonts w:hint="eastAsia" w:ascii="Times New Roman" w:hAnsi="Times New Roman" w:eastAsia="宋体"/>
                <w:lang w:val="en-US" w:eastAsia="zh-CN"/>
              </w:rPr>
              <w:t>kg/h，烟尘</w:t>
            </w:r>
            <w:r>
              <w:rPr>
                <w:rFonts w:hint="eastAsia" w:ascii="Times New Roman" w:hAnsi="Times New Roman" w:eastAsia="宋体"/>
                <w:vertAlign w:val="baseline"/>
                <w:lang w:val="en-US" w:eastAsia="zh-CN"/>
              </w:rPr>
              <w:t>：</w:t>
            </w:r>
            <w:r>
              <w:rPr>
                <w:rFonts w:hint="eastAsia"/>
                <w:lang w:val="en-US" w:eastAsia="zh-CN"/>
              </w:rPr>
              <w:t>14.2</w:t>
            </w:r>
            <w:r>
              <w:rPr>
                <w:rFonts w:hint="eastAsia" w:ascii="Times New Roman" w:hAnsi="Times New Roman" w:eastAsia="宋体"/>
                <w:lang w:val="en-US" w:eastAsia="zh-CN"/>
              </w:rPr>
              <w:t>kg/h，</w:t>
            </w:r>
            <w:r>
              <w:rPr>
                <w:rFonts w:hint="eastAsia"/>
                <w:lang w:val="en-US" w:eastAsia="zh-CN"/>
              </w:rPr>
              <w:t>本项目在2台隧道窑分别设置一套除尘净化装置处理后通过2根30m排气筒（5#、6#）外排，风量分别为2500</w:t>
            </w:r>
            <w:r>
              <w:rPr>
                <w:rFonts w:hint="eastAsia" w:ascii="Times New Roman" w:hAnsi="Times New Roman" w:eastAsia="宋体"/>
                <w:lang w:val="en-US" w:eastAsia="zh-CN"/>
              </w:rPr>
              <w:t>0</w:t>
            </w:r>
            <w:r>
              <w:rPr>
                <w:rFonts w:hint="eastAsia" w:ascii="Times New Roman" w:hAnsi="Times New Roman" w:eastAsia="宋体"/>
                <w:sz w:val="24"/>
                <w:szCs w:val="24"/>
              </w:rPr>
              <w:t>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w:t>
            </w:r>
            <w:r>
              <w:rPr>
                <w:rFonts w:hint="eastAsia"/>
                <w:sz w:val="24"/>
                <w:szCs w:val="24"/>
                <w:lang w:eastAsia="zh-CN"/>
              </w:rPr>
              <w:t>，</w:t>
            </w:r>
            <w:r>
              <w:rPr>
                <w:rFonts w:hint="eastAsia"/>
                <w:lang w:val="en-US" w:eastAsia="zh-CN"/>
              </w:rPr>
              <w:t>30</w:t>
            </w:r>
            <w:r>
              <w:rPr>
                <w:rFonts w:hint="eastAsia" w:ascii="Times New Roman" w:hAnsi="Times New Roman" w:eastAsia="宋体"/>
                <w:lang w:val="en-US" w:eastAsia="zh-CN"/>
              </w:rPr>
              <w:t>000</w:t>
            </w:r>
            <w:r>
              <w:rPr>
                <w:rFonts w:hint="eastAsia" w:ascii="Times New Roman" w:hAnsi="Times New Roman" w:eastAsia="宋体"/>
                <w:sz w:val="24"/>
                <w:szCs w:val="24"/>
              </w:rPr>
              <w:t>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w:t>
            </w:r>
            <w:r>
              <w:rPr>
                <w:rFonts w:hint="eastAsia"/>
                <w:lang w:val="en-US" w:eastAsia="zh-CN"/>
              </w:rPr>
              <w:t>。</w:t>
            </w:r>
            <w:r>
              <w:rPr>
                <w:rFonts w:hint="eastAsia" w:ascii="Times New Roman" w:hAnsi="Times New Roman" w:eastAsia="宋体"/>
                <w:lang w:val="en-US" w:eastAsia="zh-CN"/>
              </w:rPr>
              <w:t>则</w:t>
            </w:r>
            <w:r>
              <w:rPr>
                <w:rFonts w:hint="eastAsia"/>
                <w:lang w:val="en-US" w:eastAsia="zh-CN"/>
              </w:rPr>
              <w:t>1号隧道窑</w:t>
            </w:r>
            <w:r>
              <w:rPr>
                <w:rFonts w:hint="eastAsia" w:ascii="Times New Roman" w:hAnsi="Times New Roman" w:eastAsia="宋体"/>
                <w:lang w:val="en-US" w:eastAsia="zh-CN"/>
              </w:rPr>
              <w:t>烧成工序中SO</w:t>
            </w:r>
            <w:r>
              <w:rPr>
                <w:rFonts w:hint="eastAsia" w:ascii="Times New Roman" w:hAnsi="Times New Roman" w:eastAsia="宋体"/>
                <w:vertAlign w:val="subscript"/>
                <w:lang w:val="en-US" w:eastAsia="zh-CN"/>
              </w:rPr>
              <w:t>2</w:t>
            </w:r>
            <w:r>
              <w:rPr>
                <w:rFonts w:hint="eastAsia" w:ascii="Times New Roman" w:hAnsi="Times New Roman" w:eastAsia="宋体"/>
                <w:lang w:val="en-US" w:eastAsia="zh-CN"/>
              </w:rPr>
              <w:t>、NOx、烟尘产生量分别为SO</w:t>
            </w:r>
            <w:r>
              <w:rPr>
                <w:rFonts w:hint="eastAsia" w:ascii="Times New Roman" w:hAnsi="Times New Roman" w:eastAsia="宋体"/>
                <w:vertAlign w:val="subscript"/>
                <w:lang w:val="en-US" w:eastAsia="zh-CN"/>
              </w:rPr>
              <w:t>2</w:t>
            </w:r>
            <w:r>
              <w:rPr>
                <w:rFonts w:hint="eastAsia" w:ascii="Times New Roman" w:hAnsi="Times New Roman" w:eastAsia="宋体"/>
                <w:vertAlign w:val="baseline"/>
                <w:lang w:val="en-US" w:eastAsia="zh-CN"/>
              </w:rPr>
              <w:t>：</w:t>
            </w:r>
            <w:r>
              <w:rPr>
                <w:rFonts w:hint="eastAsia"/>
                <w:lang w:val="en-US" w:eastAsia="zh-CN"/>
              </w:rPr>
              <w:t>7.01</w:t>
            </w:r>
            <w:r>
              <w:rPr>
                <w:rFonts w:hint="eastAsia" w:ascii="Times New Roman" w:hAnsi="Times New Roman" w:eastAsia="宋体"/>
                <w:lang w:val="en-US" w:eastAsia="zh-CN"/>
              </w:rPr>
              <w:t>t/a，NOx</w:t>
            </w:r>
            <w:r>
              <w:rPr>
                <w:rFonts w:hint="eastAsia" w:ascii="Times New Roman" w:hAnsi="Times New Roman" w:eastAsia="宋体"/>
                <w:vertAlign w:val="baseline"/>
                <w:lang w:val="en-US" w:eastAsia="zh-CN"/>
              </w:rPr>
              <w:t>：</w:t>
            </w:r>
            <w:r>
              <w:rPr>
                <w:rFonts w:hint="eastAsia"/>
                <w:lang w:val="en-US" w:eastAsia="zh-CN"/>
              </w:rPr>
              <w:t>22.78</w:t>
            </w:r>
            <w:r>
              <w:rPr>
                <w:rFonts w:hint="eastAsia" w:ascii="Times New Roman" w:hAnsi="Times New Roman" w:eastAsia="宋体"/>
                <w:lang w:val="en-US" w:eastAsia="zh-CN"/>
              </w:rPr>
              <w:t>t/a，烟尘</w:t>
            </w:r>
            <w:r>
              <w:rPr>
                <w:rFonts w:hint="eastAsia" w:ascii="Times New Roman" w:hAnsi="Times New Roman" w:eastAsia="宋体"/>
                <w:vertAlign w:val="baseline"/>
                <w:lang w:val="en-US" w:eastAsia="zh-CN"/>
              </w:rPr>
              <w:t>：</w:t>
            </w:r>
            <w:r>
              <w:rPr>
                <w:rFonts w:hint="eastAsia"/>
                <w:lang w:val="en-US" w:eastAsia="zh-CN"/>
              </w:rPr>
              <w:t>124</w:t>
            </w:r>
            <w:r>
              <w:rPr>
                <w:rFonts w:hint="eastAsia" w:ascii="Times New Roman" w:hAnsi="Times New Roman" w:eastAsia="宋体"/>
                <w:lang w:val="en-US" w:eastAsia="zh-CN"/>
              </w:rPr>
              <w:t>t/a</w:t>
            </w:r>
            <w:r>
              <w:rPr>
                <w:rFonts w:hint="eastAsia"/>
                <w:lang w:val="en-US" w:eastAsia="zh-CN"/>
              </w:rPr>
              <w:t>；</w:t>
            </w:r>
            <w:r>
              <w:rPr>
                <w:rFonts w:hint="eastAsia" w:ascii="Times New Roman" w:hAnsi="Times New Roman" w:eastAsia="宋体"/>
                <w:lang w:val="en-US" w:eastAsia="zh-CN"/>
              </w:rPr>
              <w:t>SO</w:t>
            </w:r>
            <w:r>
              <w:rPr>
                <w:rFonts w:hint="eastAsia" w:ascii="Times New Roman" w:hAnsi="Times New Roman" w:eastAsia="宋体"/>
                <w:vertAlign w:val="subscript"/>
                <w:lang w:val="en-US" w:eastAsia="zh-CN"/>
              </w:rPr>
              <w:t>2</w:t>
            </w:r>
            <w:r>
              <w:rPr>
                <w:rFonts w:hint="eastAsia" w:ascii="Times New Roman" w:hAnsi="Times New Roman" w:eastAsia="宋体"/>
                <w:lang w:val="en-US" w:eastAsia="zh-CN"/>
              </w:rPr>
              <w:t>、NOx、烟尘产生浓度分别为SO</w:t>
            </w:r>
            <w:r>
              <w:rPr>
                <w:rFonts w:hint="eastAsia" w:ascii="Times New Roman" w:hAnsi="Times New Roman" w:eastAsia="宋体"/>
                <w:vertAlign w:val="subscript"/>
                <w:lang w:val="en-US" w:eastAsia="zh-CN"/>
              </w:rPr>
              <w:t>2</w:t>
            </w:r>
            <w:r>
              <w:rPr>
                <w:rFonts w:hint="eastAsia" w:ascii="Times New Roman" w:hAnsi="Times New Roman" w:eastAsia="宋体"/>
                <w:vertAlign w:val="baseline"/>
                <w:lang w:val="en-US" w:eastAsia="zh-CN"/>
              </w:rPr>
              <w:t>：</w:t>
            </w:r>
            <w:r>
              <w:rPr>
                <w:rFonts w:hint="eastAsia"/>
                <w:vertAlign w:val="baseline"/>
                <w:lang w:val="en-US" w:eastAsia="zh-CN"/>
              </w:rPr>
              <w:t>32</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lang w:val="en-US" w:eastAsia="zh-CN"/>
              </w:rPr>
              <w:t>，NOx</w:t>
            </w:r>
            <w:r>
              <w:rPr>
                <w:rFonts w:hint="eastAsia" w:ascii="Times New Roman" w:hAnsi="Times New Roman" w:eastAsia="宋体"/>
                <w:vertAlign w:val="baseline"/>
                <w:lang w:val="en-US" w:eastAsia="zh-CN"/>
              </w:rPr>
              <w:t>：</w:t>
            </w:r>
            <w:r>
              <w:rPr>
                <w:rFonts w:hint="eastAsia"/>
                <w:lang w:val="en-US" w:eastAsia="zh-CN"/>
              </w:rPr>
              <w:t>104</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lang w:val="en-US" w:eastAsia="zh-CN"/>
              </w:rPr>
              <w:t>，烟尘</w:t>
            </w:r>
            <w:r>
              <w:rPr>
                <w:rFonts w:hint="eastAsia" w:ascii="Times New Roman" w:hAnsi="Times New Roman" w:eastAsia="宋体"/>
                <w:vertAlign w:val="baseline"/>
                <w:lang w:val="en-US" w:eastAsia="zh-CN"/>
              </w:rPr>
              <w:t>：</w:t>
            </w:r>
            <w:r>
              <w:rPr>
                <w:rFonts w:hint="eastAsia"/>
                <w:lang w:val="en-US" w:eastAsia="zh-CN"/>
              </w:rPr>
              <w:t>568</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lang w:val="en-US" w:eastAsia="zh-CN"/>
              </w:rPr>
              <w:t xml:space="preserve">。 </w:t>
            </w:r>
            <w:r>
              <w:rPr>
                <w:rFonts w:hint="eastAsia"/>
                <w:lang w:val="en-US" w:eastAsia="zh-CN"/>
              </w:rPr>
              <w:t>2号隧道窑</w:t>
            </w:r>
            <w:r>
              <w:rPr>
                <w:rFonts w:hint="eastAsia" w:ascii="Times New Roman" w:hAnsi="Times New Roman" w:eastAsia="宋体"/>
                <w:lang w:val="en-US" w:eastAsia="zh-CN"/>
              </w:rPr>
              <w:t>烧成工序中SO</w:t>
            </w:r>
            <w:r>
              <w:rPr>
                <w:rFonts w:hint="eastAsia" w:ascii="Times New Roman" w:hAnsi="Times New Roman" w:eastAsia="宋体"/>
                <w:vertAlign w:val="subscript"/>
                <w:lang w:val="en-US" w:eastAsia="zh-CN"/>
              </w:rPr>
              <w:t>2</w:t>
            </w:r>
            <w:r>
              <w:rPr>
                <w:rFonts w:hint="eastAsia" w:ascii="Times New Roman" w:hAnsi="Times New Roman" w:eastAsia="宋体"/>
                <w:lang w:val="en-US" w:eastAsia="zh-CN"/>
              </w:rPr>
              <w:t>、NOx、烟尘产生量分别为SO</w:t>
            </w:r>
            <w:r>
              <w:rPr>
                <w:rFonts w:hint="eastAsia" w:ascii="Times New Roman" w:hAnsi="Times New Roman" w:eastAsia="宋体"/>
                <w:vertAlign w:val="subscript"/>
                <w:lang w:val="en-US" w:eastAsia="zh-CN"/>
              </w:rPr>
              <w:t>2</w:t>
            </w:r>
            <w:r>
              <w:rPr>
                <w:rFonts w:hint="eastAsia" w:ascii="Times New Roman" w:hAnsi="Times New Roman" w:eastAsia="宋体"/>
                <w:vertAlign w:val="baseline"/>
                <w:lang w:val="en-US" w:eastAsia="zh-CN"/>
              </w:rPr>
              <w:t>：</w:t>
            </w:r>
            <w:r>
              <w:rPr>
                <w:rFonts w:hint="eastAsia"/>
                <w:lang w:val="en-US" w:eastAsia="zh-CN"/>
              </w:rPr>
              <w:t>7.01</w:t>
            </w:r>
            <w:r>
              <w:rPr>
                <w:rFonts w:hint="eastAsia" w:ascii="Times New Roman" w:hAnsi="Times New Roman" w:eastAsia="宋体"/>
                <w:lang w:val="en-US" w:eastAsia="zh-CN"/>
              </w:rPr>
              <w:t>t/a，NOx</w:t>
            </w:r>
            <w:r>
              <w:rPr>
                <w:rFonts w:hint="eastAsia" w:ascii="Times New Roman" w:hAnsi="Times New Roman" w:eastAsia="宋体"/>
                <w:vertAlign w:val="baseline"/>
                <w:lang w:val="en-US" w:eastAsia="zh-CN"/>
              </w:rPr>
              <w:t>：</w:t>
            </w:r>
            <w:r>
              <w:rPr>
                <w:rFonts w:hint="eastAsia"/>
                <w:lang w:val="en-US" w:eastAsia="zh-CN"/>
              </w:rPr>
              <w:t>22.78</w:t>
            </w:r>
            <w:r>
              <w:rPr>
                <w:rFonts w:hint="eastAsia" w:ascii="Times New Roman" w:hAnsi="Times New Roman" w:eastAsia="宋体"/>
                <w:lang w:val="en-US" w:eastAsia="zh-CN"/>
              </w:rPr>
              <w:t>t/a</w:t>
            </w:r>
            <w:r>
              <w:rPr>
                <w:rFonts w:hint="eastAsia"/>
                <w:lang w:val="en-US" w:eastAsia="zh-CN"/>
              </w:rPr>
              <w:t>；</w:t>
            </w:r>
            <w:r>
              <w:rPr>
                <w:rFonts w:hint="eastAsia" w:ascii="Times New Roman" w:hAnsi="Times New Roman" w:eastAsia="宋体"/>
                <w:lang w:val="en-US" w:eastAsia="zh-CN"/>
              </w:rPr>
              <w:t>烟尘</w:t>
            </w:r>
            <w:r>
              <w:rPr>
                <w:rFonts w:hint="eastAsia" w:ascii="Times New Roman" w:hAnsi="Times New Roman" w:eastAsia="宋体"/>
                <w:vertAlign w:val="baseline"/>
                <w:lang w:val="en-US" w:eastAsia="zh-CN"/>
              </w:rPr>
              <w:t>：</w:t>
            </w:r>
            <w:r>
              <w:rPr>
                <w:rFonts w:hint="eastAsia"/>
                <w:lang w:val="en-US" w:eastAsia="zh-CN"/>
              </w:rPr>
              <w:t>124</w:t>
            </w:r>
            <w:r>
              <w:rPr>
                <w:rFonts w:hint="eastAsia" w:ascii="Times New Roman" w:hAnsi="Times New Roman" w:eastAsia="宋体"/>
                <w:lang w:val="en-US" w:eastAsia="zh-CN"/>
              </w:rPr>
              <w:t>t/a，烟尘</w:t>
            </w:r>
            <w:r>
              <w:rPr>
                <w:rFonts w:hint="eastAsia" w:ascii="Times New Roman" w:hAnsi="Times New Roman" w:eastAsia="宋体"/>
                <w:vertAlign w:val="baseline"/>
                <w:lang w:val="en-US" w:eastAsia="zh-CN"/>
              </w:rPr>
              <w:t>：</w:t>
            </w:r>
            <w:r>
              <w:rPr>
                <w:rFonts w:hint="eastAsia"/>
                <w:lang w:val="en-US" w:eastAsia="zh-CN"/>
              </w:rPr>
              <w:t>319</w:t>
            </w:r>
            <w:r>
              <w:rPr>
                <w:rFonts w:hint="eastAsia" w:ascii="Times New Roman" w:hAnsi="Times New Roman" w:eastAsia="宋体"/>
                <w:lang w:val="en-US" w:eastAsia="zh-CN"/>
              </w:rPr>
              <w:t>t/a，SO</w:t>
            </w:r>
            <w:r>
              <w:rPr>
                <w:rFonts w:hint="eastAsia" w:ascii="Times New Roman" w:hAnsi="Times New Roman" w:eastAsia="宋体"/>
                <w:vertAlign w:val="subscript"/>
                <w:lang w:val="en-US" w:eastAsia="zh-CN"/>
              </w:rPr>
              <w:t>2</w:t>
            </w:r>
            <w:r>
              <w:rPr>
                <w:rFonts w:hint="eastAsia" w:ascii="Times New Roman" w:hAnsi="Times New Roman" w:eastAsia="宋体"/>
                <w:lang w:val="en-US" w:eastAsia="zh-CN"/>
              </w:rPr>
              <w:t>、NOx、烟尘产生浓度分别为SO</w:t>
            </w:r>
            <w:r>
              <w:rPr>
                <w:rFonts w:hint="eastAsia" w:ascii="Times New Roman" w:hAnsi="Times New Roman" w:eastAsia="宋体"/>
                <w:vertAlign w:val="subscript"/>
                <w:lang w:val="en-US" w:eastAsia="zh-CN"/>
              </w:rPr>
              <w:t>2</w:t>
            </w:r>
            <w:r>
              <w:rPr>
                <w:rFonts w:hint="eastAsia" w:ascii="Times New Roman" w:hAnsi="Times New Roman" w:eastAsia="宋体"/>
                <w:vertAlign w:val="baseline"/>
                <w:lang w:val="en-US" w:eastAsia="zh-CN"/>
              </w:rPr>
              <w:t>：</w:t>
            </w:r>
            <w:r>
              <w:rPr>
                <w:rFonts w:hint="eastAsia"/>
                <w:vertAlign w:val="baseline"/>
                <w:lang w:val="en-US" w:eastAsia="zh-CN"/>
              </w:rPr>
              <w:t>26.7</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lang w:val="en-US" w:eastAsia="zh-CN"/>
              </w:rPr>
              <w:t>，NOx</w:t>
            </w:r>
            <w:r>
              <w:rPr>
                <w:rFonts w:hint="eastAsia" w:ascii="Times New Roman" w:hAnsi="Times New Roman" w:eastAsia="宋体"/>
                <w:vertAlign w:val="baseline"/>
                <w:lang w:val="en-US" w:eastAsia="zh-CN"/>
              </w:rPr>
              <w:t>：</w:t>
            </w:r>
            <w:r>
              <w:rPr>
                <w:rFonts w:hint="eastAsia"/>
                <w:lang w:val="en-US" w:eastAsia="zh-CN"/>
              </w:rPr>
              <w:t>86.7</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lang w:val="en-US" w:eastAsia="zh-CN"/>
              </w:rPr>
              <w:t>，烟尘</w:t>
            </w:r>
            <w:r>
              <w:rPr>
                <w:rFonts w:hint="eastAsia" w:ascii="Times New Roman" w:hAnsi="Times New Roman" w:eastAsia="宋体"/>
                <w:vertAlign w:val="baseline"/>
                <w:lang w:val="en-US" w:eastAsia="zh-CN"/>
              </w:rPr>
              <w:t>：</w:t>
            </w:r>
            <w:r>
              <w:rPr>
                <w:rFonts w:hint="eastAsia"/>
                <w:lang w:val="en-US" w:eastAsia="zh-CN"/>
              </w:rPr>
              <w:t>473</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bCs/>
                <w:sz w:val="24"/>
                <w:szCs w:val="24"/>
                <w:vertAlign w:val="baseline"/>
                <w:lang w:val="en-US" w:eastAsia="zh-CN"/>
              </w:rPr>
              <w:t>。</w:t>
            </w:r>
          </w:p>
          <w:p>
            <w:pPr>
              <w:pStyle w:val="52"/>
              <w:spacing w:line="440" w:lineRule="exact"/>
              <w:jc w:val="both"/>
              <w:rPr>
                <w:rFonts w:hint="default" w:ascii="Times New Roman" w:hAnsi="Times New Roman" w:eastAsia="宋体"/>
                <w:bCs/>
                <w:sz w:val="24"/>
                <w:szCs w:val="24"/>
                <w:vertAlign w:val="baseline"/>
                <w:lang w:val="en-US" w:eastAsia="zh-CN"/>
              </w:rPr>
            </w:pPr>
            <w:r>
              <w:rPr>
                <w:rFonts w:hint="eastAsia"/>
                <w:lang w:val="en-US" w:eastAsia="zh-CN"/>
              </w:rPr>
              <w:t>除尘净化装置对烟尘</w:t>
            </w:r>
            <w:r>
              <w:rPr>
                <w:rFonts w:hint="eastAsia" w:ascii="Times New Roman" w:hAnsi="Times New Roman" w:eastAsia="宋体"/>
                <w:lang w:val="en-US" w:eastAsia="zh-CN"/>
              </w:rPr>
              <w:t>处理效率约95%，</w:t>
            </w:r>
            <w:r>
              <w:rPr>
                <w:rFonts w:hint="eastAsia" w:ascii="Times New Roman" w:hAnsi="Times New Roman" w:eastAsia="宋体"/>
                <w:sz w:val="24"/>
                <w:szCs w:val="24"/>
                <w:lang w:eastAsia="zh-CN"/>
              </w:rPr>
              <w:t>因此，</w:t>
            </w:r>
            <w:r>
              <w:rPr>
                <w:rFonts w:hint="eastAsia"/>
                <w:sz w:val="24"/>
                <w:szCs w:val="24"/>
                <w:lang w:val="en-US" w:eastAsia="zh-CN"/>
              </w:rPr>
              <w:t>1号隧道窑</w:t>
            </w:r>
            <w:r>
              <w:rPr>
                <w:rFonts w:hint="eastAsia" w:ascii="Times New Roman" w:hAnsi="Times New Roman" w:eastAsia="宋体"/>
                <w:bCs/>
                <w:sz w:val="24"/>
                <w:szCs w:val="24"/>
              </w:rPr>
              <w:t>SO</w:t>
            </w:r>
            <w:r>
              <w:rPr>
                <w:rFonts w:hint="eastAsia" w:ascii="Times New Roman" w:hAnsi="Times New Roman" w:eastAsia="宋体"/>
                <w:bCs/>
                <w:sz w:val="24"/>
                <w:szCs w:val="24"/>
                <w:vertAlign w:val="subscript"/>
              </w:rPr>
              <w:t>2</w:t>
            </w:r>
            <w:r>
              <w:rPr>
                <w:rFonts w:hint="eastAsia" w:ascii="Times New Roman" w:hAnsi="Times New Roman" w:eastAsia="宋体"/>
                <w:bCs/>
                <w:sz w:val="24"/>
                <w:szCs w:val="24"/>
                <w:vertAlign w:val="baseline"/>
                <w:lang w:eastAsia="zh-CN"/>
              </w:rPr>
              <w:t>、</w:t>
            </w:r>
            <w:r>
              <w:rPr>
                <w:rFonts w:hint="eastAsia" w:ascii="Times New Roman" w:hAnsi="Times New Roman" w:eastAsia="宋体"/>
                <w:lang w:val="en-US" w:eastAsia="zh-CN"/>
              </w:rPr>
              <w:t>NOx、烟尘</w:t>
            </w:r>
            <w:r>
              <w:rPr>
                <w:rFonts w:hint="eastAsia" w:ascii="Times New Roman" w:hAnsi="Times New Roman" w:eastAsia="宋体"/>
                <w:bCs/>
                <w:sz w:val="24"/>
                <w:szCs w:val="24"/>
                <w:vertAlign w:val="baseline"/>
                <w:lang w:eastAsia="zh-CN"/>
              </w:rPr>
              <w:t>的排放量分别为</w:t>
            </w:r>
            <w:r>
              <w:rPr>
                <w:rFonts w:hint="eastAsia"/>
                <w:lang w:val="en-US" w:eastAsia="zh-CN"/>
              </w:rPr>
              <w:t>7.01</w:t>
            </w:r>
            <w:r>
              <w:rPr>
                <w:rFonts w:hint="eastAsia" w:ascii="Times New Roman" w:hAnsi="Times New Roman" w:eastAsia="宋体"/>
                <w:lang w:val="en-US" w:eastAsia="zh-CN"/>
              </w:rPr>
              <w:t>t/a</w:t>
            </w:r>
            <w:r>
              <w:rPr>
                <w:rFonts w:hint="eastAsia" w:ascii="Times New Roman" w:hAnsi="Times New Roman" w:eastAsia="宋体"/>
                <w:bCs/>
                <w:sz w:val="24"/>
                <w:szCs w:val="24"/>
                <w:vertAlign w:val="baseline"/>
                <w:lang w:val="en-US" w:eastAsia="zh-CN"/>
              </w:rPr>
              <w:t>，</w:t>
            </w:r>
            <w:r>
              <w:rPr>
                <w:rFonts w:hint="eastAsia"/>
                <w:lang w:val="en-US" w:eastAsia="zh-CN"/>
              </w:rPr>
              <w:t>22.78</w:t>
            </w:r>
            <w:r>
              <w:rPr>
                <w:rFonts w:hint="eastAsia" w:ascii="Times New Roman" w:hAnsi="Times New Roman" w:eastAsia="宋体"/>
                <w:lang w:val="en-US" w:eastAsia="zh-CN"/>
              </w:rPr>
              <w:t>t/a</w:t>
            </w:r>
            <w:r>
              <w:rPr>
                <w:rFonts w:hint="eastAsia" w:ascii="Times New Roman" w:hAnsi="Times New Roman" w:eastAsia="宋体"/>
                <w:bCs/>
                <w:sz w:val="24"/>
                <w:szCs w:val="24"/>
                <w:vertAlign w:val="baseline"/>
                <w:lang w:val="en-US" w:eastAsia="zh-CN"/>
              </w:rPr>
              <w:t>，</w:t>
            </w:r>
            <w:r>
              <w:rPr>
                <w:rFonts w:hint="eastAsia"/>
                <w:bCs/>
                <w:sz w:val="24"/>
                <w:szCs w:val="24"/>
                <w:vertAlign w:val="baseline"/>
                <w:lang w:val="en-US" w:eastAsia="zh-CN"/>
              </w:rPr>
              <w:t>6.2</w:t>
            </w:r>
            <w:r>
              <w:rPr>
                <w:rFonts w:hint="eastAsia" w:ascii="Times New Roman" w:hAnsi="Times New Roman" w:eastAsia="宋体"/>
                <w:bCs/>
                <w:sz w:val="24"/>
                <w:szCs w:val="24"/>
                <w:vertAlign w:val="baseline"/>
                <w:lang w:val="en-US" w:eastAsia="zh-CN"/>
              </w:rPr>
              <w:t>t/a，排放速率分别为</w:t>
            </w:r>
            <w:r>
              <w:rPr>
                <w:rFonts w:hint="eastAsia"/>
                <w:bCs/>
                <w:sz w:val="24"/>
                <w:szCs w:val="24"/>
                <w:vertAlign w:val="baseline"/>
                <w:lang w:val="en-US" w:eastAsia="zh-CN"/>
              </w:rPr>
              <w:t>0.8</w:t>
            </w:r>
            <w:r>
              <w:rPr>
                <w:rFonts w:hint="eastAsia" w:ascii="Times New Roman" w:hAnsi="Times New Roman" w:eastAsia="宋体"/>
                <w:bCs/>
                <w:sz w:val="24"/>
                <w:szCs w:val="24"/>
                <w:vertAlign w:val="baseline"/>
                <w:lang w:val="en-US" w:eastAsia="zh-CN"/>
              </w:rPr>
              <w:t>kg/h，</w:t>
            </w:r>
            <w:r>
              <w:rPr>
                <w:rFonts w:hint="eastAsia"/>
                <w:bCs/>
                <w:sz w:val="24"/>
                <w:szCs w:val="24"/>
                <w:vertAlign w:val="baseline"/>
                <w:lang w:val="en-US" w:eastAsia="zh-CN"/>
              </w:rPr>
              <w:t>2.6</w:t>
            </w:r>
            <w:r>
              <w:rPr>
                <w:rFonts w:hint="eastAsia" w:ascii="Times New Roman" w:hAnsi="Times New Roman" w:eastAsia="宋体"/>
                <w:bCs/>
                <w:sz w:val="24"/>
                <w:szCs w:val="24"/>
                <w:vertAlign w:val="baseline"/>
                <w:lang w:val="en-US" w:eastAsia="zh-CN"/>
              </w:rPr>
              <w:t>kg/h，</w:t>
            </w:r>
            <w:r>
              <w:rPr>
                <w:rFonts w:hint="eastAsia"/>
                <w:bCs/>
                <w:sz w:val="24"/>
                <w:szCs w:val="24"/>
                <w:vertAlign w:val="baseline"/>
                <w:lang w:val="en-US" w:eastAsia="zh-CN"/>
              </w:rPr>
              <w:t>0.71</w:t>
            </w:r>
            <w:r>
              <w:rPr>
                <w:rFonts w:hint="eastAsia" w:ascii="Times New Roman" w:hAnsi="Times New Roman" w:eastAsia="宋体"/>
                <w:bCs/>
                <w:sz w:val="24"/>
                <w:szCs w:val="24"/>
                <w:vertAlign w:val="baseline"/>
                <w:lang w:val="en-US" w:eastAsia="zh-CN"/>
              </w:rPr>
              <w:t>kg/h，排放浓度分别为</w:t>
            </w:r>
            <w:r>
              <w:rPr>
                <w:rFonts w:hint="eastAsia"/>
                <w:bCs/>
                <w:sz w:val="24"/>
                <w:szCs w:val="24"/>
                <w:vertAlign w:val="baseline"/>
                <w:lang w:val="en-US" w:eastAsia="zh-CN"/>
              </w:rPr>
              <w:t>32</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bCs/>
                <w:sz w:val="24"/>
                <w:szCs w:val="24"/>
                <w:vertAlign w:val="baseline"/>
                <w:lang w:val="en-US" w:eastAsia="zh-CN"/>
              </w:rPr>
              <w:t>，</w:t>
            </w:r>
            <w:r>
              <w:rPr>
                <w:rFonts w:hint="eastAsia"/>
                <w:bCs/>
                <w:sz w:val="24"/>
                <w:szCs w:val="24"/>
                <w:vertAlign w:val="baseline"/>
                <w:lang w:val="en-US" w:eastAsia="zh-CN"/>
              </w:rPr>
              <w:t>104</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bCs/>
                <w:sz w:val="24"/>
                <w:szCs w:val="24"/>
                <w:vertAlign w:val="baseline"/>
                <w:lang w:val="en-US" w:eastAsia="zh-CN"/>
              </w:rPr>
              <w:t>，</w:t>
            </w:r>
            <w:r>
              <w:rPr>
                <w:rFonts w:hint="eastAsia"/>
                <w:bCs/>
                <w:sz w:val="24"/>
                <w:szCs w:val="24"/>
                <w:vertAlign w:val="baseline"/>
                <w:lang w:val="en-US" w:eastAsia="zh-CN"/>
              </w:rPr>
              <w:t>28.4</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bCs/>
                <w:sz w:val="24"/>
                <w:szCs w:val="24"/>
                <w:vertAlign w:val="baseline"/>
                <w:lang w:val="en-US" w:eastAsia="zh-CN"/>
              </w:rPr>
              <w:t>。</w:t>
            </w:r>
            <w:r>
              <w:rPr>
                <w:rFonts w:hint="eastAsia"/>
                <w:sz w:val="24"/>
                <w:szCs w:val="24"/>
                <w:lang w:val="en-US" w:eastAsia="zh-CN"/>
              </w:rPr>
              <w:t>2号隧道窑</w:t>
            </w:r>
            <w:r>
              <w:rPr>
                <w:rFonts w:hint="eastAsia" w:ascii="Times New Roman" w:hAnsi="Times New Roman" w:eastAsia="宋体"/>
                <w:bCs/>
                <w:sz w:val="24"/>
                <w:szCs w:val="24"/>
              </w:rPr>
              <w:t>SO</w:t>
            </w:r>
            <w:r>
              <w:rPr>
                <w:rFonts w:hint="eastAsia" w:ascii="Times New Roman" w:hAnsi="Times New Roman" w:eastAsia="宋体"/>
                <w:bCs/>
                <w:sz w:val="24"/>
                <w:szCs w:val="24"/>
                <w:vertAlign w:val="subscript"/>
              </w:rPr>
              <w:t>2</w:t>
            </w:r>
            <w:r>
              <w:rPr>
                <w:rFonts w:hint="eastAsia" w:ascii="Times New Roman" w:hAnsi="Times New Roman" w:eastAsia="宋体"/>
                <w:bCs/>
                <w:sz w:val="24"/>
                <w:szCs w:val="24"/>
                <w:vertAlign w:val="baseline"/>
                <w:lang w:eastAsia="zh-CN"/>
              </w:rPr>
              <w:t>、</w:t>
            </w:r>
            <w:r>
              <w:rPr>
                <w:rFonts w:hint="eastAsia" w:ascii="Times New Roman" w:hAnsi="Times New Roman" w:eastAsia="宋体"/>
                <w:lang w:val="en-US" w:eastAsia="zh-CN"/>
              </w:rPr>
              <w:t>NOx、烟尘</w:t>
            </w:r>
            <w:r>
              <w:rPr>
                <w:rFonts w:hint="eastAsia" w:ascii="Times New Roman" w:hAnsi="Times New Roman" w:eastAsia="宋体"/>
                <w:bCs/>
                <w:sz w:val="24"/>
                <w:szCs w:val="24"/>
                <w:vertAlign w:val="baseline"/>
                <w:lang w:eastAsia="zh-CN"/>
              </w:rPr>
              <w:t>的排放量分别为</w:t>
            </w:r>
            <w:r>
              <w:rPr>
                <w:rFonts w:hint="eastAsia"/>
                <w:lang w:val="en-US" w:eastAsia="zh-CN"/>
              </w:rPr>
              <w:t>7.01</w:t>
            </w:r>
            <w:r>
              <w:rPr>
                <w:rFonts w:hint="eastAsia" w:ascii="Times New Roman" w:hAnsi="Times New Roman" w:eastAsia="宋体"/>
                <w:lang w:val="en-US" w:eastAsia="zh-CN"/>
              </w:rPr>
              <w:t>t/a</w:t>
            </w:r>
            <w:r>
              <w:rPr>
                <w:rFonts w:hint="eastAsia" w:ascii="Times New Roman" w:hAnsi="Times New Roman" w:eastAsia="宋体"/>
                <w:bCs/>
                <w:sz w:val="24"/>
                <w:szCs w:val="24"/>
                <w:vertAlign w:val="baseline"/>
                <w:lang w:val="en-US" w:eastAsia="zh-CN"/>
              </w:rPr>
              <w:t>，</w:t>
            </w:r>
            <w:r>
              <w:rPr>
                <w:rFonts w:hint="eastAsia"/>
                <w:lang w:val="en-US" w:eastAsia="zh-CN"/>
              </w:rPr>
              <w:t>22.78</w:t>
            </w:r>
            <w:r>
              <w:rPr>
                <w:rFonts w:hint="eastAsia" w:ascii="Times New Roman" w:hAnsi="Times New Roman" w:eastAsia="宋体"/>
                <w:lang w:val="en-US" w:eastAsia="zh-CN"/>
              </w:rPr>
              <w:t>t/a</w:t>
            </w:r>
            <w:r>
              <w:rPr>
                <w:rFonts w:hint="eastAsia" w:ascii="Times New Roman" w:hAnsi="Times New Roman" w:eastAsia="宋体"/>
                <w:bCs/>
                <w:sz w:val="24"/>
                <w:szCs w:val="24"/>
                <w:vertAlign w:val="baseline"/>
                <w:lang w:val="en-US" w:eastAsia="zh-CN"/>
              </w:rPr>
              <w:t>，</w:t>
            </w:r>
            <w:r>
              <w:rPr>
                <w:rFonts w:hint="eastAsia"/>
                <w:bCs/>
                <w:sz w:val="24"/>
                <w:szCs w:val="24"/>
                <w:vertAlign w:val="baseline"/>
                <w:lang w:val="en-US" w:eastAsia="zh-CN"/>
              </w:rPr>
              <w:t>6.2</w:t>
            </w:r>
            <w:r>
              <w:rPr>
                <w:rFonts w:hint="eastAsia" w:ascii="Times New Roman" w:hAnsi="Times New Roman" w:eastAsia="宋体"/>
                <w:bCs/>
                <w:sz w:val="24"/>
                <w:szCs w:val="24"/>
                <w:vertAlign w:val="baseline"/>
                <w:lang w:val="en-US" w:eastAsia="zh-CN"/>
              </w:rPr>
              <w:t>t/a，排放速率分别为</w:t>
            </w:r>
            <w:r>
              <w:rPr>
                <w:rFonts w:hint="eastAsia"/>
                <w:bCs/>
                <w:sz w:val="24"/>
                <w:szCs w:val="24"/>
                <w:vertAlign w:val="baseline"/>
                <w:lang w:val="en-US" w:eastAsia="zh-CN"/>
              </w:rPr>
              <w:t>0.8</w:t>
            </w:r>
            <w:r>
              <w:rPr>
                <w:rFonts w:hint="eastAsia" w:ascii="Times New Roman" w:hAnsi="Times New Roman" w:eastAsia="宋体"/>
                <w:bCs/>
                <w:sz w:val="24"/>
                <w:szCs w:val="24"/>
                <w:vertAlign w:val="baseline"/>
                <w:lang w:val="en-US" w:eastAsia="zh-CN"/>
              </w:rPr>
              <w:t>kg/h，</w:t>
            </w:r>
            <w:r>
              <w:rPr>
                <w:rFonts w:hint="eastAsia"/>
                <w:bCs/>
                <w:sz w:val="24"/>
                <w:szCs w:val="24"/>
                <w:vertAlign w:val="baseline"/>
                <w:lang w:val="en-US" w:eastAsia="zh-CN"/>
              </w:rPr>
              <w:t>2.6</w:t>
            </w:r>
            <w:r>
              <w:rPr>
                <w:rFonts w:hint="eastAsia" w:ascii="Times New Roman" w:hAnsi="Times New Roman" w:eastAsia="宋体"/>
                <w:bCs/>
                <w:sz w:val="24"/>
                <w:szCs w:val="24"/>
                <w:vertAlign w:val="baseline"/>
                <w:lang w:val="en-US" w:eastAsia="zh-CN"/>
              </w:rPr>
              <w:t>kg/h，</w:t>
            </w:r>
            <w:r>
              <w:rPr>
                <w:rFonts w:hint="eastAsia"/>
                <w:bCs/>
                <w:sz w:val="24"/>
                <w:szCs w:val="24"/>
                <w:vertAlign w:val="baseline"/>
                <w:lang w:val="en-US" w:eastAsia="zh-CN"/>
              </w:rPr>
              <w:t>0.71</w:t>
            </w:r>
            <w:r>
              <w:rPr>
                <w:rFonts w:hint="eastAsia" w:ascii="Times New Roman" w:hAnsi="Times New Roman" w:eastAsia="宋体"/>
                <w:bCs/>
                <w:sz w:val="24"/>
                <w:szCs w:val="24"/>
                <w:vertAlign w:val="baseline"/>
                <w:lang w:val="en-US" w:eastAsia="zh-CN"/>
              </w:rPr>
              <w:t>kg/h，排放浓度分别为</w:t>
            </w:r>
            <w:r>
              <w:rPr>
                <w:rFonts w:hint="eastAsia"/>
                <w:bCs/>
                <w:sz w:val="24"/>
                <w:szCs w:val="24"/>
                <w:vertAlign w:val="baseline"/>
                <w:lang w:val="en-US" w:eastAsia="zh-CN"/>
              </w:rPr>
              <w:t>226.7</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bCs/>
                <w:sz w:val="24"/>
                <w:szCs w:val="24"/>
                <w:vertAlign w:val="baseline"/>
                <w:lang w:val="en-US" w:eastAsia="zh-CN"/>
              </w:rPr>
              <w:t>，</w:t>
            </w:r>
            <w:r>
              <w:rPr>
                <w:rFonts w:hint="eastAsia"/>
                <w:bCs/>
                <w:sz w:val="24"/>
                <w:szCs w:val="24"/>
                <w:vertAlign w:val="baseline"/>
                <w:lang w:val="en-US" w:eastAsia="zh-CN"/>
              </w:rPr>
              <w:t>86.7</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bCs/>
                <w:sz w:val="24"/>
                <w:szCs w:val="24"/>
                <w:vertAlign w:val="baseline"/>
                <w:lang w:val="en-US" w:eastAsia="zh-CN"/>
              </w:rPr>
              <w:t>，</w:t>
            </w:r>
            <w:r>
              <w:rPr>
                <w:rFonts w:hint="eastAsia"/>
                <w:bCs/>
                <w:sz w:val="24"/>
                <w:szCs w:val="24"/>
                <w:vertAlign w:val="baseline"/>
                <w:lang w:val="en-US" w:eastAsia="zh-CN"/>
              </w:rPr>
              <w:t>23.6</w:t>
            </w:r>
            <w:r>
              <w:rPr>
                <w:rFonts w:hint="eastAsia" w:ascii="Times New Roman" w:hAnsi="Times New Roman" w:eastAsia="宋体"/>
                <w:bCs/>
                <w:sz w:val="24"/>
                <w:szCs w:val="24"/>
                <w:vertAlign w:val="baseline"/>
                <w:lang w:val="en-US" w:eastAsia="zh-CN"/>
              </w:rPr>
              <w:t>mg/m</w:t>
            </w:r>
            <w:r>
              <w:rPr>
                <w:rFonts w:hint="eastAsia" w:ascii="Times New Roman" w:hAnsi="Times New Roman" w:eastAsia="宋体"/>
                <w:bCs/>
                <w:sz w:val="24"/>
                <w:szCs w:val="24"/>
                <w:vertAlign w:val="superscript"/>
                <w:lang w:val="en-US" w:eastAsia="zh-CN"/>
              </w:rPr>
              <w:t>3</w:t>
            </w:r>
            <w:r>
              <w:rPr>
                <w:rFonts w:hint="eastAsia" w:ascii="Times New Roman" w:hAnsi="Times New Roman" w:eastAsia="宋体"/>
                <w:bCs/>
                <w:sz w:val="24"/>
                <w:szCs w:val="24"/>
                <w:vertAlign w:val="baseline"/>
                <w:lang w:val="en-US" w:eastAsia="zh-CN"/>
              </w:rPr>
              <w:t>。</w:t>
            </w:r>
          </w:p>
          <w:p>
            <w:pPr>
              <w:pStyle w:val="52"/>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0" w:firstLineChars="0"/>
              <w:jc w:val="left"/>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粉尘</w:t>
            </w:r>
          </w:p>
          <w:p>
            <w:pPr>
              <w:pStyle w:val="52"/>
              <w:numPr>
                <w:ilvl w:val="0"/>
                <w:numId w:val="0"/>
              </w:numPr>
              <w:spacing w:line="440" w:lineRule="exact"/>
              <w:ind w:firstLine="480" w:firstLineChars="200"/>
              <w:jc w:val="both"/>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在生产过程中产生的粉尘均属无毒性粉尘。</w:t>
            </w:r>
            <w:r>
              <w:rPr>
                <w:rFonts w:hint="eastAsia"/>
                <w:color w:val="auto"/>
                <w:sz w:val="24"/>
                <w:szCs w:val="24"/>
                <w:lang w:val="en-US" w:eastAsia="zh-CN"/>
              </w:rPr>
              <w:t xml:space="preserve"> </w:t>
            </w:r>
            <w:r>
              <w:rPr>
                <w:rFonts w:hint="eastAsia" w:ascii="Times New Roman" w:hAnsi="Times New Roman" w:eastAsia="宋体"/>
                <w:color w:val="auto"/>
                <w:sz w:val="24"/>
                <w:szCs w:val="24"/>
              </w:rPr>
              <w:t>设计中对各尘源均严格密闭，负压操作，含尘气体经</w:t>
            </w:r>
            <w:r>
              <w:rPr>
                <w:rFonts w:hint="eastAsia" w:ascii="Times New Roman" w:hAnsi="Times New Roman" w:eastAsia="宋体"/>
                <w:color w:val="auto"/>
                <w:sz w:val="24"/>
                <w:szCs w:val="24"/>
                <w:lang w:val="en-US" w:eastAsia="zh-CN"/>
              </w:rPr>
              <w:t>各</w:t>
            </w:r>
            <w:r>
              <w:rPr>
                <w:rFonts w:hint="eastAsia" w:ascii="Times New Roman" w:hAnsi="Times New Roman" w:eastAsia="宋体"/>
                <w:color w:val="auto"/>
                <w:sz w:val="24"/>
                <w:szCs w:val="24"/>
              </w:rPr>
              <w:t>除尘器净化后排入大气，混合系统除尘器收集的粉尘直接返回工艺流程中，其它系统收集的粉尘装袋后返回原料库作其它用途</w:t>
            </w:r>
            <w:r>
              <w:rPr>
                <w:rFonts w:hint="eastAsia" w:ascii="Times New Roman" w:hAnsi="Times New Roman" w:eastAsia="宋体"/>
                <w:color w:val="auto"/>
                <w:sz w:val="24"/>
                <w:szCs w:val="24"/>
                <w:lang w:eastAsia="zh-CN"/>
              </w:rPr>
              <w:t>。</w:t>
            </w:r>
          </w:p>
          <w:p>
            <w:pPr>
              <w:pStyle w:val="52"/>
              <w:spacing w:line="440" w:lineRule="exact"/>
              <w:jc w:val="both"/>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①</w:t>
            </w:r>
            <w:r>
              <w:rPr>
                <w:rFonts w:hint="eastAsia" w:ascii="Times New Roman" w:hAnsi="Times New Roman" w:eastAsia="宋体"/>
                <w:color w:val="auto"/>
                <w:sz w:val="24"/>
                <w:szCs w:val="24"/>
              </w:rPr>
              <w:t>上料配料及缓冲仓</w:t>
            </w:r>
            <w:r>
              <w:rPr>
                <w:rFonts w:hint="eastAsia" w:ascii="Times New Roman" w:hAnsi="Times New Roman" w:eastAsia="宋体"/>
                <w:color w:val="auto"/>
                <w:sz w:val="24"/>
                <w:szCs w:val="24"/>
                <w:lang w:val="en-US" w:eastAsia="zh-CN"/>
              </w:rPr>
              <w:t>粉尘</w:t>
            </w:r>
          </w:p>
          <w:p>
            <w:pPr>
              <w:pStyle w:val="52"/>
              <w:spacing w:line="440" w:lineRule="exact"/>
              <w:jc w:val="both"/>
              <w:rPr>
                <w:rFonts w:hint="default" w:ascii="Times New Roman" w:hAnsi="Times New Roman" w:eastAsia="宋体"/>
                <w:sz w:val="24"/>
                <w:szCs w:val="24"/>
                <w:lang w:val="en-US" w:eastAsia="zh-CN"/>
              </w:rPr>
            </w:pPr>
            <w:r>
              <w:rPr>
                <w:rFonts w:hint="eastAsia" w:ascii="Times New Roman" w:hAnsi="Times New Roman" w:eastAsia="宋体"/>
                <w:color w:val="auto"/>
                <w:sz w:val="24"/>
                <w:szCs w:val="24"/>
              </w:rPr>
              <w:t>上料配料及缓冲仓</w:t>
            </w:r>
            <w:r>
              <w:rPr>
                <w:rFonts w:hint="eastAsia" w:ascii="Times New Roman" w:hAnsi="Times New Roman" w:eastAsia="宋体"/>
                <w:sz w:val="24"/>
                <w:szCs w:val="24"/>
              </w:rPr>
              <w:t>生产过程中粉尘污染物产生速率</w:t>
            </w:r>
            <w:r>
              <w:rPr>
                <w:rFonts w:hint="eastAsia" w:ascii="Times New Roman" w:hAnsi="Times New Roman" w:eastAsia="宋体"/>
                <w:sz w:val="24"/>
                <w:szCs w:val="24"/>
                <w:lang w:val="en-US" w:eastAsia="zh-CN"/>
              </w:rPr>
              <w:t>合计</w:t>
            </w:r>
            <w:r>
              <w:rPr>
                <w:rFonts w:hint="eastAsia" w:ascii="Times New Roman" w:hAnsi="Times New Roman" w:eastAsia="宋体"/>
                <w:sz w:val="24"/>
                <w:szCs w:val="24"/>
              </w:rPr>
              <w:t>约为</w:t>
            </w:r>
            <w:r>
              <w:rPr>
                <w:rFonts w:hint="eastAsia"/>
                <w:sz w:val="24"/>
                <w:szCs w:val="24"/>
                <w:lang w:val="en-US" w:eastAsia="zh-CN"/>
              </w:rPr>
              <w:t>21</w:t>
            </w:r>
            <w:r>
              <w:rPr>
                <w:rFonts w:hint="eastAsia" w:ascii="Times New Roman" w:hAnsi="Times New Roman" w:eastAsia="宋体"/>
                <w:sz w:val="24"/>
                <w:szCs w:val="24"/>
              </w:rPr>
              <w:t>kg/h，粉尘通过FGM64-5气箱脉冲袋式除尘器处理后排放，除尘器除尘效率约为9</w:t>
            </w:r>
            <w:r>
              <w:rPr>
                <w:rFonts w:hint="eastAsia" w:ascii="Times New Roman" w:hAnsi="Times New Roman" w:eastAsia="宋体"/>
                <w:sz w:val="24"/>
                <w:szCs w:val="24"/>
                <w:lang w:val="en-US" w:eastAsia="zh-CN"/>
              </w:rPr>
              <w:t>9</w:t>
            </w:r>
            <w:r>
              <w:rPr>
                <w:rFonts w:hint="eastAsia" w:ascii="Times New Roman" w:hAnsi="Times New Roman" w:eastAsia="宋体"/>
                <w:sz w:val="24"/>
                <w:szCs w:val="24"/>
              </w:rPr>
              <w:t>%，除尘器风量约为</w:t>
            </w:r>
            <w:r>
              <w:rPr>
                <w:rFonts w:hint="eastAsia" w:ascii="Times New Roman" w:hAnsi="Times New Roman" w:eastAsia="宋体"/>
                <w:sz w:val="24"/>
                <w:szCs w:val="24"/>
                <w:lang w:val="en-US" w:eastAsia="zh-CN"/>
              </w:rPr>
              <w:t>180</w:t>
            </w:r>
            <w:r>
              <w:rPr>
                <w:rFonts w:hint="eastAsia" w:ascii="Times New Roman" w:hAnsi="Times New Roman" w:eastAsia="宋体"/>
                <w:sz w:val="24"/>
                <w:szCs w:val="24"/>
              </w:rPr>
              <w:t>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w:t>
            </w:r>
            <w:r>
              <w:rPr>
                <w:rFonts w:hint="eastAsia" w:ascii="Times New Roman" w:hAnsi="Times New Roman" w:eastAsia="宋体"/>
                <w:sz w:val="24"/>
                <w:szCs w:val="24"/>
                <w:lang w:val="en-US" w:eastAsia="zh-CN"/>
              </w:rPr>
              <w:t>则粉尘产生量为</w:t>
            </w:r>
            <w:r>
              <w:rPr>
                <w:rFonts w:hint="eastAsia"/>
                <w:sz w:val="24"/>
                <w:szCs w:val="24"/>
                <w:lang w:val="en-US" w:eastAsia="zh-CN"/>
              </w:rPr>
              <w:t>166.32</w:t>
            </w:r>
            <w:r>
              <w:rPr>
                <w:rFonts w:hint="eastAsia" w:ascii="Times New Roman" w:hAnsi="Times New Roman" w:eastAsia="宋体"/>
                <w:sz w:val="24"/>
                <w:szCs w:val="24"/>
                <w:lang w:val="en-US" w:eastAsia="zh-CN"/>
              </w:rPr>
              <w:t>t/a，产生浓度为</w:t>
            </w:r>
            <w:r>
              <w:rPr>
                <w:rFonts w:hint="eastAsia"/>
                <w:sz w:val="24"/>
                <w:szCs w:val="24"/>
                <w:lang w:val="en-US" w:eastAsia="zh-CN"/>
              </w:rPr>
              <w:t>1167</w:t>
            </w:r>
            <w:r>
              <w:rPr>
                <w:rFonts w:hint="eastAsia" w:ascii="Times New Roman" w:hAnsi="Times New Roman" w:eastAsia="宋体"/>
                <w:sz w:val="24"/>
                <w:szCs w:val="24"/>
              </w:rPr>
              <w:t>mg/m</w:t>
            </w:r>
            <w:r>
              <w:rPr>
                <w:rFonts w:hint="eastAsia" w:ascii="Times New Roman" w:hAnsi="Times New Roman" w:eastAsia="宋体"/>
                <w:sz w:val="24"/>
                <w:szCs w:val="24"/>
                <w:vertAlign w:val="superscript"/>
              </w:rPr>
              <w:t>3</w:t>
            </w:r>
            <w:r>
              <w:rPr>
                <w:rFonts w:hint="eastAsia" w:ascii="Times New Roman" w:hAnsi="Times New Roman" w:eastAsia="宋体"/>
                <w:sz w:val="24"/>
                <w:szCs w:val="24"/>
                <w:vertAlign w:val="baseline"/>
                <w:lang w:val="en-US" w:eastAsia="zh-CN"/>
              </w:rPr>
              <w:t>,</w:t>
            </w:r>
            <w:r>
              <w:rPr>
                <w:rFonts w:hint="eastAsia" w:ascii="Times New Roman" w:hAnsi="Times New Roman" w:eastAsia="宋体"/>
                <w:sz w:val="24"/>
                <w:szCs w:val="24"/>
              </w:rPr>
              <w:t>因此粉尘</w:t>
            </w:r>
            <w:r>
              <w:rPr>
                <w:rFonts w:hint="eastAsia" w:ascii="Times New Roman" w:hAnsi="Times New Roman" w:eastAsia="宋体"/>
                <w:sz w:val="24"/>
                <w:szCs w:val="24"/>
                <w:lang w:eastAsia="zh-CN"/>
              </w:rPr>
              <w:t>排放量为</w:t>
            </w:r>
            <w:r>
              <w:rPr>
                <w:rFonts w:hint="eastAsia"/>
                <w:sz w:val="24"/>
                <w:szCs w:val="24"/>
                <w:lang w:val="en-US" w:eastAsia="zh-CN"/>
              </w:rPr>
              <w:t>1.66</w:t>
            </w:r>
            <w:r>
              <w:rPr>
                <w:rFonts w:hint="eastAsia" w:ascii="Times New Roman" w:hAnsi="Times New Roman" w:eastAsia="宋体"/>
                <w:sz w:val="24"/>
                <w:szCs w:val="24"/>
                <w:lang w:val="en-US" w:eastAsia="zh-CN"/>
              </w:rPr>
              <w:t>t/a，</w:t>
            </w:r>
            <w:r>
              <w:rPr>
                <w:rFonts w:hint="eastAsia" w:ascii="Times New Roman" w:hAnsi="Times New Roman" w:eastAsia="宋体"/>
                <w:sz w:val="24"/>
                <w:szCs w:val="24"/>
                <w:lang w:eastAsia="zh-CN"/>
              </w:rPr>
              <w:t>排放速率为</w:t>
            </w:r>
            <w:r>
              <w:rPr>
                <w:rFonts w:hint="eastAsia"/>
                <w:sz w:val="24"/>
                <w:szCs w:val="24"/>
                <w:lang w:val="en-US" w:eastAsia="zh-CN"/>
              </w:rPr>
              <w:t>0.21</w:t>
            </w:r>
            <w:r>
              <w:rPr>
                <w:rFonts w:hint="eastAsia" w:ascii="Times New Roman" w:hAnsi="Times New Roman" w:eastAsia="宋体"/>
                <w:sz w:val="24"/>
                <w:szCs w:val="24"/>
                <w:lang w:val="en-US" w:eastAsia="zh-CN"/>
              </w:rPr>
              <w:t>kg/h，</w:t>
            </w:r>
            <w:r>
              <w:rPr>
                <w:rFonts w:hint="eastAsia" w:ascii="Times New Roman" w:hAnsi="Times New Roman" w:eastAsia="宋体"/>
                <w:sz w:val="24"/>
                <w:szCs w:val="24"/>
              </w:rPr>
              <w:t>排放浓度约为</w:t>
            </w:r>
            <w:r>
              <w:rPr>
                <w:rFonts w:hint="eastAsia"/>
                <w:sz w:val="24"/>
                <w:szCs w:val="24"/>
                <w:lang w:val="en-US" w:eastAsia="zh-CN"/>
              </w:rPr>
              <w:t>12</w:t>
            </w:r>
            <w:r>
              <w:rPr>
                <w:rFonts w:hint="eastAsia" w:ascii="Times New Roman" w:hAnsi="Times New Roman" w:eastAsia="宋体"/>
                <w:sz w:val="24"/>
                <w:szCs w:val="24"/>
              </w:rPr>
              <w:t>mg/m</w:t>
            </w:r>
            <w:r>
              <w:rPr>
                <w:rFonts w:hint="eastAsia" w:ascii="Times New Roman" w:hAnsi="Times New Roman" w:eastAsia="宋体"/>
                <w:sz w:val="24"/>
                <w:szCs w:val="24"/>
                <w:vertAlign w:val="superscript"/>
              </w:rPr>
              <w:t>3</w:t>
            </w:r>
            <w:r>
              <w:rPr>
                <w:rFonts w:hint="eastAsia" w:ascii="Times New Roman" w:hAnsi="Times New Roman" w:eastAsia="宋体"/>
                <w:sz w:val="24"/>
                <w:szCs w:val="24"/>
                <w:lang w:val="en-US" w:eastAsia="zh-CN"/>
              </w:rPr>
              <w:t>。废气通过30m高排气筒（</w:t>
            </w:r>
            <w:r>
              <w:rPr>
                <w:rFonts w:hint="eastAsia"/>
                <w:sz w:val="24"/>
                <w:szCs w:val="24"/>
                <w:lang w:val="en-US" w:eastAsia="zh-CN"/>
              </w:rPr>
              <w:t>1</w:t>
            </w:r>
            <w:r>
              <w:rPr>
                <w:rFonts w:hint="eastAsia" w:ascii="Times New Roman" w:hAnsi="Times New Roman" w:eastAsia="宋体"/>
                <w:sz w:val="24"/>
                <w:szCs w:val="24"/>
                <w:lang w:val="en-US" w:eastAsia="zh-CN"/>
              </w:rPr>
              <w:t>#）排放。</w:t>
            </w:r>
          </w:p>
          <w:p>
            <w:pPr>
              <w:pStyle w:val="16"/>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②废砖破碎粉尘</w:t>
            </w:r>
          </w:p>
          <w:p>
            <w:pPr>
              <w:pStyle w:val="16"/>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废砖破碎在</w:t>
            </w:r>
            <w:r>
              <w:rPr>
                <w:rFonts w:hint="eastAsia" w:ascii="Times New Roman" w:hAnsi="Times New Roman" w:eastAsia="宋体"/>
                <w:sz w:val="24"/>
                <w:szCs w:val="24"/>
              </w:rPr>
              <w:t>生产过程中粉尘污染物产生速率约为</w:t>
            </w:r>
            <w:r>
              <w:rPr>
                <w:rFonts w:hint="eastAsia" w:ascii="Times New Roman" w:hAnsi="Times New Roman"/>
                <w:sz w:val="24"/>
                <w:szCs w:val="24"/>
                <w:lang w:val="en-US" w:eastAsia="zh-CN"/>
              </w:rPr>
              <w:t>30</w:t>
            </w:r>
            <w:r>
              <w:rPr>
                <w:rFonts w:hint="eastAsia" w:ascii="Times New Roman" w:hAnsi="Times New Roman" w:eastAsia="宋体"/>
                <w:sz w:val="24"/>
                <w:szCs w:val="24"/>
              </w:rPr>
              <w:t>kg/h，粉尘通过FGM96--5气箱脉冲袋式除尘器处理后排放，除尘器除尘效率约为9</w:t>
            </w:r>
            <w:r>
              <w:rPr>
                <w:rFonts w:hint="eastAsia" w:ascii="Times New Roman" w:hAnsi="Times New Roman" w:eastAsia="宋体"/>
                <w:sz w:val="24"/>
                <w:szCs w:val="24"/>
                <w:lang w:val="en-US" w:eastAsia="zh-CN"/>
              </w:rPr>
              <w:t>9</w:t>
            </w:r>
            <w:r>
              <w:rPr>
                <w:rFonts w:hint="eastAsia" w:ascii="Times New Roman" w:hAnsi="Times New Roman" w:eastAsia="宋体"/>
                <w:sz w:val="24"/>
                <w:szCs w:val="24"/>
              </w:rPr>
              <w:t>%，除尘器风量约为</w:t>
            </w:r>
            <w:r>
              <w:rPr>
                <w:rFonts w:hint="eastAsia" w:ascii="Times New Roman" w:hAnsi="Times New Roman" w:eastAsia="宋体"/>
                <w:sz w:val="24"/>
                <w:szCs w:val="24"/>
                <w:lang w:val="en-US" w:eastAsia="zh-CN"/>
              </w:rPr>
              <w:t>230</w:t>
            </w:r>
            <w:r>
              <w:rPr>
                <w:rFonts w:hint="eastAsia" w:ascii="Times New Roman" w:hAnsi="Times New Roman" w:eastAsia="宋体"/>
                <w:sz w:val="24"/>
                <w:szCs w:val="24"/>
              </w:rPr>
              <w:t>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w:t>
            </w:r>
            <w:r>
              <w:rPr>
                <w:rFonts w:hint="eastAsia" w:ascii="Times New Roman" w:hAnsi="Times New Roman" w:eastAsia="宋体"/>
                <w:sz w:val="24"/>
                <w:szCs w:val="24"/>
                <w:lang w:val="en-US" w:eastAsia="zh-CN"/>
              </w:rPr>
              <w:t>则粉尘产生量为</w:t>
            </w:r>
            <w:r>
              <w:rPr>
                <w:rFonts w:hint="eastAsia" w:ascii="Times New Roman" w:hAnsi="Times New Roman"/>
                <w:sz w:val="24"/>
                <w:szCs w:val="24"/>
                <w:lang w:val="en-US" w:eastAsia="zh-CN"/>
              </w:rPr>
              <w:t>237.6</w:t>
            </w:r>
            <w:r>
              <w:rPr>
                <w:rFonts w:hint="eastAsia" w:ascii="Times New Roman" w:hAnsi="Times New Roman" w:eastAsia="宋体"/>
                <w:sz w:val="24"/>
                <w:szCs w:val="24"/>
                <w:lang w:val="en-US" w:eastAsia="zh-CN"/>
              </w:rPr>
              <w:t>t/a，产生浓度为</w:t>
            </w:r>
            <w:r>
              <w:rPr>
                <w:rFonts w:hint="eastAsia" w:ascii="Times New Roman" w:hAnsi="Times New Roman"/>
                <w:sz w:val="24"/>
                <w:szCs w:val="24"/>
                <w:lang w:val="en-US" w:eastAsia="zh-CN"/>
              </w:rPr>
              <w:t>1304</w:t>
            </w:r>
            <w:r>
              <w:rPr>
                <w:rFonts w:hint="eastAsia" w:ascii="Times New Roman" w:hAnsi="Times New Roman" w:eastAsia="宋体"/>
                <w:sz w:val="24"/>
                <w:szCs w:val="24"/>
              </w:rPr>
              <w:t>mg/m</w:t>
            </w:r>
            <w:r>
              <w:rPr>
                <w:rFonts w:hint="eastAsia" w:ascii="Times New Roman" w:hAnsi="Times New Roman" w:eastAsia="宋体"/>
                <w:sz w:val="24"/>
                <w:szCs w:val="24"/>
                <w:vertAlign w:val="superscript"/>
              </w:rPr>
              <w:t>3</w:t>
            </w:r>
            <w:r>
              <w:rPr>
                <w:rFonts w:hint="eastAsia" w:ascii="Times New Roman" w:hAnsi="Times New Roman" w:eastAsia="宋体"/>
                <w:sz w:val="24"/>
                <w:szCs w:val="24"/>
                <w:vertAlign w:val="baseline"/>
                <w:lang w:eastAsia="zh-CN"/>
              </w:rPr>
              <w:t>，</w:t>
            </w:r>
            <w:r>
              <w:rPr>
                <w:rFonts w:hint="eastAsia" w:ascii="Times New Roman" w:hAnsi="Times New Roman" w:eastAsia="宋体"/>
                <w:sz w:val="24"/>
                <w:szCs w:val="24"/>
              </w:rPr>
              <w:t>因此粉尘</w:t>
            </w:r>
            <w:r>
              <w:rPr>
                <w:rFonts w:hint="eastAsia" w:ascii="Times New Roman" w:hAnsi="Times New Roman" w:eastAsia="宋体"/>
                <w:sz w:val="24"/>
                <w:szCs w:val="24"/>
                <w:lang w:eastAsia="zh-CN"/>
              </w:rPr>
              <w:t>排放量为</w:t>
            </w:r>
            <w:r>
              <w:rPr>
                <w:rFonts w:hint="eastAsia" w:ascii="Times New Roman" w:hAnsi="Times New Roman"/>
                <w:sz w:val="24"/>
                <w:szCs w:val="24"/>
                <w:lang w:val="en-US" w:eastAsia="zh-CN"/>
              </w:rPr>
              <w:t>2.38</w:t>
            </w:r>
            <w:r>
              <w:rPr>
                <w:rFonts w:hint="eastAsia" w:ascii="Times New Roman" w:hAnsi="Times New Roman" w:eastAsia="宋体"/>
                <w:sz w:val="24"/>
                <w:szCs w:val="24"/>
                <w:lang w:val="en-US" w:eastAsia="zh-CN"/>
              </w:rPr>
              <w:t>t/a，</w:t>
            </w:r>
            <w:r>
              <w:rPr>
                <w:rFonts w:hint="eastAsia" w:ascii="Times New Roman" w:hAnsi="Times New Roman" w:eastAsia="宋体"/>
                <w:sz w:val="24"/>
                <w:szCs w:val="24"/>
                <w:lang w:eastAsia="zh-CN"/>
              </w:rPr>
              <w:t>排放速率为</w:t>
            </w:r>
            <w:r>
              <w:rPr>
                <w:rFonts w:hint="eastAsia" w:ascii="Times New Roman" w:hAnsi="Times New Roman"/>
                <w:sz w:val="24"/>
                <w:szCs w:val="24"/>
                <w:lang w:val="en-US" w:eastAsia="zh-CN"/>
              </w:rPr>
              <w:t>0.3</w:t>
            </w:r>
            <w:r>
              <w:rPr>
                <w:rFonts w:hint="eastAsia" w:ascii="Times New Roman" w:hAnsi="Times New Roman" w:eastAsia="宋体"/>
                <w:sz w:val="24"/>
                <w:szCs w:val="24"/>
                <w:lang w:val="en-US" w:eastAsia="zh-CN"/>
              </w:rPr>
              <w:t>kg/h，</w:t>
            </w:r>
            <w:r>
              <w:rPr>
                <w:rFonts w:hint="eastAsia" w:ascii="Times New Roman" w:hAnsi="Times New Roman" w:eastAsia="宋体"/>
                <w:sz w:val="24"/>
                <w:szCs w:val="24"/>
              </w:rPr>
              <w:t>排放浓度约为</w:t>
            </w:r>
            <w:r>
              <w:rPr>
                <w:rFonts w:hint="eastAsia" w:ascii="Times New Roman" w:hAnsi="Times New Roman"/>
                <w:sz w:val="24"/>
                <w:szCs w:val="24"/>
                <w:lang w:val="en-US" w:eastAsia="zh-CN"/>
              </w:rPr>
              <w:t>13</w:t>
            </w:r>
            <w:r>
              <w:rPr>
                <w:rFonts w:hint="eastAsia" w:ascii="Times New Roman" w:hAnsi="Times New Roman" w:eastAsia="宋体"/>
                <w:sz w:val="24"/>
                <w:szCs w:val="24"/>
              </w:rPr>
              <w:t>mg/m</w:t>
            </w:r>
            <w:r>
              <w:rPr>
                <w:rFonts w:hint="eastAsia" w:ascii="Times New Roman" w:hAnsi="Times New Roman" w:eastAsia="宋体"/>
                <w:sz w:val="24"/>
                <w:szCs w:val="24"/>
                <w:vertAlign w:val="superscript"/>
              </w:rPr>
              <w:t>3</w:t>
            </w:r>
            <w:r>
              <w:rPr>
                <w:rFonts w:hint="eastAsia" w:ascii="Times New Roman" w:hAnsi="Times New Roman" w:eastAsia="宋体"/>
                <w:sz w:val="24"/>
                <w:szCs w:val="24"/>
                <w:lang w:val="en-US" w:eastAsia="zh-CN"/>
              </w:rPr>
              <w:t>。废气通过30m高排气筒（</w:t>
            </w:r>
            <w:r>
              <w:rPr>
                <w:rFonts w:hint="eastAsia" w:ascii="Times New Roman" w:hAnsi="Times New Roman"/>
                <w:sz w:val="24"/>
                <w:szCs w:val="24"/>
                <w:lang w:val="en-US" w:eastAsia="zh-CN"/>
              </w:rPr>
              <w:t>2</w:t>
            </w:r>
            <w:r>
              <w:rPr>
                <w:rFonts w:hint="eastAsia" w:ascii="Times New Roman" w:hAnsi="Times New Roman" w:eastAsia="宋体"/>
                <w:sz w:val="24"/>
                <w:szCs w:val="24"/>
                <w:lang w:val="en-US" w:eastAsia="zh-CN"/>
              </w:rPr>
              <w:t>#）排放。</w:t>
            </w:r>
          </w:p>
          <w:p>
            <w:pPr>
              <w:spacing w:line="480" w:lineRule="exact"/>
              <w:ind w:firstLine="540" w:firstLineChars="225"/>
              <w:rPr>
                <w:rFonts w:hint="default" w:ascii="Times New Roman" w:hAnsi="Times New Roman" w:eastAsia="宋体"/>
                <w:sz w:val="24"/>
                <w:szCs w:val="24"/>
                <w:lang w:val="en-US" w:eastAsia="zh-CN"/>
              </w:rPr>
            </w:pPr>
            <w:r>
              <w:rPr>
                <w:rFonts w:hint="eastAsia" w:ascii="Times New Roman" w:hAnsi="Times New Roman" w:eastAsia="宋体"/>
                <w:sz w:val="24"/>
                <w:szCs w:val="24"/>
                <w:lang w:val="en-US" w:eastAsia="zh-CN"/>
              </w:rPr>
              <w:t>③成型粉尘</w:t>
            </w:r>
          </w:p>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lang w:eastAsia="zh-CN"/>
              </w:rPr>
              <w:t>压砖机</w:t>
            </w:r>
            <w:r>
              <w:rPr>
                <w:rFonts w:hint="eastAsia" w:ascii="Times New Roman" w:hAnsi="Times New Roman" w:eastAsia="宋体"/>
                <w:sz w:val="24"/>
                <w:szCs w:val="24"/>
              </w:rPr>
              <w:t>在生产过程中粉尘污染物产生速率约为</w:t>
            </w:r>
            <w:r>
              <w:rPr>
                <w:rFonts w:hint="eastAsia"/>
                <w:sz w:val="24"/>
                <w:szCs w:val="24"/>
                <w:lang w:val="en-US" w:eastAsia="zh-CN"/>
              </w:rPr>
              <w:t>18</w:t>
            </w:r>
            <w:r>
              <w:rPr>
                <w:rFonts w:hint="eastAsia" w:ascii="Times New Roman" w:hAnsi="Times New Roman" w:eastAsia="宋体"/>
                <w:sz w:val="24"/>
                <w:szCs w:val="24"/>
              </w:rPr>
              <w:t>kg/h，粉尘通过PMD-7脉冲袋除尘器处理后排放，除尘器除尘效率约为9</w:t>
            </w:r>
            <w:r>
              <w:rPr>
                <w:rFonts w:hint="eastAsia" w:ascii="Times New Roman" w:hAnsi="Times New Roman" w:eastAsia="宋体"/>
                <w:sz w:val="24"/>
                <w:szCs w:val="24"/>
                <w:lang w:val="en-US" w:eastAsia="zh-CN"/>
              </w:rPr>
              <w:t>9</w:t>
            </w:r>
            <w:r>
              <w:rPr>
                <w:rFonts w:hint="eastAsia" w:ascii="Times New Roman" w:hAnsi="Times New Roman" w:eastAsia="宋体"/>
                <w:sz w:val="24"/>
                <w:szCs w:val="24"/>
              </w:rPr>
              <w:t>%，除尘器风量约为</w:t>
            </w:r>
            <w:r>
              <w:rPr>
                <w:rFonts w:hint="eastAsia" w:ascii="Times New Roman" w:hAnsi="Times New Roman" w:eastAsia="宋体"/>
                <w:sz w:val="24"/>
                <w:szCs w:val="24"/>
                <w:lang w:val="en-US" w:eastAsia="zh-CN"/>
              </w:rPr>
              <w:t>75</w:t>
            </w:r>
            <w:r>
              <w:rPr>
                <w:rFonts w:hint="eastAsia" w:ascii="Times New Roman" w:hAnsi="Times New Roman" w:eastAsia="宋体"/>
                <w:sz w:val="24"/>
                <w:szCs w:val="24"/>
              </w:rPr>
              <w:t>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w:t>
            </w:r>
            <w:r>
              <w:rPr>
                <w:rFonts w:hint="eastAsia" w:ascii="Times New Roman" w:hAnsi="Times New Roman" w:eastAsia="宋体"/>
                <w:sz w:val="24"/>
                <w:szCs w:val="24"/>
                <w:lang w:val="en-US" w:eastAsia="zh-CN"/>
              </w:rPr>
              <w:t>则粉尘产生量为</w:t>
            </w:r>
            <w:r>
              <w:rPr>
                <w:rFonts w:hint="eastAsia"/>
                <w:sz w:val="24"/>
                <w:szCs w:val="24"/>
                <w:lang w:val="en-US" w:eastAsia="zh-CN"/>
              </w:rPr>
              <w:t>142.56</w:t>
            </w:r>
            <w:r>
              <w:rPr>
                <w:rFonts w:hint="eastAsia" w:ascii="Times New Roman" w:hAnsi="Times New Roman" w:eastAsia="宋体"/>
                <w:sz w:val="24"/>
                <w:szCs w:val="24"/>
                <w:lang w:val="en-US" w:eastAsia="zh-CN"/>
              </w:rPr>
              <w:t>t/a，产生浓度为</w:t>
            </w:r>
            <w:r>
              <w:rPr>
                <w:rFonts w:hint="eastAsia"/>
                <w:sz w:val="24"/>
                <w:szCs w:val="24"/>
                <w:lang w:val="en-US" w:eastAsia="zh-CN"/>
              </w:rPr>
              <w:t>2400</w:t>
            </w:r>
            <w:r>
              <w:rPr>
                <w:rFonts w:hint="eastAsia" w:ascii="Times New Roman" w:hAnsi="Times New Roman" w:eastAsia="宋体"/>
                <w:sz w:val="24"/>
                <w:szCs w:val="24"/>
              </w:rPr>
              <w:t>mg/m</w:t>
            </w:r>
            <w:r>
              <w:rPr>
                <w:rFonts w:hint="eastAsia" w:ascii="Times New Roman" w:hAnsi="Times New Roman" w:eastAsia="宋体"/>
                <w:sz w:val="24"/>
                <w:szCs w:val="24"/>
                <w:vertAlign w:val="superscript"/>
              </w:rPr>
              <w:t>3</w:t>
            </w:r>
            <w:r>
              <w:rPr>
                <w:rFonts w:hint="eastAsia" w:ascii="Times New Roman" w:hAnsi="Times New Roman" w:eastAsia="宋体"/>
                <w:sz w:val="24"/>
                <w:szCs w:val="24"/>
                <w:vertAlign w:val="baseline"/>
                <w:lang w:eastAsia="zh-CN"/>
              </w:rPr>
              <w:t>，</w:t>
            </w:r>
            <w:r>
              <w:rPr>
                <w:rFonts w:hint="eastAsia" w:ascii="Times New Roman" w:hAnsi="Times New Roman" w:eastAsia="宋体"/>
                <w:sz w:val="24"/>
                <w:szCs w:val="24"/>
              </w:rPr>
              <w:t>因此粉尘</w:t>
            </w:r>
            <w:r>
              <w:rPr>
                <w:rFonts w:hint="eastAsia" w:ascii="Times New Roman" w:hAnsi="Times New Roman" w:eastAsia="宋体"/>
                <w:sz w:val="24"/>
                <w:szCs w:val="24"/>
                <w:lang w:eastAsia="zh-CN"/>
              </w:rPr>
              <w:t>排放量为</w:t>
            </w:r>
            <w:r>
              <w:rPr>
                <w:rFonts w:hint="eastAsia"/>
                <w:sz w:val="24"/>
                <w:szCs w:val="24"/>
                <w:lang w:val="en-US" w:eastAsia="zh-CN"/>
              </w:rPr>
              <w:t>1.43</w:t>
            </w:r>
            <w:r>
              <w:rPr>
                <w:rFonts w:hint="eastAsia" w:ascii="Times New Roman" w:hAnsi="Times New Roman" w:eastAsia="宋体"/>
                <w:sz w:val="24"/>
                <w:szCs w:val="24"/>
                <w:lang w:val="en-US" w:eastAsia="zh-CN"/>
              </w:rPr>
              <w:t>t/a，</w:t>
            </w:r>
            <w:r>
              <w:rPr>
                <w:rFonts w:hint="eastAsia" w:ascii="Times New Roman" w:hAnsi="Times New Roman" w:eastAsia="宋体"/>
                <w:sz w:val="24"/>
                <w:szCs w:val="24"/>
                <w:lang w:eastAsia="zh-CN"/>
              </w:rPr>
              <w:t>排放速率为</w:t>
            </w:r>
            <w:r>
              <w:rPr>
                <w:rFonts w:hint="eastAsia"/>
                <w:sz w:val="24"/>
                <w:szCs w:val="24"/>
                <w:lang w:val="en-US" w:eastAsia="zh-CN"/>
              </w:rPr>
              <w:t>0.18</w:t>
            </w:r>
            <w:r>
              <w:rPr>
                <w:rFonts w:hint="eastAsia" w:ascii="Times New Roman" w:hAnsi="Times New Roman" w:eastAsia="宋体"/>
                <w:sz w:val="24"/>
                <w:szCs w:val="24"/>
                <w:lang w:val="en-US" w:eastAsia="zh-CN"/>
              </w:rPr>
              <w:t>kg/h，</w:t>
            </w:r>
            <w:r>
              <w:rPr>
                <w:rFonts w:hint="eastAsia" w:ascii="Times New Roman" w:hAnsi="Times New Roman" w:eastAsia="宋体"/>
                <w:sz w:val="24"/>
                <w:szCs w:val="24"/>
              </w:rPr>
              <w:t>排放浓度约为</w:t>
            </w:r>
            <w:r>
              <w:rPr>
                <w:rFonts w:hint="eastAsia"/>
                <w:sz w:val="24"/>
                <w:szCs w:val="24"/>
                <w:lang w:val="en-US" w:eastAsia="zh-CN"/>
              </w:rPr>
              <w:t>24</w:t>
            </w:r>
            <w:r>
              <w:rPr>
                <w:rFonts w:hint="eastAsia" w:ascii="Times New Roman" w:hAnsi="Times New Roman" w:eastAsia="宋体"/>
                <w:sz w:val="24"/>
                <w:szCs w:val="24"/>
              </w:rPr>
              <w:t>mg/m</w:t>
            </w:r>
            <w:r>
              <w:rPr>
                <w:rFonts w:hint="eastAsia" w:ascii="Times New Roman" w:hAnsi="Times New Roman" w:eastAsia="宋体"/>
                <w:sz w:val="24"/>
                <w:szCs w:val="24"/>
                <w:vertAlign w:val="superscript"/>
              </w:rPr>
              <w:t>3</w:t>
            </w:r>
            <w:r>
              <w:rPr>
                <w:rFonts w:hint="eastAsia" w:ascii="Times New Roman" w:hAnsi="Times New Roman" w:eastAsia="宋体"/>
                <w:sz w:val="24"/>
                <w:szCs w:val="24"/>
                <w:lang w:val="en-US" w:eastAsia="zh-CN"/>
              </w:rPr>
              <w:t>。废气通过30m高排气筒（</w:t>
            </w:r>
            <w:r>
              <w:rPr>
                <w:rFonts w:hint="eastAsia"/>
                <w:sz w:val="24"/>
                <w:szCs w:val="24"/>
                <w:lang w:val="en-US" w:eastAsia="zh-CN"/>
              </w:rPr>
              <w:t>3</w:t>
            </w:r>
            <w:r>
              <w:rPr>
                <w:rFonts w:hint="eastAsia" w:ascii="Times New Roman" w:hAnsi="Times New Roman" w:eastAsia="宋体"/>
                <w:sz w:val="24"/>
                <w:szCs w:val="24"/>
                <w:lang w:val="en-US" w:eastAsia="zh-CN"/>
              </w:rPr>
              <w:t>#）排放。</w:t>
            </w:r>
          </w:p>
          <w:p>
            <w:pPr>
              <w:pStyle w:val="16"/>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④</w:t>
            </w:r>
            <w:r>
              <w:rPr>
                <w:rFonts w:hint="eastAsia" w:ascii="Times New Roman" w:hAnsi="Times New Roman"/>
                <w:color w:val="auto"/>
                <w:sz w:val="24"/>
                <w:szCs w:val="24"/>
                <w:lang w:val="en-US" w:eastAsia="zh-CN"/>
              </w:rPr>
              <w:t>干燥窑</w:t>
            </w:r>
            <w:r>
              <w:rPr>
                <w:rFonts w:hint="eastAsia" w:ascii="Times New Roman" w:hAnsi="Times New Roman" w:eastAsia="宋体"/>
                <w:color w:val="auto"/>
                <w:sz w:val="24"/>
                <w:szCs w:val="24"/>
                <w:lang w:val="en-US" w:eastAsia="zh-CN"/>
              </w:rPr>
              <w:t>粉尘</w:t>
            </w:r>
          </w:p>
          <w:p>
            <w:pPr>
              <w:spacing w:line="480" w:lineRule="exact"/>
              <w:ind w:firstLine="540" w:firstLineChars="225"/>
              <w:rPr>
                <w:rFonts w:hint="eastAsia" w:ascii="Times New Roman" w:hAnsi="Times New Roman" w:eastAsia="宋体"/>
                <w:sz w:val="24"/>
                <w:szCs w:val="24"/>
              </w:rPr>
            </w:pPr>
            <w:r>
              <w:rPr>
                <w:rFonts w:hint="eastAsia"/>
                <w:sz w:val="24"/>
                <w:szCs w:val="24"/>
                <w:lang w:val="en-US" w:eastAsia="zh-CN"/>
              </w:rPr>
              <w:t>干燥窑</w:t>
            </w:r>
            <w:r>
              <w:rPr>
                <w:rFonts w:hint="eastAsia" w:ascii="Times New Roman" w:hAnsi="Times New Roman" w:eastAsia="宋体"/>
                <w:sz w:val="24"/>
                <w:szCs w:val="24"/>
              </w:rPr>
              <w:t>在生产过程中粉尘污染物产生速率约为</w:t>
            </w:r>
            <w:r>
              <w:rPr>
                <w:rFonts w:hint="eastAsia"/>
                <w:sz w:val="24"/>
                <w:szCs w:val="24"/>
                <w:lang w:val="en-US" w:eastAsia="zh-CN"/>
              </w:rPr>
              <w:t>35</w:t>
            </w:r>
            <w:r>
              <w:rPr>
                <w:rFonts w:hint="eastAsia" w:ascii="Times New Roman" w:hAnsi="Times New Roman" w:eastAsia="宋体"/>
                <w:sz w:val="24"/>
                <w:szCs w:val="24"/>
              </w:rPr>
              <w:t>kg/h，粉尘通过</w:t>
            </w:r>
            <w:r>
              <w:rPr>
                <w:rFonts w:hint="eastAsia"/>
                <w:sz w:val="24"/>
                <w:szCs w:val="24"/>
                <w:lang w:val="en-US" w:eastAsia="zh-CN"/>
              </w:rPr>
              <w:t>除尘系统</w:t>
            </w:r>
            <w:r>
              <w:rPr>
                <w:rFonts w:hint="eastAsia" w:ascii="Times New Roman" w:hAnsi="Times New Roman" w:eastAsia="宋体"/>
                <w:sz w:val="24"/>
                <w:szCs w:val="24"/>
              </w:rPr>
              <w:t>处理后排放，除尘器除尘效率约为9</w:t>
            </w:r>
            <w:r>
              <w:rPr>
                <w:rFonts w:hint="eastAsia" w:ascii="Times New Roman" w:hAnsi="Times New Roman" w:eastAsia="宋体"/>
                <w:sz w:val="24"/>
                <w:szCs w:val="24"/>
                <w:lang w:val="en-US" w:eastAsia="zh-CN"/>
              </w:rPr>
              <w:t>9</w:t>
            </w:r>
            <w:r>
              <w:rPr>
                <w:rFonts w:hint="eastAsia" w:ascii="Times New Roman" w:hAnsi="Times New Roman" w:eastAsia="宋体"/>
                <w:sz w:val="24"/>
                <w:szCs w:val="24"/>
              </w:rPr>
              <w:t>%，除尘器风量约为</w:t>
            </w:r>
            <w:r>
              <w:rPr>
                <w:rFonts w:hint="eastAsia"/>
                <w:sz w:val="24"/>
                <w:szCs w:val="24"/>
                <w:lang w:val="en-US" w:eastAsia="zh-CN"/>
              </w:rPr>
              <w:t>300</w:t>
            </w:r>
            <w:r>
              <w:rPr>
                <w:rFonts w:hint="eastAsia" w:ascii="Times New Roman" w:hAnsi="Times New Roman" w:eastAsia="宋体"/>
                <w:sz w:val="24"/>
                <w:szCs w:val="24"/>
              </w:rPr>
              <w:t>00m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w:t>
            </w:r>
            <w:r>
              <w:rPr>
                <w:rFonts w:hint="eastAsia" w:ascii="Times New Roman" w:hAnsi="Times New Roman" w:eastAsia="宋体"/>
                <w:sz w:val="24"/>
                <w:szCs w:val="24"/>
                <w:lang w:val="en-US" w:eastAsia="zh-CN"/>
              </w:rPr>
              <w:t>则粉尘产生量为</w:t>
            </w:r>
            <w:r>
              <w:rPr>
                <w:rFonts w:hint="eastAsia"/>
                <w:sz w:val="24"/>
                <w:szCs w:val="24"/>
                <w:lang w:val="en-US" w:eastAsia="zh-CN"/>
              </w:rPr>
              <w:t>306.6</w:t>
            </w:r>
            <w:r>
              <w:rPr>
                <w:rFonts w:hint="eastAsia" w:ascii="Times New Roman" w:hAnsi="Times New Roman" w:eastAsia="宋体"/>
                <w:sz w:val="24"/>
                <w:szCs w:val="24"/>
                <w:lang w:val="en-US" w:eastAsia="zh-CN"/>
              </w:rPr>
              <w:t>t/a，产生浓度为</w:t>
            </w:r>
            <w:r>
              <w:rPr>
                <w:rFonts w:hint="eastAsia"/>
                <w:sz w:val="24"/>
                <w:szCs w:val="24"/>
                <w:lang w:val="en-US" w:eastAsia="zh-CN"/>
              </w:rPr>
              <w:t>1167</w:t>
            </w:r>
            <w:r>
              <w:rPr>
                <w:rFonts w:hint="eastAsia" w:ascii="Times New Roman" w:hAnsi="Times New Roman" w:eastAsia="宋体"/>
                <w:sz w:val="24"/>
                <w:szCs w:val="24"/>
              </w:rPr>
              <w:t>mg/m</w:t>
            </w:r>
            <w:r>
              <w:rPr>
                <w:rFonts w:hint="eastAsia" w:ascii="Times New Roman" w:hAnsi="Times New Roman" w:eastAsia="宋体"/>
                <w:sz w:val="24"/>
                <w:szCs w:val="24"/>
                <w:vertAlign w:val="superscript"/>
              </w:rPr>
              <w:t>3</w:t>
            </w:r>
            <w:r>
              <w:rPr>
                <w:rFonts w:hint="eastAsia" w:ascii="Times New Roman" w:hAnsi="Times New Roman" w:eastAsia="宋体"/>
                <w:sz w:val="24"/>
                <w:szCs w:val="24"/>
                <w:vertAlign w:val="baseline"/>
                <w:lang w:eastAsia="zh-CN"/>
              </w:rPr>
              <w:t>，</w:t>
            </w:r>
            <w:r>
              <w:rPr>
                <w:rFonts w:hint="eastAsia" w:ascii="Times New Roman" w:hAnsi="Times New Roman" w:eastAsia="宋体"/>
                <w:sz w:val="24"/>
                <w:szCs w:val="24"/>
              </w:rPr>
              <w:t>因此粉尘</w:t>
            </w:r>
            <w:r>
              <w:rPr>
                <w:rFonts w:hint="eastAsia" w:ascii="Times New Roman" w:hAnsi="Times New Roman" w:eastAsia="宋体"/>
                <w:sz w:val="24"/>
                <w:szCs w:val="24"/>
                <w:lang w:eastAsia="zh-CN"/>
              </w:rPr>
              <w:t>排放量为</w:t>
            </w:r>
            <w:r>
              <w:rPr>
                <w:rFonts w:hint="eastAsia"/>
                <w:sz w:val="24"/>
                <w:szCs w:val="24"/>
                <w:lang w:val="en-US" w:eastAsia="zh-CN"/>
              </w:rPr>
              <w:t>3.066</w:t>
            </w:r>
            <w:r>
              <w:rPr>
                <w:rFonts w:hint="eastAsia" w:ascii="Times New Roman" w:hAnsi="Times New Roman" w:eastAsia="宋体"/>
                <w:sz w:val="24"/>
                <w:szCs w:val="24"/>
                <w:lang w:val="en-US" w:eastAsia="zh-CN"/>
              </w:rPr>
              <w:t>t/a，</w:t>
            </w:r>
            <w:r>
              <w:rPr>
                <w:rFonts w:hint="eastAsia" w:ascii="Times New Roman" w:hAnsi="Times New Roman" w:eastAsia="宋体"/>
                <w:sz w:val="24"/>
                <w:szCs w:val="24"/>
                <w:lang w:eastAsia="zh-CN"/>
              </w:rPr>
              <w:t>排放速率为</w:t>
            </w:r>
            <w:r>
              <w:rPr>
                <w:rFonts w:hint="eastAsia"/>
                <w:sz w:val="24"/>
                <w:szCs w:val="24"/>
                <w:lang w:val="en-US" w:eastAsia="zh-CN"/>
              </w:rPr>
              <w:t>0.35</w:t>
            </w:r>
            <w:r>
              <w:rPr>
                <w:rFonts w:hint="eastAsia" w:ascii="Times New Roman" w:hAnsi="Times New Roman" w:eastAsia="宋体"/>
                <w:sz w:val="24"/>
                <w:szCs w:val="24"/>
                <w:lang w:val="en-US" w:eastAsia="zh-CN"/>
              </w:rPr>
              <w:t>kg/h，</w:t>
            </w:r>
            <w:r>
              <w:rPr>
                <w:rFonts w:hint="eastAsia" w:ascii="Times New Roman" w:hAnsi="Times New Roman" w:eastAsia="宋体"/>
                <w:sz w:val="24"/>
                <w:szCs w:val="24"/>
              </w:rPr>
              <w:t>排放浓度约为</w:t>
            </w:r>
            <w:r>
              <w:rPr>
                <w:rFonts w:hint="eastAsia"/>
                <w:sz w:val="24"/>
                <w:szCs w:val="24"/>
                <w:lang w:val="en-US" w:eastAsia="zh-CN"/>
              </w:rPr>
              <w:t>11.67</w:t>
            </w:r>
            <w:r>
              <w:rPr>
                <w:rFonts w:hint="eastAsia" w:ascii="Times New Roman" w:hAnsi="Times New Roman" w:eastAsia="宋体"/>
                <w:sz w:val="24"/>
                <w:szCs w:val="24"/>
              </w:rPr>
              <w:t>mg/m</w:t>
            </w:r>
            <w:r>
              <w:rPr>
                <w:rFonts w:hint="eastAsia" w:ascii="Times New Roman" w:hAnsi="Times New Roman" w:eastAsia="宋体"/>
                <w:sz w:val="24"/>
                <w:szCs w:val="24"/>
                <w:vertAlign w:val="superscript"/>
              </w:rPr>
              <w:t>3</w:t>
            </w:r>
            <w:r>
              <w:rPr>
                <w:rFonts w:hint="eastAsia" w:ascii="Times New Roman" w:hAnsi="Times New Roman" w:eastAsia="宋体"/>
                <w:sz w:val="24"/>
                <w:szCs w:val="24"/>
                <w:lang w:val="en-US" w:eastAsia="zh-CN"/>
              </w:rPr>
              <w:t>。废气通过30m高排气筒（</w:t>
            </w:r>
            <w:r>
              <w:rPr>
                <w:rFonts w:hint="eastAsia"/>
                <w:sz w:val="24"/>
                <w:szCs w:val="24"/>
                <w:lang w:val="en-US" w:eastAsia="zh-CN"/>
              </w:rPr>
              <w:t>4</w:t>
            </w:r>
            <w:r>
              <w:rPr>
                <w:rFonts w:hint="eastAsia" w:ascii="Times New Roman" w:hAnsi="Times New Roman" w:eastAsia="宋体"/>
                <w:sz w:val="24"/>
                <w:szCs w:val="24"/>
                <w:lang w:val="en-US" w:eastAsia="zh-CN"/>
              </w:rPr>
              <w:t>#）排放。</w:t>
            </w:r>
          </w:p>
          <w:p>
            <w:pPr>
              <w:pStyle w:val="16"/>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color w:val="auto"/>
                <w:sz w:val="24"/>
                <w:szCs w:val="24"/>
                <w:lang w:val="en-US" w:eastAsia="zh-CN"/>
              </w:rPr>
              <w:t>⑤</w:t>
            </w:r>
            <w:r>
              <w:rPr>
                <w:rFonts w:hint="eastAsia" w:ascii="Times New Roman" w:hAnsi="Times New Roman" w:eastAsia="宋体"/>
                <w:color w:val="auto"/>
                <w:sz w:val="24"/>
                <w:szCs w:val="24"/>
                <w:lang w:val="en-US" w:eastAsia="zh-CN"/>
              </w:rPr>
              <w:t>仓储粉尘</w:t>
            </w:r>
          </w:p>
          <w:p>
            <w:pPr>
              <w:pStyle w:val="16"/>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除尘粉仓、混合机退料仓、废砖仓在生产过程中粉尘污染物产生速率约为</w:t>
            </w:r>
            <w:r>
              <w:rPr>
                <w:rFonts w:hint="eastAsia" w:ascii="Times New Roman" w:hAnsi="Times New Roman" w:eastAsia="宋体"/>
                <w:color w:val="auto"/>
                <w:sz w:val="24"/>
                <w:szCs w:val="24"/>
                <w:lang w:val="en-US" w:eastAsia="zh-CN"/>
              </w:rPr>
              <w:t>20</w:t>
            </w:r>
            <w:r>
              <w:rPr>
                <w:rFonts w:hint="eastAsia" w:ascii="Times New Roman" w:hAnsi="Times New Roman" w:eastAsia="宋体"/>
                <w:color w:val="auto"/>
                <w:sz w:val="24"/>
                <w:szCs w:val="24"/>
              </w:rPr>
              <w:t>kg/h，</w:t>
            </w:r>
            <w:r>
              <w:rPr>
                <w:rFonts w:hint="eastAsia" w:ascii="Times New Roman" w:hAnsi="Times New Roman" w:eastAsia="宋体"/>
                <w:color w:val="auto"/>
                <w:sz w:val="24"/>
                <w:szCs w:val="24"/>
                <w:lang w:val="en-US" w:eastAsia="zh-CN"/>
              </w:rPr>
              <w:t>产生量约为158.4t/a，</w:t>
            </w:r>
            <w:r>
              <w:rPr>
                <w:rFonts w:hint="eastAsia" w:ascii="Times New Roman" w:hAnsi="Times New Roman" w:eastAsia="宋体"/>
                <w:color w:val="auto"/>
                <w:sz w:val="24"/>
                <w:szCs w:val="24"/>
              </w:rPr>
              <w:t>粉尘通过φ400仓顶滤筒收尘器处理后排放，除尘器除尘效率约为99%，因此粉尘排放速率约为</w:t>
            </w:r>
            <w:r>
              <w:rPr>
                <w:rFonts w:hint="eastAsia" w:ascii="Times New Roman" w:hAnsi="Times New Roman" w:eastAsia="宋体"/>
                <w:color w:val="auto"/>
                <w:sz w:val="24"/>
                <w:szCs w:val="24"/>
                <w:lang w:val="en-US" w:eastAsia="zh-CN"/>
              </w:rPr>
              <w:t>0.2</w:t>
            </w:r>
            <w:r>
              <w:rPr>
                <w:rFonts w:hint="eastAsia" w:ascii="Times New Roman" w:hAnsi="Times New Roman" w:eastAsia="宋体"/>
                <w:color w:val="auto"/>
                <w:sz w:val="24"/>
                <w:szCs w:val="24"/>
              </w:rPr>
              <w:t>kg/h，</w:t>
            </w:r>
            <w:r>
              <w:rPr>
                <w:rFonts w:hint="eastAsia" w:ascii="Times New Roman" w:hAnsi="Times New Roman" w:eastAsia="宋体"/>
                <w:sz w:val="24"/>
                <w:szCs w:val="24"/>
                <w:lang w:eastAsia="zh-CN"/>
              </w:rPr>
              <w:t>排放量为</w:t>
            </w:r>
            <w:r>
              <w:rPr>
                <w:rFonts w:hint="eastAsia" w:ascii="Times New Roman" w:hAnsi="Times New Roman" w:eastAsia="宋体"/>
                <w:sz w:val="24"/>
                <w:szCs w:val="24"/>
                <w:lang w:val="en-US" w:eastAsia="zh-CN"/>
              </w:rPr>
              <w:t>1.584t/a</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粉尘在车间内无组织排放。</w:t>
            </w:r>
          </w:p>
          <w:p>
            <w:pPr>
              <w:spacing w:line="480" w:lineRule="exact"/>
              <w:ind w:firstLine="540" w:firstLineChars="225"/>
              <w:rPr>
                <w:rFonts w:hint="eastAsia" w:ascii="Times New Roman" w:hAnsi="Times New Roman" w:eastAsia="宋体"/>
                <w:sz w:val="24"/>
                <w:szCs w:val="24"/>
              </w:rPr>
            </w:pPr>
            <w:r>
              <w:rPr>
                <w:rFonts w:hint="eastAsia" w:ascii="Times New Roman" w:hAnsi="Times New Roman" w:eastAsia="宋体"/>
                <w:sz w:val="24"/>
                <w:szCs w:val="24"/>
              </w:rPr>
              <w:t>拟建项目高铝砖生产线废气在采取以上措施后，废气排放可满足</w:t>
            </w:r>
            <w:r>
              <w:rPr>
                <w:rFonts w:hint="eastAsia" w:ascii="Times New Roman" w:hAnsi="Times New Roman" w:eastAsia="宋体"/>
                <w:sz w:val="24"/>
                <w:szCs w:val="24"/>
                <w:lang w:val="en-US" w:eastAsia="zh-CN"/>
              </w:rPr>
              <w:t>上海市</w:t>
            </w:r>
            <w:r>
              <w:rPr>
                <w:rFonts w:hint="eastAsia" w:ascii="Times New Roman" w:hAnsi="Times New Roman" w:eastAsia="宋体"/>
                <w:sz w:val="24"/>
                <w:szCs w:val="24"/>
              </w:rPr>
              <w:t>《</w:t>
            </w:r>
            <w:r>
              <w:rPr>
                <w:rFonts w:hint="eastAsia" w:ascii="Times New Roman" w:hAnsi="Times New Roman" w:eastAsia="宋体"/>
                <w:bCs/>
                <w:sz w:val="24"/>
                <w:szCs w:val="24"/>
              </w:rPr>
              <w:t>大气污染物综合排放标准</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D</w:t>
            </w:r>
            <w:r>
              <w:rPr>
                <w:rFonts w:hint="eastAsia" w:ascii="Times New Roman" w:hAnsi="Times New Roman" w:eastAsia="宋体"/>
                <w:sz w:val="24"/>
                <w:szCs w:val="24"/>
              </w:rPr>
              <w:t>B</w:t>
            </w:r>
            <w:r>
              <w:rPr>
                <w:rFonts w:hint="eastAsia" w:ascii="Times New Roman" w:hAnsi="Times New Roman" w:eastAsia="宋体"/>
                <w:sz w:val="24"/>
                <w:szCs w:val="24"/>
                <w:lang w:val="en-US" w:eastAsia="zh-CN"/>
              </w:rPr>
              <w:t>31/933</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2015</w:t>
            </w:r>
            <w:r>
              <w:rPr>
                <w:rFonts w:hint="eastAsia" w:ascii="Times New Roman" w:hAnsi="Times New Roman" w:eastAsia="宋体"/>
                <w:sz w:val="24"/>
                <w:szCs w:val="24"/>
              </w:rPr>
              <w:t>）中</w:t>
            </w:r>
            <w:r>
              <w:rPr>
                <w:rFonts w:hint="eastAsia" w:ascii="Times New Roman" w:hAnsi="Times New Roman" w:eastAsia="宋体"/>
                <w:sz w:val="24"/>
                <w:szCs w:val="24"/>
                <w:lang w:val="en-US" w:eastAsia="zh-CN"/>
              </w:rPr>
              <w:t>其他颗粒物</w:t>
            </w:r>
            <w:r>
              <w:rPr>
                <w:rFonts w:hint="eastAsia" w:ascii="Times New Roman" w:hAnsi="Times New Roman" w:eastAsia="宋体"/>
                <w:sz w:val="24"/>
                <w:szCs w:val="24"/>
              </w:rPr>
              <w:t>排放限值及《</w:t>
            </w:r>
            <w:r>
              <w:rPr>
                <w:rFonts w:hint="eastAsia" w:ascii="Times New Roman" w:hAnsi="Times New Roman" w:eastAsia="宋体"/>
                <w:bCs/>
                <w:sz w:val="24"/>
                <w:szCs w:val="24"/>
              </w:rPr>
              <w:t>工业炉窑大气污染物排放标准</w:t>
            </w:r>
            <w:r>
              <w:rPr>
                <w:rFonts w:hint="eastAsia" w:ascii="Times New Roman" w:hAnsi="Times New Roman" w:eastAsia="宋体"/>
                <w:sz w:val="24"/>
                <w:szCs w:val="24"/>
              </w:rPr>
              <w:t>》（</w:t>
            </w:r>
            <w:r>
              <w:rPr>
                <w:rFonts w:hint="eastAsia" w:ascii="Times New Roman" w:hAnsi="Times New Roman" w:eastAsia="宋体"/>
                <w:bCs/>
                <w:sz w:val="24"/>
                <w:szCs w:val="24"/>
              </w:rPr>
              <w:t>GB9078-1996</w:t>
            </w:r>
            <w:r>
              <w:rPr>
                <w:rFonts w:hint="eastAsia" w:ascii="Times New Roman" w:hAnsi="Times New Roman" w:eastAsia="宋体"/>
                <w:sz w:val="24"/>
                <w:szCs w:val="24"/>
              </w:rPr>
              <w:t>）中相关要求。拟建项目高铝砖生产线废气污染源及其防治措施见</w:t>
            </w:r>
            <w:r>
              <w:rPr>
                <w:rFonts w:hint="eastAsia" w:ascii="Times New Roman" w:hAnsi="Times New Roman" w:eastAsia="宋体"/>
                <w:sz w:val="24"/>
                <w:szCs w:val="24"/>
                <w:lang w:eastAsia="zh-CN"/>
              </w:rPr>
              <w:t>下表</w:t>
            </w:r>
            <w:r>
              <w:rPr>
                <w:rFonts w:hint="eastAsia" w:ascii="Times New Roman" w:hAnsi="Times New Roman" w:eastAsia="宋体"/>
                <w:sz w:val="24"/>
                <w:szCs w:val="24"/>
              </w:rPr>
              <w:t>所示。</w:t>
            </w:r>
          </w:p>
          <w:p>
            <w:pPr>
              <w:spacing w:line="480" w:lineRule="exact"/>
              <w:jc w:val="center"/>
              <w:rPr>
                <w:rFonts w:hint="eastAsia" w:ascii="Times New Roman" w:hAnsi="Times New Roman" w:eastAsia="宋体"/>
                <w:snapToGrid w:val="0"/>
                <w:sz w:val="24"/>
                <w:szCs w:val="24"/>
              </w:rPr>
            </w:pPr>
          </w:p>
          <w:p>
            <w:pPr>
              <w:spacing w:line="480" w:lineRule="exact"/>
              <w:jc w:val="center"/>
              <w:rPr>
                <w:rFonts w:hint="eastAsia" w:ascii="Times New Roman" w:hAnsi="Times New Roman" w:eastAsia="宋体"/>
                <w:snapToGrid w:val="0"/>
                <w:sz w:val="24"/>
                <w:szCs w:val="24"/>
              </w:rPr>
            </w:pPr>
          </w:p>
          <w:p>
            <w:pPr>
              <w:spacing w:line="480" w:lineRule="exact"/>
              <w:jc w:val="center"/>
              <w:rPr>
                <w:rFonts w:hint="eastAsia" w:ascii="Times New Roman" w:hAnsi="Times New Roman" w:eastAsia="宋体"/>
                <w:snapToGrid w:val="0"/>
                <w:sz w:val="24"/>
                <w:szCs w:val="24"/>
              </w:rPr>
            </w:pPr>
          </w:p>
          <w:p>
            <w:pPr>
              <w:spacing w:line="480" w:lineRule="exact"/>
              <w:jc w:val="center"/>
              <w:rPr>
                <w:rFonts w:hint="eastAsia" w:ascii="Times New Roman" w:hAnsi="Times New Roman" w:eastAsia="宋体"/>
                <w:snapToGrid w:val="0"/>
                <w:sz w:val="24"/>
                <w:szCs w:val="24"/>
              </w:rPr>
            </w:pPr>
          </w:p>
          <w:p>
            <w:pPr>
              <w:spacing w:line="480" w:lineRule="exact"/>
              <w:jc w:val="center"/>
              <w:rPr>
                <w:rFonts w:hint="eastAsia" w:ascii="Times New Roman" w:hAnsi="Times New Roman" w:eastAsia="宋体"/>
                <w:snapToGrid w:val="0"/>
                <w:sz w:val="24"/>
                <w:szCs w:val="24"/>
              </w:rPr>
            </w:pPr>
          </w:p>
          <w:p>
            <w:pPr>
              <w:spacing w:line="480" w:lineRule="exact"/>
              <w:jc w:val="center"/>
              <w:rPr>
                <w:rFonts w:hint="eastAsia" w:ascii="Times New Roman" w:hAnsi="Times New Roman" w:eastAsia="宋体"/>
                <w:snapToGrid w:val="0"/>
                <w:sz w:val="24"/>
                <w:szCs w:val="24"/>
              </w:rPr>
            </w:pPr>
          </w:p>
          <w:p>
            <w:pPr>
              <w:spacing w:line="480" w:lineRule="exact"/>
              <w:jc w:val="center"/>
              <w:rPr>
                <w:rFonts w:hint="eastAsia" w:ascii="Times New Roman" w:hAnsi="Times New Roman" w:eastAsia="宋体"/>
                <w:snapToGrid w:val="0"/>
                <w:sz w:val="24"/>
                <w:szCs w:val="24"/>
              </w:rPr>
            </w:pPr>
          </w:p>
          <w:bookmarkEnd w:id="10"/>
          <w:p>
            <w:pPr>
              <w:widowControl/>
              <w:spacing w:line="360" w:lineRule="auto"/>
              <w:rPr>
                <w:rFonts w:ascii="Times New Roman" w:hAnsi="Times New Roman" w:eastAsia="宋体"/>
                <w:color w:val="000000"/>
                <w:sz w:val="24"/>
                <w:szCs w:val="24"/>
                <w:highlight w:val="none"/>
              </w:rPr>
            </w:pPr>
          </w:p>
        </w:tc>
      </w:tr>
    </w:tbl>
    <w:p>
      <w:pPr>
        <w:pStyle w:val="3"/>
        <w:keepNext w:val="0"/>
        <w:keepLines w:val="0"/>
        <w:ind w:left="-358" w:leftChars="-256" w:hanging="180" w:hangingChars="64"/>
        <w:rPr>
          <w:rFonts w:ascii="Times New Roman" w:hAnsi="Times New Roman" w:eastAsia="宋体"/>
          <w:color w:val="000000"/>
          <w:sz w:val="28"/>
          <w:highlight w:val="yellow"/>
        </w:rPr>
        <w:sectPr>
          <w:pgSz w:w="11906" w:h="16838"/>
          <w:pgMar w:top="1440" w:right="1800" w:bottom="1559" w:left="1800" w:header="851" w:footer="992" w:gutter="0"/>
          <w:cols w:space="720" w:num="1"/>
          <w:rtlGutter w:val="0"/>
          <w:docGrid w:type="lines" w:linePitch="312" w:charSpace="0"/>
        </w:sectPr>
      </w:pPr>
    </w:p>
    <w:p>
      <w:pPr>
        <w:spacing w:line="480" w:lineRule="exact"/>
        <w:jc w:val="center"/>
        <w:rPr>
          <w:rFonts w:hint="eastAsia" w:ascii="Times New Roman" w:hAnsi="Times New Roman" w:eastAsia="宋体"/>
          <w:snapToGrid w:val="0"/>
          <w:sz w:val="24"/>
          <w:szCs w:val="24"/>
        </w:rPr>
      </w:pPr>
      <w:r>
        <w:rPr>
          <w:rFonts w:hint="eastAsia" w:ascii="Times New Roman" w:hAnsi="Times New Roman" w:eastAsia="宋体"/>
          <w:snapToGrid w:val="0"/>
          <w:sz w:val="24"/>
          <w:szCs w:val="24"/>
        </w:rPr>
        <w:t>表</w:t>
      </w:r>
      <w:r>
        <w:rPr>
          <w:rFonts w:hint="eastAsia" w:ascii="Times New Roman" w:hAnsi="Times New Roman" w:eastAsia="宋体"/>
          <w:snapToGrid w:val="0"/>
          <w:sz w:val="24"/>
          <w:szCs w:val="24"/>
          <w:lang w:val="en-US" w:eastAsia="zh-CN"/>
        </w:rPr>
        <w:t>5-3</w:t>
      </w:r>
      <w:r>
        <w:rPr>
          <w:rFonts w:hint="eastAsia" w:ascii="Times New Roman" w:hAnsi="Times New Roman" w:eastAsia="宋体"/>
          <w:snapToGrid w:val="0"/>
          <w:sz w:val="24"/>
          <w:szCs w:val="24"/>
        </w:rPr>
        <w:t xml:space="preserve">  拟建项目</w:t>
      </w:r>
      <w:r>
        <w:rPr>
          <w:rFonts w:hint="eastAsia" w:ascii="Times New Roman" w:hAnsi="Times New Roman" w:eastAsia="宋体"/>
          <w:sz w:val="24"/>
          <w:szCs w:val="24"/>
        </w:rPr>
        <w:t>生产过程中废气</w:t>
      </w:r>
      <w:r>
        <w:rPr>
          <w:rFonts w:hint="eastAsia" w:ascii="Times New Roman" w:hAnsi="Times New Roman" w:eastAsia="宋体"/>
          <w:snapToGrid w:val="0"/>
          <w:sz w:val="24"/>
          <w:szCs w:val="24"/>
        </w:rPr>
        <w:t>污染源强及治理措施一览表</w:t>
      </w:r>
    </w:p>
    <w:tbl>
      <w:tblPr>
        <w:tblStyle w:val="28"/>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69"/>
        <w:gridCol w:w="1181"/>
        <w:gridCol w:w="979"/>
        <w:gridCol w:w="1201"/>
        <w:gridCol w:w="1190"/>
        <w:gridCol w:w="1176"/>
        <w:gridCol w:w="1046"/>
        <w:gridCol w:w="2430"/>
        <w:gridCol w:w="1072"/>
        <w:gridCol w:w="866"/>
        <w:gridCol w:w="1128"/>
        <w:gridCol w:w="11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 w:hRule="atLeast"/>
        </w:trPr>
        <w:tc>
          <w:tcPr>
            <w:tcW w:w="238"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序号</w:t>
            </w:r>
          </w:p>
        </w:tc>
        <w:tc>
          <w:tcPr>
            <w:tcW w:w="420"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污染源</w:t>
            </w:r>
          </w:p>
        </w:tc>
        <w:tc>
          <w:tcPr>
            <w:tcW w:w="348"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污染物</w:t>
            </w:r>
          </w:p>
        </w:tc>
        <w:tc>
          <w:tcPr>
            <w:tcW w:w="427"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产生量</w:t>
            </w:r>
            <w:r>
              <w:rPr>
                <w:rFonts w:hint="eastAsia" w:ascii="Times New Roman" w:hAnsi="Times New Roman" w:eastAsia="宋体"/>
                <w:color w:val="auto"/>
                <w:sz w:val="21"/>
                <w:szCs w:val="21"/>
                <w:lang w:eastAsia="zh-CN"/>
              </w:rPr>
              <w:t>（</w:t>
            </w:r>
            <w:r>
              <w:rPr>
                <w:rFonts w:hint="eastAsia" w:ascii="Times New Roman" w:hAnsi="Times New Roman" w:eastAsia="宋体"/>
                <w:color w:val="auto"/>
                <w:sz w:val="21"/>
                <w:szCs w:val="21"/>
                <w:lang w:val="en-US" w:eastAsia="zh-CN"/>
              </w:rPr>
              <w:t>t/a</w:t>
            </w:r>
            <w:r>
              <w:rPr>
                <w:rFonts w:hint="eastAsia" w:ascii="Times New Roman" w:hAnsi="Times New Roman" w:eastAsia="宋体"/>
                <w:color w:val="auto"/>
                <w:sz w:val="21"/>
                <w:szCs w:val="21"/>
                <w:lang w:eastAsia="zh-CN"/>
              </w:rPr>
              <w:t>）</w:t>
            </w:r>
          </w:p>
        </w:tc>
        <w:tc>
          <w:tcPr>
            <w:tcW w:w="423"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产生</w:t>
            </w:r>
            <w:r>
              <w:rPr>
                <w:rFonts w:hint="eastAsia" w:ascii="Times New Roman" w:hAnsi="Times New Roman" w:eastAsia="宋体"/>
                <w:color w:val="auto"/>
                <w:sz w:val="21"/>
                <w:szCs w:val="21"/>
                <w:lang w:eastAsia="zh-CN"/>
              </w:rPr>
              <w:t>速率</w:t>
            </w:r>
            <w:r>
              <w:rPr>
                <w:rFonts w:hint="eastAsia" w:ascii="Times New Roman" w:hAnsi="Times New Roman" w:eastAsia="宋体"/>
                <w:color w:val="auto"/>
                <w:sz w:val="21"/>
                <w:szCs w:val="21"/>
              </w:rPr>
              <w:t>(</w:t>
            </w:r>
            <w:r>
              <w:rPr>
                <w:rFonts w:hint="eastAsia" w:ascii="Times New Roman" w:hAnsi="Times New Roman" w:eastAsia="宋体"/>
                <w:color w:val="auto"/>
                <w:sz w:val="21"/>
                <w:szCs w:val="21"/>
                <w:lang w:val="en-US" w:eastAsia="zh-CN"/>
              </w:rPr>
              <w:t>kg</w:t>
            </w:r>
            <w:r>
              <w:rPr>
                <w:rFonts w:hint="eastAsia" w:ascii="Times New Roman" w:hAnsi="Times New Roman" w:eastAsia="宋体"/>
                <w:color w:val="auto"/>
                <w:sz w:val="21"/>
                <w:szCs w:val="21"/>
              </w:rPr>
              <w:t>/</w:t>
            </w:r>
            <w:r>
              <w:rPr>
                <w:rFonts w:hint="eastAsia" w:ascii="Times New Roman" w:hAnsi="Times New Roman" w:eastAsia="宋体"/>
                <w:color w:val="auto"/>
                <w:sz w:val="21"/>
                <w:szCs w:val="21"/>
                <w:lang w:val="en-US" w:eastAsia="zh-CN"/>
              </w:rPr>
              <w:t>h</w:t>
            </w:r>
            <w:r>
              <w:rPr>
                <w:rFonts w:hint="eastAsia" w:ascii="Times New Roman" w:hAnsi="Times New Roman" w:eastAsia="宋体"/>
                <w:color w:val="auto"/>
                <w:sz w:val="21"/>
                <w:szCs w:val="21"/>
              </w:rPr>
              <w:t>)</w:t>
            </w:r>
          </w:p>
        </w:tc>
        <w:tc>
          <w:tcPr>
            <w:tcW w:w="418"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产生</w:t>
            </w:r>
            <w:r>
              <w:rPr>
                <w:rFonts w:hint="eastAsia" w:ascii="Times New Roman" w:hAnsi="Times New Roman" w:eastAsia="宋体"/>
                <w:color w:val="auto"/>
                <w:sz w:val="21"/>
                <w:szCs w:val="21"/>
              </w:rPr>
              <w:t>浓度</w:t>
            </w:r>
          </w:p>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(mg/m</w:t>
            </w:r>
            <w:r>
              <w:rPr>
                <w:rFonts w:hint="eastAsia" w:ascii="Times New Roman" w:hAnsi="Times New Roman" w:eastAsia="宋体"/>
                <w:color w:val="auto"/>
                <w:sz w:val="21"/>
                <w:szCs w:val="21"/>
                <w:vertAlign w:val="superscript"/>
              </w:rPr>
              <w:t>3</w:t>
            </w:r>
            <w:r>
              <w:rPr>
                <w:rFonts w:hint="eastAsia" w:ascii="Times New Roman" w:hAnsi="Times New Roman" w:eastAsia="宋体"/>
                <w:color w:val="auto"/>
                <w:sz w:val="21"/>
                <w:szCs w:val="21"/>
              </w:rPr>
              <w:t>)</w:t>
            </w:r>
          </w:p>
        </w:tc>
        <w:tc>
          <w:tcPr>
            <w:tcW w:w="372"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排气量（m</w:t>
            </w:r>
            <w:r>
              <w:rPr>
                <w:rFonts w:hint="eastAsia" w:ascii="Times New Roman" w:hAnsi="Times New Roman" w:eastAsia="宋体"/>
                <w:color w:val="auto"/>
                <w:sz w:val="21"/>
                <w:szCs w:val="21"/>
                <w:vertAlign w:val="superscript"/>
              </w:rPr>
              <w:t>3</w:t>
            </w:r>
            <w:r>
              <w:rPr>
                <w:rFonts w:hint="eastAsia" w:ascii="Times New Roman" w:hAnsi="Times New Roman" w:eastAsia="宋体"/>
                <w:color w:val="auto"/>
                <w:sz w:val="21"/>
                <w:szCs w:val="21"/>
              </w:rPr>
              <w:t>/h）</w:t>
            </w:r>
          </w:p>
        </w:tc>
        <w:tc>
          <w:tcPr>
            <w:tcW w:w="864"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治理措施</w:t>
            </w:r>
          </w:p>
        </w:tc>
        <w:tc>
          <w:tcPr>
            <w:tcW w:w="381"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处理效率</w:t>
            </w:r>
          </w:p>
        </w:tc>
        <w:tc>
          <w:tcPr>
            <w:tcW w:w="308"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eastAsia="zh-CN"/>
              </w:rPr>
              <w:t>排放量（</w:t>
            </w:r>
            <w:r>
              <w:rPr>
                <w:rFonts w:hint="eastAsia" w:ascii="Times New Roman" w:hAnsi="Times New Roman" w:eastAsia="宋体"/>
                <w:color w:val="auto"/>
                <w:sz w:val="21"/>
                <w:szCs w:val="21"/>
                <w:lang w:val="en-US" w:eastAsia="zh-CN"/>
              </w:rPr>
              <w:t>t/a</w:t>
            </w:r>
            <w:r>
              <w:rPr>
                <w:rFonts w:hint="eastAsia" w:ascii="Times New Roman" w:hAnsi="Times New Roman" w:eastAsia="宋体"/>
                <w:color w:val="auto"/>
                <w:sz w:val="21"/>
                <w:szCs w:val="21"/>
                <w:lang w:eastAsia="zh-CN"/>
              </w:rPr>
              <w:t>）</w:t>
            </w:r>
          </w:p>
        </w:tc>
        <w:tc>
          <w:tcPr>
            <w:tcW w:w="401"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排放速率</w:t>
            </w:r>
            <w:r>
              <w:rPr>
                <w:rFonts w:hint="eastAsia" w:ascii="Times New Roman" w:hAnsi="Times New Roman" w:eastAsia="宋体"/>
                <w:color w:val="auto"/>
                <w:sz w:val="21"/>
                <w:szCs w:val="21"/>
              </w:rPr>
              <w:t>(</w:t>
            </w:r>
            <w:r>
              <w:rPr>
                <w:rFonts w:hint="eastAsia" w:ascii="Times New Roman" w:hAnsi="Times New Roman" w:eastAsia="宋体"/>
                <w:color w:val="auto"/>
                <w:sz w:val="21"/>
                <w:szCs w:val="21"/>
                <w:lang w:val="en-US" w:eastAsia="zh-CN"/>
              </w:rPr>
              <w:t>kg</w:t>
            </w:r>
            <w:r>
              <w:rPr>
                <w:rFonts w:hint="eastAsia" w:ascii="Times New Roman" w:hAnsi="Times New Roman" w:eastAsia="宋体"/>
                <w:color w:val="auto"/>
                <w:sz w:val="21"/>
                <w:szCs w:val="21"/>
              </w:rPr>
              <w:t>/</w:t>
            </w:r>
            <w:r>
              <w:rPr>
                <w:rFonts w:hint="eastAsia" w:ascii="Times New Roman" w:hAnsi="Times New Roman" w:eastAsia="宋体"/>
                <w:color w:val="auto"/>
                <w:sz w:val="21"/>
                <w:szCs w:val="21"/>
                <w:lang w:val="en-US" w:eastAsia="zh-CN"/>
              </w:rPr>
              <w:t>h</w:t>
            </w:r>
            <w:r>
              <w:rPr>
                <w:rFonts w:hint="eastAsia" w:ascii="Times New Roman" w:hAnsi="Times New Roman" w:eastAsia="宋体"/>
                <w:color w:val="auto"/>
                <w:sz w:val="21"/>
                <w:szCs w:val="21"/>
              </w:rPr>
              <w:t>)</w:t>
            </w:r>
          </w:p>
        </w:tc>
        <w:tc>
          <w:tcPr>
            <w:tcW w:w="394"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排放浓度</w:t>
            </w:r>
          </w:p>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rPr>
              <w:t>(mg/m</w:t>
            </w:r>
            <w:r>
              <w:rPr>
                <w:rFonts w:hint="eastAsia" w:ascii="Times New Roman" w:hAnsi="Times New Roman" w:eastAsia="宋体"/>
                <w:color w:val="auto"/>
                <w:sz w:val="21"/>
                <w:szCs w:val="21"/>
                <w:vertAlign w:val="superscript"/>
              </w:rPr>
              <w:t>3</w:t>
            </w:r>
            <w:r>
              <w:rPr>
                <w:rFonts w:hint="eastAsia" w:ascii="Times New Roman" w:hAnsi="Times New Roman" w:eastAsia="宋体"/>
                <w:color w:val="auto"/>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23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val="en-US" w:eastAsia="zh-CN"/>
              </w:rPr>
              <w:t>1</w:t>
            </w:r>
          </w:p>
        </w:tc>
        <w:tc>
          <w:tcPr>
            <w:tcW w:w="420"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上料配料及缓冲仓</w:t>
            </w: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粉尘</w:t>
            </w:r>
          </w:p>
        </w:tc>
        <w:tc>
          <w:tcPr>
            <w:tcW w:w="427"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166.32</w:t>
            </w:r>
          </w:p>
        </w:tc>
        <w:tc>
          <w:tcPr>
            <w:tcW w:w="423"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21</w:t>
            </w:r>
          </w:p>
        </w:tc>
        <w:tc>
          <w:tcPr>
            <w:tcW w:w="418"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1167</w:t>
            </w:r>
          </w:p>
        </w:tc>
        <w:tc>
          <w:tcPr>
            <w:tcW w:w="372"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18000</w:t>
            </w:r>
          </w:p>
        </w:tc>
        <w:tc>
          <w:tcPr>
            <w:tcW w:w="864" w:type="pc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FGM64-5气箱脉冲袋式除尘器</w:t>
            </w:r>
          </w:p>
        </w:tc>
        <w:tc>
          <w:tcPr>
            <w:tcW w:w="381"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9</w:t>
            </w:r>
            <w:r>
              <w:rPr>
                <w:rFonts w:hint="eastAsia" w:ascii="Times New Roman" w:hAnsi="Times New Roman" w:eastAsia="宋体"/>
                <w:color w:val="auto"/>
                <w:sz w:val="21"/>
                <w:szCs w:val="21"/>
                <w:lang w:val="en-US" w:eastAsia="zh-CN"/>
              </w:rPr>
              <w:t>9</w:t>
            </w:r>
            <w:r>
              <w:rPr>
                <w:rFonts w:hint="eastAsia" w:ascii="Times New Roman" w:hAnsi="Times New Roman" w:eastAsia="宋体"/>
                <w:color w:val="auto"/>
                <w:sz w:val="21"/>
                <w:szCs w:val="21"/>
              </w:rPr>
              <w:t>%</w:t>
            </w:r>
          </w:p>
        </w:tc>
        <w:tc>
          <w:tcPr>
            <w:tcW w:w="308" w:type="pct"/>
            <w:tcBorders>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1.66</w:t>
            </w:r>
          </w:p>
        </w:tc>
        <w:tc>
          <w:tcPr>
            <w:tcW w:w="401" w:type="pct"/>
            <w:tcBorders>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rPr>
            </w:pPr>
            <w:r>
              <w:rPr>
                <w:rFonts w:hint="eastAsia"/>
                <w:color w:val="auto"/>
                <w:sz w:val="21"/>
                <w:szCs w:val="21"/>
                <w:lang w:val="en-US" w:eastAsia="zh-CN"/>
              </w:rPr>
              <w:t>0.21</w:t>
            </w:r>
          </w:p>
        </w:tc>
        <w:tc>
          <w:tcPr>
            <w:tcW w:w="394" w:type="pct"/>
            <w:tcBorders>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23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val="en-US" w:eastAsia="zh-CN"/>
              </w:rPr>
              <w:t>2</w:t>
            </w:r>
          </w:p>
        </w:tc>
        <w:tc>
          <w:tcPr>
            <w:tcW w:w="420"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废砖破碎</w:t>
            </w: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粉尘</w:t>
            </w:r>
          </w:p>
        </w:tc>
        <w:tc>
          <w:tcPr>
            <w:tcW w:w="427"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237.6</w:t>
            </w:r>
          </w:p>
        </w:tc>
        <w:tc>
          <w:tcPr>
            <w:tcW w:w="423"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30</w:t>
            </w:r>
          </w:p>
        </w:tc>
        <w:tc>
          <w:tcPr>
            <w:tcW w:w="418"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1304</w:t>
            </w:r>
          </w:p>
        </w:tc>
        <w:tc>
          <w:tcPr>
            <w:tcW w:w="372"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23000</w:t>
            </w:r>
          </w:p>
        </w:tc>
        <w:tc>
          <w:tcPr>
            <w:tcW w:w="864" w:type="pct"/>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FGM96--5气箱脉冲袋式除尘器</w:t>
            </w:r>
          </w:p>
        </w:tc>
        <w:tc>
          <w:tcPr>
            <w:tcW w:w="381" w:type="pc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9</w:t>
            </w:r>
            <w:r>
              <w:rPr>
                <w:rFonts w:hint="eastAsia" w:ascii="Times New Roman" w:hAnsi="Times New Roman" w:eastAsia="宋体"/>
                <w:color w:val="auto"/>
                <w:sz w:val="21"/>
                <w:szCs w:val="21"/>
                <w:lang w:val="en-US" w:eastAsia="zh-CN"/>
              </w:rPr>
              <w:t>9</w:t>
            </w:r>
            <w:r>
              <w:rPr>
                <w:rFonts w:hint="eastAsia" w:ascii="Times New Roman" w:hAnsi="Times New Roman" w:eastAsia="宋体"/>
                <w:color w:val="auto"/>
                <w:sz w:val="21"/>
                <w:szCs w:val="21"/>
              </w:rPr>
              <w:t>%</w:t>
            </w:r>
          </w:p>
        </w:tc>
        <w:tc>
          <w:tcPr>
            <w:tcW w:w="308"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2.38</w:t>
            </w:r>
          </w:p>
        </w:tc>
        <w:tc>
          <w:tcPr>
            <w:tcW w:w="401"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rPr>
            </w:pPr>
            <w:r>
              <w:rPr>
                <w:rFonts w:hint="eastAsia"/>
                <w:color w:val="auto"/>
                <w:sz w:val="21"/>
                <w:szCs w:val="21"/>
                <w:lang w:val="en-US" w:eastAsia="zh-CN"/>
              </w:rPr>
              <w:t>0.3</w:t>
            </w:r>
          </w:p>
        </w:tc>
        <w:tc>
          <w:tcPr>
            <w:tcW w:w="394"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 w:hRule="atLeast"/>
        </w:trPr>
        <w:tc>
          <w:tcPr>
            <w:tcW w:w="23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val="en-US" w:eastAsia="zh-CN"/>
              </w:rPr>
              <w:t>3</w:t>
            </w:r>
          </w:p>
        </w:tc>
        <w:tc>
          <w:tcPr>
            <w:tcW w:w="420" w:type="pc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压砖机</w:t>
            </w:r>
          </w:p>
        </w:tc>
        <w:tc>
          <w:tcPr>
            <w:tcW w:w="348" w:type="pc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粉尘</w:t>
            </w:r>
          </w:p>
        </w:tc>
        <w:tc>
          <w:tcPr>
            <w:tcW w:w="427"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142.56</w:t>
            </w:r>
          </w:p>
        </w:tc>
        <w:tc>
          <w:tcPr>
            <w:tcW w:w="423"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18</w:t>
            </w:r>
          </w:p>
        </w:tc>
        <w:tc>
          <w:tcPr>
            <w:tcW w:w="418"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2400</w:t>
            </w:r>
          </w:p>
        </w:tc>
        <w:tc>
          <w:tcPr>
            <w:tcW w:w="372"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7500</w:t>
            </w:r>
          </w:p>
        </w:tc>
        <w:tc>
          <w:tcPr>
            <w:tcW w:w="864" w:type="pct"/>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PMD-7脉冲袋除尘器</w:t>
            </w:r>
          </w:p>
        </w:tc>
        <w:tc>
          <w:tcPr>
            <w:tcW w:w="381" w:type="pct"/>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9</w:t>
            </w:r>
            <w:r>
              <w:rPr>
                <w:rFonts w:hint="eastAsia" w:ascii="Times New Roman" w:hAnsi="Times New Roman" w:eastAsia="宋体"/>
                <w:color w:val="auto"/>
                <w:sz w:val="21"/>
                <w:szCs w:val="21"/>
                <w:lang w:val="en-US" w:eastAsia="zh-CN"/>
              </w:rPr>
              <w:t>9</w:t>
            </w:r>
            <w:r>
              <w:rPr>
                <w:rFonts w:hint="eastAsia" w:ascii="Times New Roman" w:hAnsi="Times New Roman" w:eastAsia="宋体"/>
                <w:color w:val="auto"/>
                <w:sz w:val="21"/>
                <w:szCs w:val="21"/>
              </w:rPr>
              <w:t>%</w:t>
            </w:r>
          </w:p>
        </w:tc>
        <w:tc>
          <w:tcPr>
            <w:tcW w:w="308"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1.43</w:t>
            </w:r>
          </w:p>
        </w:tc>
        <w:tc>
          <w:tcPr>
            <w:tcW w:w="401" w:type="pct"/>
            <w:noWrap w:val="0"/>
            <w:vAlign w:val="center"/>
          </w:tcPr>
          <w:p>
            <w:pPr>
              <w:spacing w:line="260" w:lineRule="exact"/>
              <w:jc w:val="center"/>
              <w:rPr>
                <w:rFonts w:hint="default" w:ascii="Times New Roman" w:hAnsi="Times New Roman" w:eastAsia="宋体"/>
                <w:color w:val="auto"/>
                <w:sz w:val="21"/>
                <w:szCs w:val="21"/>
                <w:lang w:val="en-US"/>
              </w:rPr>
            </w:pPr>
            <w:r>
              <w:rPr>
                <w:rFonts w:hint="eastAsia"/>
                <w:color w:val="auto"/>
                <w:sz w:val="21"/>
                <w:szCs w:val="21"/>
                <w:lang w:val="en-US" w:eastAsia="zh-CN"/>
              </w:rPr>
              <w:t>0.18</w:t>
            </w:r>
          </w:p>
        </w:tc>
        <w:tc>
          <w:tcPr>
            <w:tcW w:w="394"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 w:hRule="atLeast"/>
        </w:trPr>
        <w:tc>
          <w:tcPr>
            <w:tcW w:w="238"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4</w:t>
            </w:r>
          </w:p>
        </w:tc>
        <w:tc>
          <w:tcPr>
            <w:tcW w:w="420" w:type="pc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lang w:val="en-US" w:eastAsia="zh-CN"/>
              </w:rPr>
            </w:pPr>
            <w:r>
              <w:rPr>
                <w:rFonts w:hint="eastAsia"/>
                <w:color w:val="auto"/>
                <w:sz w:val="21"/>
                <w:szCs w:val="21"/>
                <w:lang w:val="en-US" w:eastAsia="zh-CN"/>
              </w:rPr>
              <w:t>干燥窑</w:t>
            </w:r>
          </w:p>
        </w:tc>
        <w:tc>
          <w:tcPr>
            <w:tcW w:w="348" w:type="pc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lang w:val="en-US" w:eastAsia="zh-CN"/>
              </w:rPr>
            </w:pPr>
            <w:r>
              <w:rPr>
                <w:rFonts w:hint="eastAsia"/>
                <w:color w:val="auto"/>
                <w:sz w:val="21"/>
                <w:szCs w:val="21"/>
                <w:lang w:val="en-US" w:eastAsia="zh-CN"/>
              </w:rPr>
              <w:t>粉尘</w:t>
            </w:r>
          </w:p>
        </w:tc>
        <w:tc>
          <w:tcPr>
            <w:tcW w:w="427" w:type="pct"/>
            <w:tcBorders>
              <w:top w:val="single" w:color="auto" w:sz="4" w:space="0"/>
            </w:tcBorders>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306.6</w:t>
            </w:r>
          </w:p>
        </w:tc>
        <w:tc>
          <w:tcPr>
            <w:tcW w:w="423" w:type="pct"/>
            <w:tcBorders>
              <w:top w:val="single" w:color="auto" w:sz="4" w:space="0"/>
            </w:tcBorders>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35</w:t>
            </w:r>
          </w:p>
        </w:tc>
        <w:tc>
          <w:tcPr>
            <w:tcW w:w="418" w:type="pct"/>
            <w:tcBorders>
              <w:top w:val="single" w:color="auto" w:sz="4" w:space="0"/>
            </w:tcBorders>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1167</w:t>
            </w:r>
          </w:p>
        </w:tc>
        <w:tc>
          <w:tcPr>
            <w:tcW w:w="372"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30000</w:t>
            </w:r>
          </w:p>
        </w:tc>
        <w:tc>
          <w:tcPr>
            <w:tcW w:w="864"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除尘系统</w:t>
            </w:r>
          </w:p>
        </w:tc>
        <w:tc>
          <w:tcPr>
            <w:tcW w:w="381"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99%</w:t>
            </w:r>
          </w:p>
        </w:tc>
        <w:tc>
          <w:tcPr>
            <w:tcW w:w="308" w:type="pct"/>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3.066</w:t>
            </w:r>
          </w:p>
        </w:tc>
        <w:tc>
          <w:tcPr>
            <w:tcW w:w="401" w:type="pct"/>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0.35</w:t>
            </w:r>
          </w:p>
        </w:tc>
        <w:tc>
          <w:tcPr>
            <w:tcW w:w="394" w:type="pct"/>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11.67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1" w:hRule="atLeast"/>
        </w:trPr>
        <w:tc>
          <w:tcPr>
            <w:tcW w:w="238" w:type="pct"/>
            <w:vMerge w:val="restar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color w:val="auto"/>
                <w:sz w:val="21"/>
                <w:szCs w:val="21"/>
                <w:lang w:val="en-US" w:eastAsia="zh-CN"/>
              </w:rPr>
              <w:t>5</w:t>
            </w:r>
          </w:p>
        </w:tc>
        <w:tc>
          <w:tcPr>
            <w:tcW w:w="420" w:type="pct"/>
            <w:vMerge w:val="restar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color w:val="auto"/>
                <w:sz w:val="21"/>
                <w:szCs w:val="21"/>
                <w:lang w:val="en-US" w:eastAsia="zh-CN"/>
              </w:rPr>
              <w:t>1#</w:t>
            </w:r>
            <w:r>
              <w:rPr>
                <w:rFonts w:hint="eastAsia" w:ascii="Times New Roman" w:hAnsi="Times New Roman" w:eastAsia="宋体"/>
                <w:color w:val="auto"/>
                <w:sz w:val="21"/>
                <w:szCs w:val="21"/>
              </w:rPr>
              <w:t>隧道窑</w:t>
            </w: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SO</w:t>
            </w:r>
            <w:r>
              <w:rPr>
                <w:rFonts w:hint="eastAsia" w:ascii="Times New Roman" w:hAnsi="Times New Roman" w:eastAsia="宋体"/>
                <w:color w:val="auto"/>
                <w:sz w:val="21"/>
                <w:szCs w:val="21"/>
                <w:vertAlign w:val="subscript"/>
              </w:rPr>
              <w:t>2</w:t>
            </w:r>
          </w:p>
        </w:tc>
        <w:tc>
          <w:tcPr>
            <w:tcW w:w="427"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7.01</w:t>
            </w:r>
          </w:p>
        </w:tc>
        <w:tc>
          <w:tcPr>
            <w:tcW w:w="423"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0.8</w:t>
            </w:r>
          </w:p>
        </w:tc>
        <w:tc>
          <w:tcPr>
            <w:tcW w:w="418" w:type="pc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32</w:t>
            </w:r>
          </w:p>
        </w:tc>
        <w:tc>
          <w:tcPr>
            <w:tcW w:w="372" w:type="pct"/>
            <w:vMerge w:val="restar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25000</w:t>
            </w:r>
          </w:p>
        </w:tc>
        <w:tc>
          <w:tcPr>
            <w:tcW w:w="864" w:type="pct"/>
            <w:vMerge w:val="restart"/>
            <w:tcBorders>
              <w:top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除尘系统</w:t>
            </w:r>
          </w:p>
        </w:tc>
        <w:tc>
          <w:tcPr>
            <w:tcW w:w="381" w:type="pct"/>
            <w:tcBorders>
              <w:top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w:t>
            </w:r>
          </w:p>
        </w:tc>
        <w:tc>
          <w:tcPr>
            <w:tcW w:w="866" w:type="dxa"/>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7.01</w:t>
            </w:r>
          </w:p>
        </w:tc>
        <w:tc>
          <w:tcPr>
            <w:tcW w:w="1128" w:type="dxa"/>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0.8</w:t>
            </w:r>
          </w:p>
        </w:tc>
        <w:tc>
          <w:tcPr>
            <w:tcW w:w="1109" w:type="dxa"/>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9" w:hRule="atLeast"/>
        </w:trPr>
        <w:tc>
          <w:tcPr>
            <w:tcW w:w="238" w:type="pct"/>
            <w:vMerge w:val="continue"/>
            <w:tcBorders>
              <w:top w:val="single" w:color="auto" w:sz="4" w:space="0"/>
            </w:tcBorders>
            <w:noWrap w:val="0"/>
            <w:vAlign w:val="center"/>
          </w:tcPr>
          <w:p>
            <w:pPr>
              <w:spacing w:line="260" w:lineRule="exact"/>
              <w:ind w:left="420" w:leftChars="200"/>
              <w:jc w:val="center"/>
              <w:rPr>
                <w:rFonts w:hint="eastAsia" w:ascii="Times New Roman" w:hAnsi="Times New Roman" w:eastAsia="宋体"/>
                <w:color w:val="auto"/>
                <w:sz w:val="21"/>
                <w:szCs w:val="21"/>
              </w:rPr>
            </w:pPr>
          </w:p>
        </w:tc>
        <w:tc>
          <w:tcPr>
            <w:tcW w:w="420"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NO</w:t>
            </w:r>
            <w:r>
              <w:rPr>
                <w:rFonts w:hint="eastAsia" w:ascii="Times New Roman" w:hAnsi="Times New Roman" w:eastAsia="宋体"/>
                <w:color w:val="auto"/>
                <w:sz w:val="21"/>
                <w:szCs w:val="21"/>
                <w:vertAlign w:val="subscript"/>
              </w:rPr>
              <w:t>2</w:t>
            </w:r>
          </w:p>
        </w:tc>
        <w:tc>
          <w:tcPr>
            <w:tcW w:w="427"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22.78</w:t>
            </w:r>
          </w:p>
        </w:tc>
        <w:tc>
          <w:tcPr>
            <w:tcW w:w="423"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2.6</w:t>
            </w:r>
          </w:p>
        </w:tc>
        <w:tc>
          <w:tcPr>
            <w:tcW w:w="418"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104</w:t>
            </w:r>
          </w:p>
        </w:tc>
        <w:tc>
          <w:tcPr>
            <w:tcW w:w="372" w:type="pct"/>
            <w:vMerge w:val="continue"/>
            <w:noWrap w:val="0"/>
            <w:vAlign w:val="center"/>
          </w:tcPr>
          <w:p>
            <w:pPr>
              <w:spacing w:line="260" w:lineRule="exact"/>
              <w:ind w:left="420" w:leftChars="200"/>
              <w:jc w:val="center"/>
              <w:rPr>
                <w:rFonts w:hint="eastAsia" w:ascii="Times New Roman" w:hAnsi="Times New Roman" w:eastAsia="宋体"/>
                <w:color w:val="auto"/>
                <w:sz w:val="21"/>
                <w:szCs w:val="21"/>
              </w:rPr>
            </w:pPr>
          </w:p>
        </w:tc>
        <w:tc>
          <w:tcPr>
            <w:tcW w:w="864" w:type="pct"/>
            <w:vMerge w:val="continue"/>
            <w:noWrap w:val="0"/>
            <w:vAlign w:val="center"/>
          </w:tcPr>
          <w:p>
            <w:pPr>
              <w:spacing w:line="260" w:lineRule="exact"/>
              <w:ind w:left="420" w:leftChars="200"/>
              <w:jc w:val="center"/>
              <w:rPr>
                <w:rFonts w:hint="eastAsia" w:ascii="Times New Roman" w:hAnsi="Times New Roman" w:eastAsia="宋体"/>
                <w:color w:val="auto"/>
                <w:sz w:val="21"/>
                <w:szCs w:val="21"/>
              </w:rPr>
            </w:pPr>
          </w:p>
        </w:tc>
        <w:tc>
          <w:tcPr>
            <w:tcW w:w="381" w:type="pct"/>
            <w:noWrap w:val="0"/>
            <w:vAlign w:val="center"/>
          </w:tcPr>
          <w:p>
            <w:pPr>
              <w:spacing w:line="260" w:lineRule="exact"/>
              <w:ind w:left="420" w:leftChars="200"/>
              <w:jc w:val="both"/>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w:t>
            </w:r>
          </w:p>
        </w:tc>
        <w:tc>
          <w:tcPr>
            <w:tcW w:w="866" w:type="dxa"/>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22.78</w:t>
            </w:r>
          </w:p>
        </w:tc>
        <w:tc>
          <w:tcPr>
            <w:tcW w:w="1128" w:type="dxa"/>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2.6</w:t>
            </w:r>
          </w:p>
        </w:tc>
        <w:tc>
          <w:tcPr>
            <w:tcW w:w="1109" w:type="dxa"/>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238"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420" w:type="pct"/>
            <w:vMerge w:val="continue"/>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烟尘</w:t>
            </w:r>
          </w:p>
        </w:tc>
        <w:tc>
          <w:tcPr>
            <w:tcW w:w="427"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124</w:t>
            </w:r>
          </w:p>
        </w:tc>
        <w:tc>
          <w:tcPr>
            <w:tcW w:w="423"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14.2</w:t>
            </w:r>
          </w:p>
        </w:tc>
        <w:tc>
          <w:tcPr>
            <w:tcW w:w="418" w:type="pc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568</w:t>
            </w:r>
          </w:p>
        </w:tc>
        <w:tc>
          <w:tcPr>
            <w:tcW w:w="372"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864"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381" w:type="pct"/>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9</w:t>
            </w:r>
            <w:r>
              <w:rPr>
                <w:rFonts w:hint="eastAsia" w:ascii="Times New Roman" w:hAnsi="Times New Roman" w:eastAsia="宋体"/>
                <w:color w:val="auto"/>
                <w:sz w:val="21"/>
                <w:szCs w:val="21"/>
                <w:lang w:val="en-US" w:eastAsia="zh-CN"/>
              </w:rPr>
              <w:t>5</w:t>
            </w:r>
            <w:r>
              <w:rPr>
                <w:rFonts w:hint="eastAsia" w:ascii="Times New Roman" w:hAnsi="Times New Roman" w:eastAsia="宋体"/>
                <w:color w:val="auto"/>
                <w:sz w:val="21"/>
                <w:szCs w:val="21"/>
              </w:rPr>
              <w:t>%</w:t>
            </w:r>
          </w:p>
        </w:tc>
        <w:tc>
          <w:tcPr>
            <w:tcW w:w="308"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6.2</w:t>
            </w:r>
          </w:p>
        </w:tc>
        <w:tc>
          <w:tcPr>
            <w:tcW w:w="401"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0.71</w:t>
            </w:r>
          </w:p>
        </w:tc>
        <w:tc>
          <w:tcPr>
            <w:tcW w:w="394"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238" w:type="pct"/>
            <w:vMerge w:val="restart"/>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color w:val="auto"/>
                <w:sz w:val="21"/>
                <w:szCs w:val="21"/>
                <w:lang w:val="en-US" w:eastAsia="zh-CN"/>
              </w:rPr>
              <w:t>6</w:t>
            </w:r>
          </w:p>
        </w:tc>
        <w:tc>
          <w:tcPr>
            <w:tcW w:w="420" w:type="pct"/>
            <w:vMerge w:val="restart"/>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color w:val="auto"/>
                <w:sz w:val="21"/>
                <w:szCs w:val="21"/>
                <w:lang w:val="en-US" w:eastAsia="zh-CN"/>
              </w:rPr>
              <w:t>2#</w:t>
            </w:r>
            <w:r>
              <w:rPr>
                <w:rFonts w:hint="eastAsia" w:ascii="Times New Roman" w:hAnsi="Times New Roman" w:eastAsia="宋体"/>
                <w:color w:val="auto"/>
                <w:sz w:val="21"/>
                <w:szCs w:val="21"/>
              </w:rPr>
              <w:t>隧道窑</w:t>
            </w: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rPr>
              <w:t>SO</w:t>
            </w:r>
            <w:r>
              <w:rPr>
                <w:rFonts w:hint="eastAsia" w:ascii="Times New Roman" w:hAnsi="Times New Roman" w:eastAsia="宋体"/>
                <w:color w:val="auto"/>
                <w:sz w:val="21"/>
                <w:szCs w:val="21"/>
                <w:vertAlign w:val="subscript"/>
              </w:rPr>
              <w:t>2</w:t>
            </w:r>
          </w:p>
        </w:tc>
        <w:tc>
          <w:tcPr>
            <w:tcW w:w="1201" w:type="dxa"/>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7.01</w:t>
            </w:r>
          </w:p>
        </w:tc>
        <w:tc>
          <w:tcPr>
            <w:tcW w:w="1190" w:type="dxa"/>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0.8</w:t>
            </w:r>
          </w:p>
        </w:tc>
        <w:tc>
          <w:tcPr>
            <w:tcW w:w="418" w:type="pct"/>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26.7</w:t>
            </w:r>
          </w:p>
        </w:tc>
        <w:tc>
          <w:tcPr>
            <w:tcW w:w="372" w:type="pct"/>
            <w:vMerge w:val="restart"/>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30000</w:t>
            </w:r>
          </w:p>
        </w:tc>
        <w:tc>
          <w:tcPr>
            <w:tcW w:w="864" w:type="pct"/>
            <w:vMerge w:val="restart"/>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除尘系统</w:t>
            </w:r>
          </w:p>
        </w:tc>
        <w:tc>
          <w:tcPr>
            <w:tcW w:w="1072" w:type="dxa"/>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w:t>
            </w:r>
          </w:p>
        </w:tc>
        <w:tc>
          <w:tcPr>
            <w:tcW w:w="866" w:type="dxa"/>
            <w:tcBorders>
              <w:top w:val="single" w:color="auto" w:sz="4" w:space="0"/>
              <w:bottom w:val="single" w:color="auto" w:sz="4" w:space="0"/>
            </w:tcBorders>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7.01</w:t>
            </w:r>
          </w:p>
        </w:tc>
        <w:tc>
          <w:tcPr>
            <w:tcW w:w="1128" w:type="dxa"/>
            <w:tcBorders>
              <w:top w:val="single" w:color="auto" w:sz="4" w:space="0"/>
              <w:bottom w:val="single" w:color="auto" w:sz="4" w:space="0"/>
            </w:tcBorders>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0.8</w:t>
            </w:r>
          </w:p>
        </w:tc>
        <w:tc>
          <w:tcPr>
            <w:tcW w:w="1109" w:type="dxa"/>
            <w:tcBorders>
              <w:top w:val="single" w:color="auto" w:sz="4" w:space="0"/>
              <w:bottom w:val="single" w:color="auto" w:sz="4" w:space="0"/>
            </w:tcBorders>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26.7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238"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420" w:type="pct"/>
            <w:vMerge w:val="continue"/>
            <w:noWrap w:val="0"/>
            <w:vAlign w:val="center"/>
          </w:tcPr>
          <w:p>
            <w:pPr>
              <w:spacing w:line="260" w:lineRule="exact"/>
              <w:jc w:val="center"/>
              <w:rPr>
                <w:rFonts w:hint="eastAsia" w:ascii="Times New Roman" w:hAnsi="Times New Roman" w:eastAsia="宋体"/>
                <w:color w:val="auto"/>
                <w:sz w:val="21"/>
                <w:szCs w:val="21"/>
                <w:lang w:eastAsia="zh-CN"/>
              </w:rPr>
            </w:pP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rPr>
              <w:t>NO</w:t>
            </w:r>
            <w:r>
              <w:rPr>
                <w:rFonts w:hint="eastAsia" w:ascii="Times New Roman" w:hAnsi="Times New Roman" w:eastAsia="宋体"/>
                <w:color w:val="auto"/>
                <w:sz w:val="21"/>
                <w:szCs w:val="21"/>
                <w:vertAlign w:val="subscript"/>
              </w:rPr>
              <w:t>2</w:t>
            </w:r>
          </w:p>
        </w:tc>
        <w:tc>
          <w:tcPr>
            <w:tcW w:w="1201" w:type="dxa"/>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22.78</w:t>
            </w:r>
          </w:p>
        </w:tc>
        <w:tc>
          <w:tcPr>
            <w:tcW w:w="1190" w:type="dxa"/>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2.6</w:t>
            </w:r>
          </w:p>
        </w:tc>
        <w:tc>
          <w:tcPr>
            <w:tcW w:w="418" w:type="pct"/>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86.7</w:t>
            </w:r>
          </w:p>
        </w:tc>
        <w:tc>
          <w:tcPr>
            <w:tcW w:w="372"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864"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1072" w:type="dxa"/>
            <w:noWrap w:val="0"/>
            <w:vAlign w:val="center"/>
          </w:tcPr>
          <w:p>
            <w:pPr>
              <w:spacing w:line="260" w:lineRule="exact"/>
              <w:ind w:left="420" w:leftChars="200"/>
              <w:jc w:val="both"/>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w:t>
            </w:r>
          </w:p>
        </w:tc>
        <w:tc>
          <w:tcPr>
            <w:tcW w:w="866" w:type="dxa"/>
            <w:tcBorders>
              <w:top w:val="single" w:color="auto" w:sz="4" w:space="0"/>
              <w:bottom w:val="single" w:color="auto" w:sz="4" w:space="0"/>
            </w:tcBorders>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22.78</w:t>
            </w:r>
          </w:p>
        </w:tc>
        <w:tc>
          <w:tcPr>
            <w:tcW w:w="1128" w:type="dxa"/>
            <w:tcBorders>
              <w:top w:val="single" w:color="auto" w:sz="4" w:space="0"/>
              <w:bottom w:val="single" w:color="auto" w:sz="4" w:space="0"/>
            </w:tcBorders>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2.6</w:t>
            </w:r>
          </w:p>
        </w:tc>
        <w:tc>
          <w:tcPr>
            <w:tcW w:w="1109" w:type="dxa"/>
            <w:tcBorders>
              <w:top w:val="single" w:color="auto" w:sz="4" w:space="0"/>
              <w:bottom w:val="single" w:color="auto" w:sz="4" w:space="0"/>
            </w:tcBorders>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86.7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238"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420" w:type="pct"/>
            <w:vMerge w:val="continue"/>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烟尘</w:t>
            </w:r>
          </w:p>
        </w:tc>
        <w:tc>
          <w:tcPr>
            <w:tcW w:w="1201" w:type="dxa"/>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124</w:t>
            </w:r>
          </w:p>
        </w:tc>
        <w:tc>
          <w:tcPr>
            <w:tcW w:w="1190" w:type="dxa"/>
            <w:noWrap w:val="0"/>
            <w:vAlign w:val="center"/>
          </w:tcPr>
          <w:p>
            <w:pPr>
              <w:spacing w:line="260" w:lineRule="exact"/>
              <w:jc w:val="center"/>
              <w:rPr>
                <w:rFonts w:hint="eastAsia"/>
                <w:color w:val="auto"/>
                <w:sz w:val="21"/>
                <w:szCs w:val="21"/>
                <w:lang w:val="en-US" w:eastAsia="zh-CN"/>
              </w:rPr>
            </w:pPr>
            <w:r>
              <w:rPr>
                <w:rFonts w:hint="eastAsia"/>
                <w:color w:val="auto"/>
                <w:sz w:val="21"/>
                <w:szCs w:val="21"/>
                <w:lang w:val="en-US" w:eastAsia="zh-CN"/>
              </w:rPr>
              <w:t>14.2</w:t>
            </w:r>
          </w:p>
        </w:tc>
        <w:tc>
          <w:tcPr>
            <w:tcW w:w="418" w:type="pct"/>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473</w:t>
            </w:r>
          </w:p>
        </w:tc>
        <w:tc>
          <w:tcPr>
            <w:tcW w:w="372"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864" w:type="pct"/>
            <w:vMerge w:val="continue"/>
            <w:noWrap w:val="0"/>
            <w:vAlign w:val="center"/>
          </w:tcPr>
          <w:p>
            <w:pPr>
              <w:spacing w:line="260" w:lineRule="exact"/>
              <w:jc w:val="center"/>
              <w:rPr>
                <w:rFonts w:hint="eastAsia" w:ascii="Times New Roman" w:hAnsi="Times New Roman" w:eastAsia="宋体"/>
                <w:color w:val="auto"/>
                <w:sz w:val="21"/>
                <w:szCs w:val="21"/>
              </w:rPr>
            </w:pPr>
          </w:p>
        </w:tc>
        <w:tc>
          <w:tcPr>
            <w:tcW w:w="1072" w:type="dxa"/>
            <w:noWrap w:val="0"/>
            <w:vAlign w:val="center"/>
          </w:tcPr>
          <w:p>
            <w:pPr>
              <w:spacing w:line="26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9</w:t>
            </w:r>
            <w:r>
              <w:rPr>
                <w:rFonts w:hint="eastAsia" w:ascii="Times New Roman" w:hAnsi="Times New Roman" w:eastAsia="宋体"/>
                <w:color w:val="auto"/>
                <w:sz w:val="21"/>
                <w:szCs w:val="21"/>
                <w:lang w:val="en-US" w:eastAsia="zh-CN"/>
              </w:rPr>
              <w:t>5</w:t>
            </w:r>
            <w:r>
              <w:rPr>
                <w:rFonts w:hint="eastAsia" w:ascii="Times New Roman" w:hAnsi="Times New Roman" w:eastAsia="宋体"/>
                <w:color w:val="auto"/>
                <w:sz w:val="21"/>
                <w:szCs w:val="21"/>
              </w:rPr>
              <w:t>%</w:t>
            </w:r>
          </w:p>
        </w:tc>
        <w:tc>
          <w:tcPr>
            <w:tcW w:w="308" w:type="pct"/>
            <w:tcBorders>
              <w:top w:val="single" w:color="auto" w:sz="4" w:space="0"/>
              <w:bottom w:val="single" w:color="auto" w:sz="4" w:space="0"/>
            </w:tcBorders>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6.2</w:t>
            </w:r>
          </w:p>
        </w:tc>
        <w:tc>
          <w:tcPr>
            <w:tcW w:w="401" w:type="pct"/>
            <w:tcBorders>
              <w:top w:val="single" w:color="auto" w:sz="4" w:space="0"/>
              <w:bottom w:val="single" w:color="auto" w:sz="4" w:space="0"/>
            </w:tcBorders>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0.71</w:t>
            </w:r>
          </w:p>
        </w:tc>
        <w:tc>
          <w:tcPr>
            <w:tcW w:w="394" w:type="pct"/>
            <w:tcBorders>
              <w:top w:val="single" w:color="auto" w:sz="4" w:space="0"/>
              <w:bottom w:val="single" w:color="auto" w:sz="4" w:space="0"/>
            </w:tcBorders>
            <w:noWrap w:val="0"/>
            <w:vAlign w:val="center"/>
          </w:tcPr>
          <w:p>
            <w:pPr>
              <w:spacing w:line="260" w:lineRule="exact"/>
              <w:jc w:val="center"/>
              <w:rPr>
                <w:rFonts w:hint="default"/>
                <w:color w:val="auto"/>
                <w:sz w:val="21"/>
                <w:szCs w:val="21"/>
                <w:lang w:val="en-US" w:eastAsia="zh-CN"/>
              </w:rPr>
            </w:pPr>
            <w:r>
              <w:rPr>
                <w:rFonts w:hint="eastAsia"/>
                <w:color w:val="auto"/>
                <w:sz w:val="21"/>
                <w:szCs w:val="21"/>
                <w:lang w:val="en-US" w:eastAsia="zh-CN"/>
              </w:rPr>
              <w:t>23.6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238"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val="en-US" w:eastAsia="zh-CN"/>
              </w:rPr>
            </w:pPr>
            <w:r>
              <w:rPr>
                <w:rFonts w:hint="eastAsia"/>
                <w:color w:val="auto"/>
                <w:sz w:val="21"/>
                <w:szCs w:val="21"/>
                <w:lang w:val="en-US" w:eastAsia="zh-CN"/>
              </w:rPr>
              <w:t>7</w:t>
            </w:r>
          </w:p>
        </w:tc>
        <w:tc>
          <w:tcPr>
            <w:tcW w:w="420"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除尘粉仓、混合机退料仓、废砖仓</w:t>
            </w:r>
          </w:p>
        </w:tc>
        <w:tc>
          <w:tcPr>
            <w:tcW w:w="348" w:type="pct"/>
            <w:tcBorders>
              <w:top w:val="single" w:color="auto" w:sz="4" w:space="0"/>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粉尘</w:t>
            </w:r>
          </w:p>
        </w:tc>
        <w:tc>
          <w:tcPr>
            <w:tcW w:w="427" w:type="pct"/>
            <w:tcBorders>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158.4</w:t>
            </w:r>
          </w:p>
        </w:tc>
        <w:tc>
          <w:tcPr>
            <w:tcW w:w="423" w:type="pct"/>
            <w:tcBorders>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w:t>
            </w:r>
          </w:p>
        </w:tc>
        <w:tc>
          <w:tcPr>
            <w:tcW w:w="418" w:type="pct"/>
            <w:tcBorders>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w:t>
            </w:r>
          </w:p>
        </w:tc>
        <w:tc>
          <w:tcPr>
            <w:tcW w:w="372"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w:t>
            </w:r>
          </w:p>
        </w:tc>
        <w:tc>
          <w:tcPr>
            <w:tcW w:w="864" w:type="pct"/>
            <w:tcBorders>
              <w:bottom w:val="single" w:color="auto" w:sz="4" w:space="0"/>
            </w:tcBorders>
            <w:noWrap w:val="0"/>
            <w:vAlign w:val="center"/>
          </w:tcPr>
          <w:p>
            <w:pPr>
              <w:spacing w:line="26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φ400仓顶滤筒收尘器</w:t>
            </w:r>
          </w:p>
        </w:tc>
        <w:tc>
          <w:tcPr>
            <w:tcW w:w="381" w:type="pct"/>
            <w:tcBorders>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rPr>
              <w:t>9</w:t>
            </w:r>
            <w:r>
              <w:rPr>
                <w:rFonts w:hint="eastAsia" w:ascii="Times New Roman" w:hAnsi="Times New Roman" w:eastAsia="宋体"/>
                <w:color w:val="auto"/>
                <w:sz w:val="21"/>
                <w:szCs w:val="21"/>
                <w:lang w:val="en-US" w:eastAsia="zh-CN"/>
              </w:rPr>
              <w:t>9</w:t>
            </w:r>
            <w:r>
              <w:rPr>
                <w:rFonts w:hint="eastAsia" w:ascii="Times New Roman" w:hAnsi="Times New Roman" w:eastAsia="宋体"/>
                <w:color w:val="auto"/>
                <w:sz w:val="21"/>
                <w:szCs w:val="21"/>
              </w:rPr>
              <w:t>%</w:t>
            </w:r>
          </w:p>
        </w:tc>
        <w:tc>
          <w:tcPr>
            <w:tcW w:w="308"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1.584</w:t>
            </w:r>
          </w:p>
        </w:tc>
        <w:tc>
          <w:tcPr>
            <w:tcW w:w="401"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0.2</w:t>
            </w:r>
          </w:p>
        </w:tc>
        <w:tc>
          <w:tcPr>
            <w:tcW w:w="394" w:type="pct"/>
            <w:tcBorders>
              <w:top w:val="single" w:color="auto" w:sz="4" w:space="0"/>
              <w:bottom w:val="single" w:color="auto" w:sz="4" w:space="0"/>
            </w:tcBorders>
            <w:noWrap w:val="0"/>
            <w:vAlign w:val="center"/>
          </w:tcPr>
          <w:p>
            <w:pPr>
              <w:spacing w:line="26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w:t>
            </w:r>
          </w:p>
        </w:tc>
      </w:tr>
    </w:tbl>
    <w:p>
      <w:pPr>
        <w:sectPr>
          <w:pgSz w:w="16838" w:h="11906" w:orient="landscape"/>
          <w:pgMar w:top="1800" w:right="1440" w:bottom="1800" w:left="1559" w:header="851" w:footer="992" w:gutter="0"/>
          <w:cols w:space="720" w:num="1"/>
          <w:rtlGutter w:val="0"/>
          <w:docGrid w:type="lines" w:linePitch="312" w:charSpace="0"/>
        </w:sectPr>
      </w:pPr>
    </w:p>
    <w:tbl>
      <w:tblPr>
        <w:tblStyle w:val="2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88" w:hRule="atLeast"/>
          <w:jc w:val="center"/>
        </w:trPr>
        <w:tc>
          <w:tcPr>
            <w:tcW w:w="8522" w:type="dxa"/>
            <w:tcBorders>
              <w:top w:val="single" w:color="auto" w:sz="4" w:space="0"/>
              <w:left w:val="single" w:color="auto" w:sz="4" w:space="0"/>
              <w:bottom w:val="single" w:color="auto" w:sz="4" w:space="0"/>
              <w:right w:val="single" w:color="auto" w:sz="4" w:space="0"/>
            </w:tcBorders>
            <w:noWrap w:val="0"/>
            <w:vAlign w:val="top"/>
          </w:tcPr>
          <w:p>
            <w:pPr>
              <w:spacing w:line="360" w:lineRule="auto"/>
              <w:ind w:firstLine="482" w:firstLineChars="200"/>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3、噪声</w:t>
            </w:r>
          </w:p>
          <w:p>
            <w:pPr>
              <w:widowControl/>
              <w:spacing w:line="360" w:lineRule="auto"/>
              <w:ind w:firstLine="480" w:firstLineChars="200"/>
              <w:rPr>
                <w:rFonts w:ascii="Times New Roman" w:hAnsi="Times New Roman" w:eastAsia="宋体"/>
                <w:b/>
                <w:sz w:val="24"/>
                <w:szCs w:val="22"/>
                <w:highlight w:val="none"/>
              </w:rPr>
            </w:pPr>
            <w:r>
              <w:rPr>
                <w:rFonts w:ascii="Times New Roman" w:hAnsi="Times New Roman" w:eastAsia="宋体"/>
                <w:sz w:val="24"/>
                <w:highlight w:val="none"/>
              </w:rPr>
              <w:t>本项目产生的噪声主要来自于车间各生产设备，据同类型厂的设备调研，声级值为 65dB(A)～95dB(A)。生产时尽量减少车间门窗的开启频次，利用墙壁的作用，使噪声受到不同程度的隔绝和吸收，做到尽可能屏蔽声源，减少对环境的影响。同时在工厂总体布置上利用建筑物、构筑物来阻隔声波的传播。通常厂房的隔声量为18~22dB(A)。本项目主要设备噪声源强见下表。</w:t>
            </w:r>
          </w:p>
          <w:p>
            <w:pPr>
              <w:pStyle w:val="5"/>
              <w:tabs>
                <w:tab w:val="left" w:pos="2559"/>
                <w:tab w:val="left" w:pos="6171"/>
              </w:tabs>
              <w:spacing w:before="0" w:beforeLines="0" w:after="0" w:afterLines="0" w:line="360" w:lineRule="auto"/>
              <w:jc w:val="center"/>
              <w:rPr>
                <w:rFonts w:ascii="Times New Roman" w:hAnsi="Times New Roman" w:eastAsia="宋体"/>
                <w:b/>
                <w:bCs w:val="0"/>
                <w:szCs w:val="22"/>
                <w:highlight w:val="none"/>
              </w:rPr>
            </w:pPr>
            <w:r>
              <w:rPr>
                <w:rFonts w:ascii="Times New Roman" w:hAnsi="Times New Roman" w:eastAsia="宋体"/>
                <w:b/>
                <w:bCs w:val="0"/>
                <w:szCs w:val="22"/>
                <w:highlight w:val="none"/>
              </w:rPr>
              <w:t>表5-</w:t>
            </w:r>
            <w:r>
              <w:rPr>
                <w:rFonts w:hint="eastAsia" w:ascii="Times New Roman" w:hAnsi="Times New Roman" w:eastAsia="宋体"/>
                <w:b/>
                <w:bCs w:val="0"/>
                <w:szCs w:val="22"/>
                <w:highlight w:val="none"/>
                <w:lang w:val="en-US" w:eastAsia="zh-CN"/>
              </w:rPr>
              <w:t>4</w:t>
            </w:r>
            <w:r>
              <w:rPr>
                <w:rFonts w:ascii="Times New Roman" w:hAnsi="Times New Roman" w:eastAsia="宋体"/>
                <w:b/>
                <w:bCs w:val="0"/>
                <w:szCs w:val="22"/>
                <w:highlight w:val="none"/>
              </w:rPr>
              <w:t xml:space="preserve">  营运期间噪声污染源强  单位 dB（A）</w:t>
            </w:r>
          </w:p>
          <w:tbl>
            <w:tblPr>
              <w:tblStyle w:val="28"/>
              <w:tblW w:w="4998" w:type="pct"/>
              <w:jc w:val="center"/>
              <w:tblLayout w:type="autofit"/>
              <w:tblCellMar>
                <w:top w:w="0" w:type="dxa"/>
                <w:left w:w="0" w:type="dxa"/>
                <w:bottom w:w="0" w:type="dxa"/>
                <w:right w:w="0" w:type="dxa"/>
              </w:tblCellMar>
            </w:tblPr>
            <w:tblGrid>
              <w:gridCol w:w="877"/>
              <w:gridCol w:w="2422"/>
              <w:gridCol w:w="1464"/>
              <w:gridCol w:w="1480"/>
              <w:gridCol w:w="2060"/>
            </w:tblGrid>
            <w:tr>
              <w:tblPrEx>
                <w:tblCellMar>
                  <w:top w:w="0" w:type="dxa"/>
                  <w:left w:w="0" w:type="dxa"/>
                  <w:bottom w:w="0" w:type="dxa"/>
                  <w:right w:w="0" w:type="dxa"/>
                </w:tblCellMar>
              </w:tblPrEx>
              <w:trPr>
                <w:trHeight w:val="330"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编号</w:t>
                  </w:r>
                </w:p>
              </w:tc>
              <w:tc>
                <w:tcPr>
                  <w:tcW w:w="145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设备名称</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治理前等效声级[dB(A)]</w:t>
                  </w:r>
                </w:p>
              </w:tc>
              <w:tc>
                <w:tcPr>
                  <w:tcW w:w="891" w:type="pct"/>
                  <w:tcBorders>
                    <w:top w:val="single" w:color="000000" w:sz="4" w:space="0"/>
                    <w:left w:val="single" w:color="000000" w:sz="4" w:space="0"/>
                    <w:bottom w:val="single" w:color="000000" w:sz="4" w:space="0"/>
                    <w:right w:val="single" w:color="auto" w:sz="4" w:space="0"/>
                  </w:tcBorders>
                  <w:noWrap w:val="0"/>
                  <w:vAlign w:val="center"/>
                </w:tcPr>
                <w:p>
                  <w:pPr>
                    <w:jc w:val="center"/>
                    <w:rPr>
                      <w:rFonts w:ascii="Times New Roman" w:hAnsi="Times New Roman" w:eastAsia="宋体"/>
                      <w:color w:val="000000"/>
                      <w:szCs w:val="21"/>
                      <w:highlight w:val="none"/>
                    </w:rPr>
                  </w:pPr>
                  <w:r>
                    <w:rPr>
                      <w:rFonts w:ascii="Times New Roman" w:hAnsi="Times New Roman" w:eastAsia="宋体"/>
                      <w:szCs w:val="21"/>
                      <w:highlight w:val="none"/>
                    </w:rPr>
                    <w:t>治理措施</w:t>
                  </w:r>
                </w:p>
              </w:tc>
              <w:tc>
                <w:tcPr>
                  <w:tcW w:w="1240" w:type="pct"/>
                  <w:tcBorders>
                    <w:top w:val="single" w:color="000000" w:sz="4" w:space="0"/>
                    <w:left w:val="single" w:color="auto" w:sz="4" w:space="0"/>
                    <w:bottom w:val="single" w:color="000000" w:sz="4" w:space="0"/>
                    <w:right w:val="single" w:color="000000" w:sz="4" w:space="0"/>
                  </w:tcBorders>
                  <w:noWrap w:val="0"/>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治理后等效声级[dB(A)]</w:t>
                  </w:r>
                </w:p>
              </w:tc>
            </w:tr>
            <w:tr>
              <w:trPr>
                <w:trHeight w:val="322"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1</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bCs/>
                      <w:color w:val="000000"/>
                      <w:szCs w:val="22"/>
                      <w:highlight w:val="none"/>
                    </w:rPr>
                    <w:t>电磁振动给料机</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70~80</w:t>
                  </w:r>
                </w:p>
              </w:tc>
              <w:tc>
                <w:tcPr>
                  <w:tcW w:w="891" w:type="pct"/>
                  <w:vMerge w:val="restart"/>
                  <w:tcBorders>
                    <w:top w:val="single" w:color="000000"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基础固定、减震、隔声</w:t>
                  </w: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hint="default" w:ascii="Times New Roman" w:hAnsi="Times New Roman" w:eastAsia="宋体"/>
                      <w:szCs w:val="21"/>
                      <w:highlight w:val="none"/>
                      <w:lang w:val="en-US" w:eastAsia="zh-CN"/>
                    </w:rPr>
                  </w:pPr>
                  <w:r>
                    <w:rPr>
                      <w:rFonts w:hint="eastAsia" w:ascii="Times New Roman" w:hAnsi="Times New Roman" w:eastAsia="宋体"/>
                      <w:color w:val="000000"/>
                      <w:szCs w:val="21"/>
                      <w:highlight w:val="none"/>
                      <w:lang w:val="en-US" w:eastAsia="zh-CN"/>
                    </w:rPr>
                    <w:t>45</w:t>
                  </w:r>
                  <w:r>
                    <w:rPr>
                      <w:rFonts w:ascii="Times New Roman" w:hAnsi="Times New Roman" w:eastAsia="宋体"/>
                      <w:color w:val="000000"/>
                      <w:szCs w:val="21"/>
                      <w:highlight w:val="none"/>
                    </w:rPr>
                    <w:t>~</w:t>
                  </w:r>
                  <w:r>
                    <w:rPr>
                      <w:rFonts w:hint="eastAsia" w:ascii="Times New Roman" w:hAnsi="Times New Roman" w:eastAsia="宋体"/>
                      <w:color w:val="000000"/>
                      <w:szCs w:val="21"/>
                      <w:highlight w:val="none"/>
                      <w:lang w:val="en-US" w:eastAsia="zh-CN"/>
                    </w:rPr>
                    <w:t>55</w:t>
                  </w:r>
                </w:p>
              </w:tc>
            </w:tr>
            <w:tr>
              <w:trPr>
                <w:trHeight w:val="322"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2</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kern w:val="0"/>
                      <w:szCs w:val="21"/>
                      <w:highlight w:val="none"/>
                    </w:rPr>
                    <w:t>破碎机</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lang w:val="en-US" w:eastAsia="zh-CN"/>
                    </w:rPr>
                    <w:t>80</w:t>
                  </w:r>
                  <w:r>
                    <w:rPr>
                      <w:rFonts w:ascii="Times New Roman" w:hAnsi="Times New Roman" w:eastAsia="宋体"/>
                      <w:color w:val="000000"/>
                      <w:szCs w:val="21"/>
                      <w:highlight w:val="none"/>
                    </w:rPr>
                    <w:t>~</w:t>
                  </w:r>
                  <w:r>
                    <w:rPr>
                      <w:rFonts w:hint="eastAsia" w:ascii="Times New Roman" w:hAnsi="Times New Roman" w:eastAsia="宋体"/>
                      <w:color w:val="000000"/>
                      <w:szCs w:val="21"/>
                      <w:highlight w:val="none"/>
                      <w:lang w:val="en-US" w:eastAsia="zh-CN"/>
                    </w:rPr>
                    <w:t>9</w:t>
                  </w:r>
                  <w:r>
                    <w:rPr>
                      <w:rFonts w:hint="eastAsia" w:ascii="Times New Roman" w:hAnsi="Times New Roman" w:eastAsia="宋体"/>
                      <w:color w:val="000000"/>
                      <w:szCs w:val="21"/>
                      <w:highlight w:val="none"/>
                    </w:rPr>
                    <w:t>5</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color w:val="000000"/>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hint="default" w:ascii="Times New Roman" w:hAnsi="Times New Roman" w:eastAsia="宋体"/>
                      <w:szCs w:val="21"/>
                      <w:highlight w:val="none"/>
                      <w:lang w:val="en-US" w:eastAsia="zh-CN"/>
                    </w:rPr>
                  </w:pPr>
                  <w:r>
                    <w:rPr>
                      <w:rFonts w:hint="eastAsia" w:ascii="Times New Roman" w:hAnsi="Times New Roman" w:eastAsia="宋体"/>
                      <w:color w:val="000000"/>
                      <w:szCs w:val="21"/>
                      <w:highlight w:val="none"/>
                      <w:lang w:val="en-US" w:eastAsia="zh-CN"/>
                    </w:rPr>
                    <w:t>55</w:t>
                  </w:r>
                  <w:r>
                    <w:rPr>
                      <w:rFonts w:ascii="Times New Roman" w:hAnsi="Times New Roman" w:eastAsia="宋体"/>
                      <w:color w:val="000000"/>
                      <w:szCs w:val="21"/>
                      <w:highlight w:val="none"/>
                    </w:rPr>
                    <w:t>~</w:t>
                  </w:r>
                  <w:r>
                    <w:rPr>
                      <w:rFonts w:hint="eastAsia" w:ascii="Times New Roman" w:hAnsi="Times New Roman" w:eastAsia="宋体"/>
                      <w:color w:val="000000"/>
                      <w:szCs w:val="21"/>
                      <w:highlight w:val="none"/>
                      <w:lang w:val="en-US" w:eastAsia="zh-CN"/>
                    </w:rPr>
                    <w:t>60</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3</w:t>
                  </w:r>
                </w:p>
                <w:p>
                  <w:pPr>
                    <w:jc w:val="center"/>
                    <w:rPr>
                      <w:rFonts w:ascii="Times New Roman" w:hAnsi="Times New Roman" w:eastAsia="宋体"/>
                      <w:color w:val="000000"/>
                      <w:szCs w:val="21"/>
                      <w:highlight w:val="none"/>
                    </w:rPr>
                  </w:pP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kern w:val="0"/>
                      <w:szCs w:val="21"/>
                      <w:highlight w:val="none"/>
                    </w:rPr>
                    <w:t>单层直线振动筛</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color w:val="000000"/>
                      <w:szCs w:val="21"/>
                      <w:highlight w:val="none"/>
                    </w:rPr>
                    <w:t>70~80</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45</w:t>
                  </w:r>
                  <w:r>
                    <w:rPr>
                      <w:rFonts w:ascii="Times New Roman" w:hAnsi="Times New Roman" w:eastAsia="宋体"/>
                      <w:szCs w:val="21"/>
                      <w:highlight w:val="none"/>
                    </w:rPr>
                    <w:t>~</w:t>
                  </w:r>
                  <w:r>
                    <w:rPr>
                      <w:rFonts w:hint="eastAsia" w:ascii="Times New Roman" w:hAnsi="Times New Roman" w:eastAsia="宋体"/>
                      <w:szCs w:val="21"/>
                      <w:highlight w:val="none"/>
                      <w:lang w:val="en-US" w:eastAsia="zh-CN"/>
                    </w:rPr>
                    <w:t>55</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4</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kern w:val="0"/>
                      <w:szCs w:val="21"/>
                      <w:highlight w:val="none"/>
                    </w:rPr>
                    <w:t>倾斜式混合机</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7</w:t>
                  </w:r>
                  <w:r>
                    <w:rPr>
                      <w:rFonts w:hint="eastAsia" w:ascii="Times New Roman" w:hAnsi="Times New Roman" w:eastAsia="宋体"/>
                      <w:szCs w:val="21"/>
                      <w:highlight w:val="none"/>
                    </w:rPr>
                    <w:t>0</w:t>
                  </w:r>
                  <w:r>
                    <w:rPr>
                      <w:rFonts w:ascii="Times New Roman" w:hAnsi="Times New Roman" w:eastAsia="宋体"/>
                      <w:szCs w:val="21"/>
                      <w:highlight w:val="none"/>
                    </w:rPr>
                    <w:t>~8</w:t>
                  </w:r>
                  <w:r>
                    <w:rPr>
                      <w:rFonts w:hint="eastAsia" w:ascii="Times New Roman" w:hAnsi="Times New Roman" w:eastAsia="宋体"/>
                      <w:szCs w:val="21"/>
                      <w:highlight w:val="none"/>
                    </w:rPr>
                    <w:t>0</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45</w:t>
                  </w:r>
                  <w:r>
                    <w:rPr>
                      <w:rFonts w:ascii="Times New Roman" w:hAnsi="Times New Roman" w:eastAsia="宋体"/>
                      <w:szCs w:val="21"/>
                      <w:highlight w:val="none"/>
                    </w:rPr>
                    <w:t>~</w:t>
                  </w:r>
                  <w:r>
                    <w:rPr>
                      <w:rFonts w:hint="eastAsia" w:ascii="Times New Roman" w:hAnsi="Times New Roman" w:eastAsia="宋体"/>
                      <w:szCs w:val="21"/>
                      <w:highlight w:val="none"/>
                      <w:lang w:val="en-US" w:eastAsia="zh-CN"/>
                    </w:rPr>
                    <w:t>55</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5</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kern w:val="0"/>
                      <w:szCs w:val="21"/>
                      <w:highlight w:val="none"/>
                    </w:rPr>
                    <w:t>结合剂搅拌桶</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70~80</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45</w:t>
                  </w:r>
                  <w:r>
                    <w:rPr>
                      <w:rFonts w:ascii="Times New Roman" w:hAnsi="Times New Roman" w:eastAsia="宋体"/>
                      <w:szCs w:val="21"/>
                      <w:highlight w:val="none"/>
                    </w:rPr>
                    <w:t>~</w:t>
                  </w:r>
                  <w:r>
                    <w:rPr>
                      <w:rFonts w:hint="eastAsia" w:ascii="Times New Roman" w:hAnsi="Times New Roman" w:eastAsia="宋体"/>
                      <w:szCs w:val="21"/>
                      <w:highlight w:val="none"/>
                      <w:lang w:val="en-US" w:eastAsia="zh-CN"/>
                    </w:rPr>
                    <w:t>55</w:t>
                  </w:r>
                </w:p>
              </w:tc>
            </w:tr>
            <w:tr>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6</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szCs w:val="21"/>
                      <w:highlight w:val="none"/>
                    </w:rPr>
                  </w:pPr>
                  <w:r>
                    <w:rPr>
                      <w:rFonts w:hint="eastAsia" w:ascii="Times New Roman" w:hAnsi="Times New Roman" w:eastAsia="宋体"/>
                      <w:kern w:val="0"/>
                      <w:szCs w:val="21"/>
                      <w:highlight w:val="none"/>
                    </w:rPr>
                    <w:t>双向加压全自动压机</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65~75</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top"/>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hint="eastAsia" w:ascii="Times New Roman" w:hAnsi="Times New Roman" w:eastAsia="宋体"/>
                      <w:szCs w:val="21"/>
                      <w:highlight w:val="none"/>
                      <w:lang w:eastAsia="zh-CN"/>
                    </w:rPr>
                  </w:pPr>
                  <w:r>
                    <w:rPr>
                      <w:rFonts w:ascii="Times New Roman" w:hAnsi="Times New Roman" w:eastAsia="宋体"/>
                      <w:szCs w:val="21"/>
                      <w:highlight w:val="none"/>
                    </w:rPr>
                    <w:t>4</w:t>
                  </w:r>
                  <w:r>
                    <w:rPr>
                      <w:rFonts w:hint="eastAsia" w:ascii="Times New Roman" w:hAnsi="Times New Roman" w:eastAsia="宋体"/>
                      <w:szCs w:val="21"/>
                      <w:highlight w:val="none"/>
                      <w:lang w:val="en-US" w:eastAsia="zh-CN"/>
                    </w:rPr>
                    <w:t>0</w:t>
                  </w:r>
                  <w:r>
                    <w:rPr>
                      <w:rFonts w:ascii="Times New Roman" w:hAnsi="Times New Roman" w:eastAsia="宋体"/>
                      <w:szCs w:val="21"/>
                      <w:highlight w:val="none"/>
                    </w:rPr>
                    <w:t>~5</w:t>
                  </w:r>
                  <w:r>
                    <w:rPr>
                      <w:rFonts w:hint="eastAsia" w:ascii="Times New Roman" w:hAnsi="Times New Roman" w:eastAsia="宋体"/>
                      <w:szCs w:val="21"/>
                      <w:highlight w:val="none"/>
                      <w:lang w:val="en-US" w:eastAsia="zh-CN"/>
                    </w:rPr>
                    <w:t>0</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7</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szCs w:val="21"/>
                      <w:highlight w:val="none"/>
                    </w:rPr>
                  </w:pPr>
                  <w:r>
                    <w:rPr>
                      <w:rFonts w:hint="eastAsia" w:ascii="Times New Roman" w:hAnsi="Times New Roman" w:eastAsia="宋体"/>
                      <w:kern w:val="0"/>
                      <w:szCs w:val="21"/>
                      <w:highlight w:val="none"/>
                    </w:rPr>
                    <w:t>电动振动器</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75~85</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top"/>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5</w:t>
                  </w:r>
                  <w:r>
                    <w:rPr>
                      <w:rFonts w:hint="eastAsia" w:ascii="Times New Roman" w:hAnsi="Times New Roman" w:eastAsia="宋体"/>
                      <w:szCs w:val="21"/>
                      <w:highlight w:val="none"/>
                      <w:lang w:val="en-US" w:eastAsia="zh-CN"/>
                    </w:rPr>
                    <w:t>0</w:t>
                  </w:r>
                  <w:r>
                    <w:rPr>
                      <w:rFonts w:ascii="Times New Roman" w:hAnsi="Times New Roman" w:eastAsia="宋体"/>
                      <w:szCs w:val="21"/>
                      <w:highlight w:val="none"/>
                    </w:rPr>
                    <w:t>~6</w:t>
                  </w:r>
                  <w:r>
                    <w:rPr>
                      <w:rFonts w:hint="eastAsia" w:ascii="Times New Roman" w:hAnsi="Times New Roman" w:eastAsia="宋体"/>
                      <w:szCs w:val="21"/>
                      <w:highlight w:val="none"/>
                      <w:lang w:val="en-US" w:eastAsia="zh-CN"/>
                    </w:rPr>
                    <w:t>0</w:t>
                  </w:r>
                </w:p>
              </w:tc>
            </w:tr>
          </w:tbl>
          <w:p>
            <w:pPr>
              <w:rPr>
                <w:rFonts w:ascii="Times New Roman" w:hAnsi="Times New Roman" w:eastAsia="宋体"/>
                <w:highlight w:val="none"/>
              </w:rPr>
            </w:pPr>
          </w:p>
          <w:p>
            <w:pPr>
              <w:spacing w:line="360" w:lineRule="auto"/>
              <w:ind w:firstLine="482" w:firstLineChars="200"/>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4、固体废物</w:t>
            </w:r>
          </w:p>
          <w:p>
            <w:pPr>
              <w:widowControl/>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（1）一般工业固体废物</w:t>
            </w:r>
          </w:p>
          <w:p>
            <w:pPr>
              <w:widowControl/>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本项目一般工业固废主要为除尘器收集的粉尘、</w:t>
            </w:r>
            <w:r>
              <w:rPr>
                <w:rFonts w:hint="eastAsia" w:ascii="Times New Roman" w:hAnsi="Times New Roman" w:eastAsia="宋体"/>
                <w:color w:val="000000"/>
                <w:sz w:val="24"/>
                <w:highlight w:val="none"/>
              </w:rPr>
              <w:t>振动筛废渣</w:t>
            </w:r>
            <w:r>
              <w:rPr>
                <w:rFonts w:ascii="Times New Roman" w:hAnsi="Times New Roman" w:eastAsia="宋体"/>
                <w:color w:val="000000"/>
                <w:sz w:val="24"/>
                <w:highlight w:val="none"/>
              </w:rPr>
              <w:t>、</w:t>
            </w:r>
            <w:r>
              <w:rPr>
                <w:rFonts w:hint="eastAsia" w:ascii="Times New Roman" w:hAnsi="Times New Roman" w:eastAsia="宋体"/>
                <w:color w:val="000000"/>
                <w:sz w:val="24"/>
                <w:highlight w:val="none"/>
              </w:rPr>
              <w:t>磁选机废渣</w:t>
            </w:r>
            <w:r>
              <w:rPr>
                <w:rFonts w:hint="eastAsia" w:ascii="Times New Roman" w:hAnsi="Times New Roman" w:eastAsia="宋体"/>
                <w:color w:val="000000"/>
                <w:sz w:val="24"/>
                <w:highlight w:val="none"/>
                <w:lang w:eastAsia="zh-CN"/>
              </w:rPr>
              <w:t>、成型废品、烧成废品</w:t>
            </w:r>
            <w:r>
              <w:rPr>
                <w:rFonts w:ascii="Times New Roman" w:hAnsi="Times New Roman" w:eastAsia="宋体"/>
                <w:color w:val="000000"/>
                <w:sz w:val="24"/>
                <w:highlight w:val="none"/>
              </w:rPr>
              <w:t>。</w:t>
            </w:r>
          </w:p>
          <w:p>
            <w:pPr>
              <w:widowControl/>
              <w:spacing w:line="360" w:lineRule="auto"/>
              <w:ind w:firstLine="480" w:firstLineChars="200"/>
              <w:rPr>
                <w:rFonts w:ascii="Times New Roman" w:hAnsi="Times New Roman" w:eastAsia="宋体"/>
                <w:color w:val="000000"/>
                <w:sz w:val="24"/>
                <w:highlight w:val="none"/>
              </w:rPr>
            </w:pPr>
            <w:r>
              <w:rPr>
                <w:rFonts w:hint="eastAsia" w:ascii="Times New Roman" w:hAnsi="Times New Roman" w:eastAsia="宋体"/>
                <w:color w:val="000000"/>
                <w:sz w:val="24"/>
                <w:highlight w:val="none"/>
                <w:lang w:val="en-US" w:eastAsia="zh-CN"/>
              </w:rPr>
              <w:t>通过除尘粉尘计算</w:t>
            </w:r>
            <w:r>
              <w:rPr>
                <w:rFonts w:ascii="Times New Roman" w:hAnsi="Times New Roman" w:eastAsia="宋体"/>
                <w:color w:val="000000"/>
                <w:sz w:val="24"/>
                <w:highlight w:val="none"/>
              </w:rPr>
              <w:t>，除尘器收集的粉尘约为</w:t>
            </w:r>
            <w:r>
              <w:rPr>
                <w:rFonts w:hint="eastAsia" w:ascii="Times New Roman" w:hAnsi="Times New Roman" w:eastAsia="宋体"/>
                <w:color w:val="000000"/>
                <w:sz w:val="24"/>
                <w:highlight w:val="none"/>
                <w:lang w:val="en-US" w:eastAsia="zh-CN"/>
              </w:rPr>
              <w:t>4828.3</w:t>
            </w:r>
            <w:r>
              <w:rPr>
                <w:rFonts w:hint="eastAsia" w:ascii="Times New Roman" w:hAnsi="Times New Roman" w:eastAsia="宋体"/>
                <w:color w:val="000000"/>
                <w:sz w:val="24"/>
                <w:highlight w:val="none"/>
                <w:lang w:eastAsia="zh-CN"/>
              </w:rPr>
              <w:t>t/a</w:t>
            </w:r>
            <w:r>
              <w:rPr>
                <w:rFonts w:ascii="Times New Roman" w:hAnsi="Times New Roman" w:eastAsia="宋体"/>
                <w:color w:val="000000"/>
                <w:sz w:val="24"/>
                <w:highlight w:val="none"/>
              </w:rPr>
              <w:t>，</w:t>
            </w:r>
            <w:r>
              <w:rPr>
                <w:rFonts w:hint="eastAsia" w:ascii="Times New Roman" w:hAnsi="Times New Roman" w:eastAsia="宋体"/>
                <w:color w:val="000000"/>
                <w:sz w:val="24"/>
                <w:highlight w:val="none"/>
                <w:lang w:eastAsia="zh-CN"/>
              </w:rPr>
              <w:t>回用于生产</w:t>
            </w:r>
            <w:r>
              <w:rPr>
                <w:rFonts w:ascii="Times New Roman" w:hAnsi="Times New Roman" w:eastAsia="宋体"/>
                <w:color w:val="000000"/>
                <w:sz w:val="24"/>
                <w:highlight w:val="none"/>
              </w:rPr>
              <w:t>，</w:t>
            </w:r>
            <w:r>
              <w:rPr>
                <w:rFonts w:hint="eastAsia" w:ascii="Times New Roman" w:hAnsi="Times New Roman" w:eastAsia="宋体"/>
                <w:color w:val="000000"/>
                <w:sz w:val="24"/>
                <w:highlight w:val="none"/>
                <w:lang w:eastAsia="zh-CN"/>
              </w:rPr>
              <w:t>振动筛产生的废渣年产生量约为2640</w:t>
            </w:r>
            <w:r>
              <w:rPr>
                <w:rFonts w:hint="eastAsia" w:ascii="Times New Roman" w:hAnsi="Times New Roman" w:eastAsia="宋体"/>
                <w:color w:val="000000"/>
                <w:sz w:val="24"/>
                <w:highlight w:val="none"/>
                <w:lang w:val="en-US" w:eastAsia="zh-CN"/>
              </w:rPr>
              <w:t>t</w:t>
            </w:r>
            <w:r>
              <w:rPr>
                <w:rFonts w:hint="eastAsia" w:ascii="Times New Roman" w:hAnsi="Times New Roman" w:eastAsia="宋体"/>
                <w:color w:val="000000"/>
                <w:sz w:val="24"/>
                <w:highlight w:val="none"/>
                <w:lang w:eastAsia="zh-CN"/>
              </w:rPr>
              <w:t>，回用于生产，成型废品年产生量约为</w:t>
            </w:r>
            <w:r>
              <w:rPr>
                <w:rFonts w:hint="eastAsia" w:ascii="Times New Roman" w:hAnsi="Times New Roman" w:eastAsia="宋体"/>
                <w:color w:val="000000"/>
                <w:sz w:val="24"/>
                <w:highlight w:val="none"/>
                <w:lang w:val="en-US" w:eastAsia="zh-CN"/>
              </w:rPr>
              <w:t>330t，回用于生产，烧成废品</w:t>
            </w:r>
            <w:r>
              <w:rPr>
                <w:rFonts w:hint="eastAsia" w:ascii="Times New Roman" w:hAnsi="Times New Roman" w:eastAsia="宋体"/>
                <w:color w:val="000000"/>
                <w:sz w:val="24"/>
                <w:highlight w:val="none"/>
                <w:lang w:eastAsia="zh-CN"/>
              </w:rPr>
              <w:t>年产生量约为</w:t>
            </w:r>
            <w:r>
              <w:rPr>
                <w:rFonts w:hint="eastAsia" w:ascii="Times New Roman" w:hAnsi="Times New Roman" w:eastAsia="宋体"/>
                <w:color w:val="000000"/>
                <w:sz w:val="24"/>
                <w:highlight w:val="none"/>
                <w:lang w:val="en-US" w:eastAsia="zh-CN"/>
              </w:rPr>
              <w:t>660t，回用于生产。磁选机产生的废渣年</w:t>
            </w:r>
            <w:r>
              <w:rPr>
                <w:rFonts w:ascii="Times New Roman" w:hAnsi="Times New Roman" w:eastAsia="宋体"/>
                <w:color w:val="000000"/>
                <w:sz w:val="24"/>
                <w:highlight w:val="none"/>
              </w:rPr>
              <w:t>产生量约为</w:t>
            </w:r>
            <w:r>
              <w:rPr>
                <w:rFonts w:hint="eastAsia" w:ascii="Times New Roman" w:hAnsi="Times New Roman" w:eastAsia="宋体"/>
                <w:color w:val="000000"/>
                <w:sz w:val="24"/>
                <w:highlight w:val="none"/>
                <w:lang w:val="en-US" w:eastAsia="zh-CN"/>
              </w:rPr>
              <w:t>8.58</w:t>
            </w:r>
            <w:r>
              <w:rPr>
                <w:rFonts w:ascii="Times New Roman" w:hAnsi="Times New Roman" w:eastAsia="宋体"/>
                <w:color w:val="000000"/>
                <w:sz w:val="24"/>
                <w:highlight w:val="none"/>
              </w:rPr>
              <w:t>t，</w:t>
            </w:r>
            <w:r>
              <w:rPr>
                <w:rFonts w:ascii="Times New Roman" w:hAnsi="Times New Roman" w:eastAsia="宋体"/>
                <w:color w:val="000000"/>
                <w:sz w:val="24"/>
                <w:szCs w:val="22"/>
                <w:highlight w:val="none"/>
              </w:rPr>
              <w:t>收集后外</w:t>
            </w:r>
            <w:r>
              <w:rPr>
                <w:rFonts w:hint="eastAsia" w:ascii="Times New Roman" w:hAnsi="Times New Roman" w:eastAsia="宋体"/>
                <w:color w:val="000000"/>
                <w:sz w:val="24"/>
                <w:szCs w:val="22"/>
                <w:highlight w:val="none"/>
                <w:lang w:eastAsia="zh-CN"/>
              </w:rPr>
              <w:t>售</w:t>
            </w:r>
            <w:r>
              <w:rPr>
                <w:rFonts w:ascii="Times New Roman" w:hAnsi="Times New Roman" w:eastAsia="宋体"/>
                <w:color w:val="000000"/>
                <w:sz w:val="24"/>
                <w:szCs w:val="22"/>
                <w:highlight w:val="none"/>
              </w:rPr>
              <w:t>。</w:t>
            </w:r>
          </w:p>
          <w:p>
            <w:pPr>
              <w:pStyle w:val="27"/>
              <w:spacing w:after="0"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w:t>
            </w:r>
            <w:r>
              <w:rPr>
                <w:rFonts w:hint="eastAsia" w:ascii="Times New Roman" w:hAnsi="Times New Roman" w:eastAsia="宋体"/>
                <w:color w:val="000000"/>
                <w:sz w:val="24"/>
                <w:szCs w:val="22"/>
                <w:highlight w:val="none"/>
                <w:lang w:val="en-US" w:eastAsia="zh-CN"/>
              </w:rPr>
              <w:t>2</w:t>
            </w:r>
            <w:r>
              <w:rPr>
                <w:rFonts w:ascii="Times New Roman" w:hAnsi="Times New Roman" w:eastAsia="宋体"/>
                <w:color w:val="000000"/>
                <w:sz w:val="24"/>
                <w:szCs w:val="22"/>
                <w:highlight w:val="none"/>
              </w:rPr>
              <w:t>）生活垃圾</w:t>
            </w:r>
          </w:p>
          <w:p>
            <w:pPr>
              <w:pStyle w:val="27"/>
              <w:spacing w:after="0"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本项目员工人数为</w:t>
            </w:r>
            <w:r>
              <w:rPr>
                <w:rFonts w:hint="eastAsia" w:ascii="Times New Roman" w:hAnsi="Times New Roman" w:eastAsia="宋体"/>
                <w:color w:val="000000"/>
                <w:sz w:val="24"/>
                <w:szCs w:val="22"/>
                <w:highlight w:val="none"/>
                <w:lang w:val="en-US" w:eastAsia="zh-CN"/>
              </w:rPr>
              <w:t>142</w:t>
            </w:r>
            <w:r>
              <w:rPr>
                <w:rFonts w:ascii="Times New Roman" w:hAnsi="Times New Roman" w:eastAsia="宋体"/>
                <w:color w:val="000000"/>
                <w:sz w:val="24"/>
                <w:szCs w:val="22"/>
                <w:highlight w:val="none"/>
              </w:rPr>
              <w:t>人，生活垃圾产生量为0.5kg/人·d，则</w:t>
            </w:r>
            <w:r>
              <w:rPr>
                <w:rFonts w:hint="eastAsia" w:ascii="Times New Roman" w:hAnsi="Times New Roman" w:eastAsia="宋体"/>
                <w:color w:val="000000"/>
                <w:sz w:val="24"/>
                <w:szCs w:val="22"/>
                <w:highlight w:val="none"/>
                <w:lang w:eastAsia="zh-CN"/>
              </w:rPr>
              <w:t>生活垃圾</w:t>
            </w:r>
            <w:r>
              <w:rPr>
                <w:rFonts w:ascii="Times New Roman" w:hAnsi="Times New Roman" w:eastAsia="宋体"/>
                <w:color w:val="000000"/>
                <w:sz w:val="24"/>
                <w:szCs w:val="22"/>
                <w:highlight w:val="none"/>
              </w:rPr>
              <w:t>产生量为</w:t>
            </w:r>
            <w:r>
              <w:rPr>
                <w:rFonts w:hint="eastAsia" w:ascii="Times New Roman" w:hAnsi="Times New Roman" w:eastAsia="宋体"/>
                <w:color w:val="000000"/>
                <w:sz w:val="24"/>
                <w:szCs w:val="22"/>
                <w:highlight w:val="none"/>
                <w:lang w:val="en-US" w:eastAsia="zh-CN"/>
              </w:rPr>
              <w:t>71kg</w:t>
            </w:r>
            <w:r>
              <w:rPr>
                <w:rFonts w:ascii="Times New Roman" w:hAnsi="Times New Roman" w:eastAsia="宋体"/>
                <w:color w:val="000000"/>
                <w:sz w:val="24"/>
                <w:szCs w:val="22"/>
                <w:highlight w:val="none"/>
              </w:rPr>
              <w:t>/d</w:t>
            </w:r>
            <w:r>
              <w:rPr>
                <w:rFonts w:hint="eastAsia" w:ascii="Times New Roman" w:hAnsi="Times New Roman" w:eastAsia="宋体"/>
                <w:color w:val="000000"/>
                <w:sz w:val="24"/>
                <w:szCs w:val="22"/>
                <w:highlight w:val="none"/>
                <w:lang w:eastAsia="zh-CN"/>
              </w:rPr>
              <w:t>，</w:t>
            </w:r>
            <w:r>
              <w:rPr>
                <w:rFonts w:hint="eastAsia" w:ascii="Times New Roman" w:hAnsi="Times New Roman" w:eastAsia="宋体"/>
                <w:color w:val="000000"/>
                <w:sz w:val="24"/>
                <w:szCs w:val="22"/>
                <w:highlight w:val="none"/>
                <w:lang w:val="en-US" w:eastAsia="zh-CN"/>
              </w:rPr>
              <w:t>23.43t/a</w:t>
            </w:r>
            <w:r>
              <w:rPr>
                <w:rFonts w:ascii="Times New Roman" w:hAnsi="Times New Roman" w:eastAsia="宋体"/>
                <w:color w:val="000000"/>
                <w:sz w:val="24"/>
                <w:szCs w:val="22"/>
                <w:highlight w:val="none"/>
              </w:rPr>
              <w:t>。生活垃圾收集于垃圾桶内，由环卫部门运至生活垃圾处置场处理。</w:t>
            </w:r>
          </w:p>
          <w:p>
            <w:pPr>
              <w:pStyle w:val="27"/>
              <w:spacing w:after="0" w:line="360" w:lineRule="auto"/>
              <w:ind w:firstLine="0" w:firstLineChars="0"/>
              <w:jc w:val="center"/>
              <w:rPr>
                <w:rFonts w:ascii="Times New Roman" w:hAnsi="Times New Roman" w:eastAsia="宋体"/>
                <w:b/>
                <w:bCs/>
                <w:color w:val="000000"/>
                <w:sz w:val="24"/>
                <w:szCs w:val="24"/>
                <w:highlight w:val="none"/>
              </w:rPr>
            </w:pPr>
          </w:p>
          <w:p>
            <w:pPr>
              <w:pStyle w:val="27"/>
              <w:spacing w:after="0" w:line="360" w:lineRule="auto"/>
              <w:ind w:firstLine="0" w:firstLineChars="0"/>
              <w:jc w:val="center"/>
              <w:rPr>
                <w:rFonts w:ascii="Times New Roman" w:hAnsi="Times New Roman" w:eastAsia="宋体"/>
                <w:b/>
                <w:bCs/>
                <w:color w:val="000000"/>
                <w:sz w:val="24"/>
                <w:szCs w:val="24"/>
                <w:highlight w:val="none"/>
              </w:rPr>
            </w:pPr>
          </w:p>
          <w:p>
            <w:pPr>
              <w:pStyle w:val="27"/>
              <w:spacing w:after="0" w:line="360" w:lineRule="auto"/>
              <w:ind w:firstLine="0" w:firstLineChars="0"/>
              <w:jc w:val="center"/>
              <w:rPr>
                <w:rFonts w:ascii="Times New Roman" w:hAnsi="Times New Roman" w:eastAsia="宋体"/>
                <w:b/>
                <w:bCs/>
                <w:color w:val="000000"/>
                <w:sz w:val="24"/>
                <w:szCs w:val="24"/>
                <w:highlight w:val="none"/>
              </w:rPr>
            </w:pPr>
          </w:p>
          <w:p>
            <w:pPr>
              <w:pStyle w:val="27"/>
              <w:spacing w:after="0" w:line="360" w:lineRule="auto"/>
              <w:ind w:firstLine="0" w:firstLineChars="0"/>
              <w:jc w:val="center"/>
              <w:rPr>
                <w:rFonts w:ascii="Times New Roman" w:hAnsi="Times New Roman" w:eastAsia="宋体"/>
                <w:b/>
                <w:bCs/>
                <w:color w:val="000000"/>
                <w:sz w:val="24"/>
                <w:szCs w:val="24"/>
                <w:highlight w:val="none"/>
              </w:rPr>
            </w:pPr>
          </w:p>
          <w:p>
            <w:pPr>
              <w:pStyle w:val="27"/>
              <w:spacing w:after="0" w:line="360" w:lineRule="auto"/>
              <w:ind w:firstLine="0" w:firstLineChars="0"/>
              <w:jc w:val="center"/>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表5-</w:t>
            </w:r>
            <w:r>
              <w:rPr>
                <w:rFonts w:hint="eastAsia" w:ascii="Times New Roman" w:hAnsi="Times New Roman" w:eastAsia="宋体"/>
                <w:b/>
                <w:bCs/>
                <w:color w:val="000000"/>
                <w:sz w:val="24"/>
                <w:szCs w:val="24"/>
                <w:highlight w:val="none"/>
                <w:lang w:val="en-US" w:eastAsia="zh-CN"/>
              </w:rPr>
              <w:t>5</w:t>
            </w:r>
            <w:r>
              <w:rPr>
                <w:rFonts w:ascii="Times New Roman" w:hAnsi="Times New Roman" w:eastAsia="宋体"/>
                <w:b/>
                <w:bCs/>
                <w:color w:val="000000"/>
                <w:sz w:val="24"/>
                <w:szCs w:val="24"/>
                <w:highlight w:val="none"/>
              </w:rPr>
              <w:t xml:space="preserve">  项目固废产排情况一览表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998"/>
              <w:gridCol w:w="1261"/>
              <w:gridCol w:w="893"/>
              <w:gridCol w:w="610"/>
              <w:gridCol w:w="1374"/>
              <w:gridCol w:w="1090"/>
              <w:gridCol w:w="1059"/>
              <w:gridCol w:w="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3"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序号</w:t>
                  </w:r>
                </w:p>
              </w:tc>
              <w:tc>
                <w:tcPr>
                  <w:tcW w:w="99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固废名称</w:t>
                  </w:r>
                </w:p>
              </w:tc>
              <w:tc>
                <w:tcPr>
                  <w:tcW w:w="1261"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废物代码</w:t>
                  </w:r>
                </w:p>
              </w:tc>
              <w:tc>
                <w:tcPr>
                  <w:tcW w:w="893"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来源</w:t>
                  </w:r>
                </w:p>
              </w:tc>
              <w:tc>
                <w:tcPr>
                  <w:tcW w:w="610"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状态</w:t>
                  </w:r>
                </w:p>
              </w:tc>
              <w:tc>
                <w:tcPr>
                  <w:tcW w:w="1374"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存放地点</w:t>
                  </w:r>
                </w:p>
              </w:tc>
              <w:tc>
                <w:tcPr>
                  <w:tcW w:w="1090"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产生量</w:t>
                  </w:r>
                </w:p>
              </w:tc>
              <w:tc>
                <w:tcPr>
                  <w:tcW w:w="1059"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处置方式</w:t>
                  </w:r>
                </w:p>
              </w:tc>
              <w:tc>
                <w:tcPr>
                  <w:tcW w:w="52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3"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1</w:t>
                  </w:r>
                </w:p>
              </w:tc>
              <w:tc>
                <w:tcPr>
                  <w:tcW w:w="998" w:type="dxa"/>
                  <w:noWrap w:val="0"/>
                  <w:vAlign w:val="center"/>
                </w:tcPr>
                <w:p>
                  <w:pPr>
                    <w:pStyle w:val="91"/>
                    <w:spacing w:line="240" w:lineRule="atLeast"/>
                    <w:ind w:firstLine="0" w:firstLineChars="0"/>
                    <w:jc w:val="center"/>
                    <w:rPr>
                      <w:rFonts w:hint="default" w:ascii="Times New Roman" w:hAnsi="Times New Roman" w:eastAsia="宋体"/>
                      <w:color w:val="000000"/>
                      <w:highlight w:val="none"/>
                      <w:lang w:val="en-US" w:eastAsia="zh-CN"/>
                    </w:rPr>
                  </w:pPr>
                  <w:r>
                    <w:rPr>
                      <w:rFonts w:hint="eastAsia" w:ascii="Times New Roman" w:hAnsi="Times New Roman" w:eastAsia="宋体"/>
                      <w:color w:val="000000"/>
                      <w:highlight w:val="none"/>
                      <w:lang w:val="en-US" w:eastAsia="zh-CN"/>
                    </w:rPr>
                    <w:t>除尘灰</w:t>
                  </w:r>
                </w:p>
              </w:tc>
              <w:tc>
                <w:tcPr>
                  <w:tcW w:w="1261"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一般</w:t>
                  </w:r>
                </w:p>
              </w:tc>
              <w:tc>
                <w:tcPr>
                  <w:tcW w:w="89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eastAsia="zh-CN"/>
                    </w:rPr>
                    <w:t>除尘器</w:t>
                  </w:r>
                </w:p>
              </w:tc>
              <w:tc>
                <w:tcPr>
                  <w:tcW w:w="610"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固态</w:t>
                  </w:r>
                </w:p>
              </w:tc>
              <w:tc>
                <w:tcPr>
                  <w:tcW w:w="1374" w:type="dxa"/>
                  <w:vMerge w:val="restar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一般固废暂存场所</w:t>
                  </w:r>
                </w:p>
              </w:tc>
              <w:tc>
                <w:tcPr>
                  <w:tcW w:w="1090"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lang w:val="en-US" w:eastAsia="zh-CN"/>
                    </w:rPr>
                    <w:t>4828.3</w:t>
                  </w:r>
                  <w:r>
                    <w:rPr>
                      <w:rFonts w:hint="eastAsia" w:ascii="Times New Roman" w:hAnsi="Times New Roman" w:eastAsia="宋体"/>
                      <w:color w:val="000000"/>
                      <w:szCs w:val="21"/>
                      <w:highlight w:val="none"/>
                    </w:rPr>
                    <w:t>t/a</w:t>
                  </w:r>
                </w:p>
              </w:tc>
              <w:tc>
                <w:tcPr>
                  <w:tcW w:w="1059" w:type="dxa"/>
                  <w:vMerge w:val="restart"/>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eastAsia="zh-CN"/>
                    </w:rPr>
                    <w:t>回用于生产</w:t>
                  </w:r>
                </w:p>
              </w:tc>
              <w:tc>
                <w:tcPr>
                  <w:tcW w:w="52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2</w:t>
                  </w:r>
                </w:p>
              </w:tc>
              <w:tc>
                <w:tcPr>
                  <w:tcW w:w="99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szCs w:val="24"/>
                    </w:rPr>
                    <w:t>振动筛废渣</w:t>
                  </w:r>
                </w:p>
              </w:tc>
              <w:tc>
                <w:tcPr>
                  <w:tcW w:w="1261"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一般</w:t>
                  </w:r>
                </w:p>
              </w:tc>
              <w:tc>
                <w:tcPr>
                  <w:tcW w:w="89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eastAsia="zh-CN"/>
                    </w:rPr>
                    <w:t>振动筛</w:t>
                  </w:r>
                </w:p>
              </w:tc>
              <w:tc>
                <w:tcPr>
                  <w:tcW w:w="610"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固态</w:t>
                  </w:r>
                </w:p>
              </w:tc>
              <w:tc>
                <w:tcPr>
                  <w:tcW w:w="1374" w:type="dxa"/>
                  <w:vMerge w:val="continue"/>
                  <w:noWrap w:val="0"/>
                  <w:vAlign w:val="center"/>
                </w:tcPr>
                <w:p>
                  <w:pPr>
                    <w:spacing w:line="240" w:lineRule="atLeast"/>
                    <w:jc w:val="center"/>
                    <w:rPr>
                      <w:rFonts w:ascii="Times New Roman" w:hAnsi="Times New Roman" w:eastAsia="宋体"/>
                      <w:color w:val="000000"/>
                      <w:szCs w:val="21"/>
                      <w:highlight w:val="none"/>
                    </w:rPr>
                  </w:pPr>
                </w:p>
              </w:tc>
              <w:tc>
                <w:tcPr>
                  <w:tcW w:w="1090" w:type="dxa"/>
                  <w:noWrap w:val="0"/>
                  <w:vAlign w:val="center"/>
                </w:tcPr>
                <w:p>
                  <w:pPr>
                    <w:pStyle w:val="91"/>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3640</w:t>
                  </w:r>
                </w:p>
              </w:tc>
              <w:tc>
                <w:tcPr>
                  <w:tcW w:w="1059" w:type="dxa"/>
                  <w:vMerge w:val="continue"/>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rPr>
                  </w:pPr>
                </w:p>
              </w:tc>
              <w:tc>
                <w:tcPr>
                  <w:tcW w:w="528"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3</w:t>
                  </w:r>
                </w:p>
              </w:tc>
              <w:tc>
                <w:tcPr>
                  <w:tcW w:w="99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szCs w:val="24"/>
                    </w:rPr>
                    <w:t>成型废品</w:t>
                  </w:r>
                </w:p>
              </w:tc>
              <w:tc>
                <w:tcPr>
                  <w:tcW w:w="1261"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一般</w:t>
                  </w:r>
                </w:p>
              </w:tc>
              <w:tc>
                <w:tcPr>
                  <w:tcW w:w="89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eastAsia="zh-CN"/>
                    </w:rPr>
                    <w:t>成型</w:t>
                  </w:r>
                </w:p>
              </w:tc>
              <w:tc>
                <w:tcPr>
                  <w:tcW w:w="610"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固态</w:t>
                  </w:r>
                </w:p>
              </w:tc>
              <w:tc>
                <w:tcPr>
                  <w:tcW w:w="1374" w:type="dxa"/>
                  <w:vMerge w:val="continue"/>
                  <w:noWrap w:val="0"/>
                  <w:vAlign w:val="center"/>
                </w:tcPr>
                <w:p>
                  <w:pPr>
                    <w:spacing w:line="240" w:lineRule="atLeast"/>
                    <w:jc w:val="center"/>
                    <w:rPr>
                      <w:rFonts w:ascii="Times New Roman" w:hAnsi="Times New Roman" w:eastAsia="宋体"/>
                      <w:color w:val="000000"/>
                      <w:szCs w:val="21"/>
                      <w:highlight w:val="none"/>
                    </w:rPr>
                  </w:pPr>
                </w:p>
              </w:tc>
              <w:tc>
                <w:tcPr>
                  <w:tcW w:w="1090" w:type="dxa"/>
                  <w:noWrap w:val="0"/>
                  <w:vAlign w:val="center"/>
                </w:tcPr>
                <w:p>
                  <w:pPr>
                    <w:pStyle w:val="91"/>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330</w:t>
                  </w:r>
                </w:p>
              </w:tc>
              <w:tc>
                <w:tcPr>
                  <w:tcW w:w="1059" w:type="dxa"/>
                  <w:vMerge w:val="continue"/>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rPr>
                  </w:pPr>
                </w:p>
              </w:tc>
              <w:tc>
                <w:tcPr>
                  <w:tcW w:w="528"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4</w:t>
                  </w:r>
                </w:p>
              </w:tc>
              <w:tc>
                <w:tcPr>
                  <w:tcW w:w="99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szCs w:val="24"/>
                    </w:rPr>
                    <w:t>烧成废品</w:t>
                  </w:r>
                </w:p>
              </w:tc>
              <w:tc>
                <w:tcPr>
                  <w:tcW w:w="1261"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一般</w:t>
                  </w:r>
                </w:p>
              </w:tc>
              <w:tc>
                <w:tcPr>
                  <w:tcW w:w="89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eastAsia="zh-CN"/>
                    </w:rPr>
                    <w:t>烧成</w:t>
                  </w:r>
                </w:p>
              </w:tc>
              <w:tc>
                <w:tcPr>
                  <w:tcW w:w="610"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固态</w:t>
                  </w:r>
                </w:p>
              </w:tc>
              <w:tc>
                <w:tcPr>
                  <w:tcW w:w="1374" w:type="dxa"/>
                  <w:vMerge w:val="continue"/>
                  <w:noWrap w:val="0"/>
                  <w:vAlign w:val="center"/>
                </w:tcPr>
                <w:p>
                  <w:pPr>
                    <w:spacing w:line="240" w:lineRule="atLeast"/>
                    <w:jc w:val="center"/>
                    <w:rPr>
                      <w:rFonts w:ascii="Times New Roman" w:hAnsi="Times New Roman" w:eastAsia="宋体"/>
                      <w:color w:val="000000"/>
                      <w:szCs w:val="21"/>
                      <w:highlight w:val="none"/>
                    </w:rPr>
                  </w:pPr>
                </w:p>
              </w:tc>
              <w:tc>
                <w:tcPr>
                  <w:tcW w:w="1090" w:type="dxa"/>
                  <w:noWrap w:val="0"/>
                  <w:vAlign w:val="center"/>
                </w:tcPr>
                <w:p>
                  <w:pPr>
                    <w:pStyle w:val="91"/>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660</w:t>
                  </w:r>
                </w:p>
              </w:tc>
              <w:tc>
                <w:tcPr>
                  <w:tcW w:w="1059" w:type="dxa"/>
                  <w:vMerge w:val="continue"/>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rPr>
                  </w:pPr>
                </w:p>
              </w:tc>
              <w:tc>
                <w:tcPr>
                  <w:tcW w:w="528"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5</w:t>
                  </w:r>
                </w:p>
              </w:tc>
              <w:tc>
                <w:tcPr>
                  <w:tcW w:w="99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szCs w:val="24"/>
                    </w:rPr>
                    <w:t>磁选机废渣</w:t>
                  </w:r>
                </w:p>
              </w:tc>
              <w:tc>
                <w:tcPr>
                  <w:tcW w:w="1261"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一般</w:t>
                  </w:r>
                </w:p>
              </w:tc>
              <w:tc>
                <w:tcPr>
                  <w:tcW w:w="89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eastAsia="zh-CN"/>
                    </w:rPr>
                    <w:t>磁选机</w:t>
                  </w:r>
                </w:p>
              </w:tc>
              <w:tc>
                <w:tcPr>
                  <w:tcW w:w="610" w:type="dxa"/>
                  <w:noWrap w:val="0"/>
                  <w:vAlign w:val="center"/>
                </w:tcPr>
                <w:p>
                  <w:pPr>
                    <w:spacing w:line="240" w:lineRule="atLeast"/>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固态</w:t>
                  </w:r>
                </w:p>
              </w:tc>
              <w:tc>
                <w:tcPr>
                  <w:tcW w:w="1374" w:type="dxa"/>
                  <w:vMerge w:val="continue"/>
                  <w:noWrap w:val="0"/>
                  <w:vAlign w:val="center"/>
                </w:tcPr>
                <w:p>
                  <w:pPr>
                    <w:spacing w:line="240" w:lineRule="atLeast"/>
                    <w:jc w:val="center"/>
                    <w:rPr>
                      <w:rFonts w:ascii="Times New Roman" w:hAnsi="Times New Roman" w:eastAsia="宋体"/>
                      <w:color w:val="000000"/>
                      <w:szCs w:val="21"/>
                      <w:highlight w:val="none"/>
                    </w:rPr>
                  </w:pPr>
                </w:p>
              </w:tc>
              <w:tc>
                <w:tcPr>
                  <w:tcW w:w="1090" w:type="dxa"/>
                  <w:noWrap w:val="0"/>
                  <w:vAlign w:val="center"/>
                </w:tcPr>
                <w:p>
                  <w:pPr>
                    <w:pStyle w:val="91"/>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8.58</w:t>
                  </w:r>
                </w:p>
              </w:tc>
              <w:tc>
                <w:tcPr>
                  <w:tcW w:w="1059"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eastAsia="zh-CN"/>
                    </w:rPr>
                    <w:t>外售</w:t>
                  </w:r>
                </w:p>
              </w:tc>
              <w:tc>
                <w:tcPr>
                  <w:tcW w:w="528"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3" w:type="dxa"/>
                  <w:noWrap w:val="0"/>
                  <w:vAlign w:val="center"/>
                </w:tcPr>
                <w:p>
                  <w:pPr>
                    <w:pStyle w:val="91"/>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val="en-US" w:eastAsia="zh-CN"/>
                    </w:rPr>
                    <w:t>6</w:t>
                  </w:r>
                </w:p>
              </w:tc>
              <w:tc>
                <w:tcPr>
                  <w:tcW w:w="99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ascii="Times New Roman" w:hAnsi="Times New Roman" w:eastAsia="宋体"/>
                      <w:color w:val="000000"/>
                      <w:szCs w:val="21"/>
                      <w:highlight w:val="none"/>
                      <w:lang w:eastAsia="en-US"/>
                    </w:rPr>
                    <w:t>生活垃圾</w:t>
                  </w:r>
                </w:p>
              </w:tc>
              <w:tc>
                <w:tcPr>
                  <w:tcW w:w="1261"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一般</w:t>
                  </w:r>
                </w:p>
              </w:tc>
              <w:tc>
                <w:tcPr>
                  <w:tcW w:w="893"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ascii="Times New Roman" w:hAnsi="Times New Roman" w:eastAsia="宋体"/>
                      <w:color w:val="000000"/>
                      <w:szCs w:val="21"/>
                      <w:highlight w:val="none"/>
                      <w:lang w:eastAsia="en-US"/>
                    </w:rPr>
                    <w:t>各车间 各部门</w:t>
                  </w:r>
                </w:p>
              </w:tc>
              <w:tc>
                <w:tcPr>
                  <w:tcW w:w="610"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固态</w:t>
                  </w:r>
                </w:p>
              </w:tc>
              <w:tc>
                <w:tcPr>
                  <w:tcW w:w="1374"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厂垃圾收集处单独存放</w:t>
                  </w:r>
                </w:p>
              </w:tc>
              <w:tc>
                <w:tcPr>
                  <w:tcW w:w="1090"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lang w:val="en-US" w:eastAsia="zh-CN"/>
                    </w:rPr>
                    <w:t>23.43</w:t>
                  </w:r>
                  <w:r>
                    <w:rPr>
                      <w:rFonts w:hint="eastAsia" w:ascii="Times New Roman" w:hAnsi="Times New Roman" w:eastAsia="宋体"/>
                      <w:color w:val="000000"/>
                      <w:szCs w:val="21"/>
                      <w:highlight w:val="none"/>
                    </w:rPr>
                    <w:t>t/a</w:t>
                  </w:r>
                </w:p>
              </w:tc>
              <w:tc>
                <w:tcPr>
                  <w:tcW w:w="1059"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rPr>
                    <w:t>由</w:t>
                  </w:r>
                  <w:r>
                    <w:rPr>
                      <w:rFonts w:ascii="Times New Roman" w:hAnsi="Times New Roman" w:eastAsia="宋体"/>
                      <w:color w:val="000000"/>
                      <w:szCs w:val="21"/>
                      <w:highlight w:val="none"/>
                      <w:lang w:eastAsia="en-US"/>
                    </w:rPr>
                    <w:t>环卫部门处置</w:t>
                  </w:r>
                </w:p>
              </w:tc>
              <w:tc>
                <w:tcPr>
                  <w:tcW w:w="528" w:type="dxa"/>
                  <w:noWrap w:val="0"/>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r>
                    <w:rPr>
                      <w:rFonts w:ascii="Times New Roman" w:hAnsi="Times New Roman" w:eastAsia="宋体"/>
                      <w:color w:val="000000"/>
                      <w:szCs w:val="21"/>
                      <w:highlight w:val="none"/>
                      <w:lang w:eastAsia="en-US"/>
                    </w:rPr>
                    <w:t>0</w:t>
                  </w:r>
                </w:p>
              </w:tc>
            </w:tr>
          </w:tbl>
          <w:p>
            <w:pPr>
              <w:pStyle w:val="13"/>
              <w:spacing w:line="360" w:lineRule="auto"/>
              <w:ind w:firstLine="482" w:firstLineChars="200"/>
              <w:rPr>
                <w:rFonts w:hint="default" w:ascii="Times New Roman" w:hAnsi="Times New Roman" w:eastAsia="宋体"/>
                <w:b/>
                <w:bCs/>
                <w:color w:val="000000"/>
                <w:sz w:val="24"/>
                <w:lang w:val="en-US" w:eastAsia="zh-CN"/>
              </w:rPr>
            </w:pPr>
            <w:r>
              <w:rPr>
                <w:rFonts w:ascii="Times New Roman" w:hAnsi="Times New Roman" w:eastAsia="宋体"/>
                <w:b/>
                <w:bCs/>
                <w:color w:val="000000"/>
                <w:sz w:val="24"/>
              </w:rPr>
              <w:t>5、</w:t>
            </w:r>
            <w:r>
              <w:rPr>
                <w:rFonts w:hint="eastAsia" w:ascii="Times New Roman" w:hAnsi="Times New Roman" w:eastAsia="宋体"/>
                <w:b/>
                <w:bCs/>
                <w:color w:val="000000"/>
                <w:sz w:val="24"/>
                <w:lang w:val="en-US" w:eastAsia="zh-CN"/>
              </w:rPr>
              <w:t>项目污染物三本账</w:t>
            </w:r>
          </w:p>
          <w:p>
            <w:pPr>
              <w:widowControl/>
              <w:spacing w:line="360" w:lineRule="auto"/>
              <w:jc w:val="center"/>
              <w:rPr>
                <w:rFonts w:ascii="Times New Roman" w:hAnsi="Times New Roman" w:eastAsia="宋体"/>
                <w:b/>
                <w:color w:val="000000"/>
                <w:sz w:val="24"/>
                <w:szCs w:val="24"/>
                <w:highlight w:val="none"/>
              </w:rPr>
            </w:pPr>
            <w:r>
              <w:rPr>
                <w:rFonts w:ascii="Times New Roman" w:hAnsi="Times New Roman" w:eastAsia="宋体"/>
                <w:b/>
                <w:bCs/>
                <w:color w:val="000000"/>
                <w:sz w:val="24"/>
                <w:szCs w:val="22"/>
                <w:highlight w:val="none"/>
              </w:rPr>
              <w:t>表</w:t>
            </w:r>
            <w:r>
              <w:rPr>
                <w:rFonts w:hint="eastAsia"/>
                <w:b/>
                <w:bCs/>
                <w:color w:val="000000"/>
                <w:sz w:val="24"/>
                <w:szCs w:val="22"/>
                <w:highlight w:val="none"/>
                <w:lang w:val="en-US" w:eastAsia="zh-CN"/>
              </w:rPr>
              <w:t>5-6</w:t>
            </w:r>
            <w:r>
              <w:rPr>
                <w:rFonts w:ascii="Times New Roman" w:hAnsi="Times New Roman" w:eastAsia="宋体"/>
                <w:b/>
                <w:bCs/>
                <w:color w:val="000000"/>
                <w:sz w:val="24"/>
                <w:szCs w:val="22"/>
                <w:highlight w:val="none"/>
              </w:rPr>
              <w:t xml:space="preserve"> </w:t>
            </w:r>
            <w:r>
              <w:rPr>
                <w:rFonts w:hint="eastAsia" w:ascii="Times New Roman" w:hAnsi="Times New Roman" w:eastAsia="宋体"/>
                <w:b/>
                <w:bCs/>
                <w:color w:val="000000"/>
                <w:sz w:val="24"/>
                <w:szCs w:val="22"/>
                <w:highlight w:val="none"/>
                <w:lang w:val="en-US" w:eastAsia="zh-CN"/>
              </w:rPr>
              <w:t>污染物排放“三本账”汇总表</w:t>
            </w:r>
            <w:r>
              <w:rPr>
                <w:rFonts w:ascii="Times New Roman" w:hAnsi="Times New Roman" w:eastAsia="宋体"/>
                <w:b/>
                <w:color w:val="000000"/>
                <w:sz w:val="24"/>
                <w:szCs w:val="24"/>
                <w:highlight w:val="none"/>
              </w:rPr>
              <w:t xml:space="preserve"> </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78"/>
              <w:gridCol w:w="1362"/>
              <w:gridCol w:w="1850"/>
              <w:gridCol w:w="1651"/>
              <w:gridCol w:w="1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87"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种类</w:t>
                  </w:r>
                </w:p>
              </w:tc>
              <w:tc>
                <w:tcPr>
                  <w:tcW w:w="821"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污染物名称</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本项目产生量</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本项目削减量</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本项目排放量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eastAsia="zh-CN"/>
                    </w:rPr>
                  </w:pPr>
                  <w:r>
                    <w:rPr>
                      <w:rFonts w:hint="eastAsia" w:ascii="Times New Roman" w:hAnsi="Times New Roman" w:eastAsia="宋体"/>
                      <w:color w:val="000000"/>
                      <w:sz w:val="21"/>
                      <w:szCs w:val="21"/>
                      <w:highlight w:val="none"/>
                      <w:lang w:val="en-US" w:eastAsia="zh-CN"/>
                    </w:rPr>
                    <w:t>废气</w:t>
                  </w:r>
                </w:p>
              </w:tc>
              <w:tc>
                <w:tcPr>
                  <w:tcW w:w="83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有组织废气</w:t>
                  </w:r>
                </w:p>
              </w:tc>
              <w:tc>
                <w:tcPr>
                  <w:tcW w:w="821" w:type="pct"/>
                  <w:noWrap w:val="0"/>
                  <w:vAlign w:val="center"/>
                </w:tcPr>
                <w:p>
                  <w:pPr>
                    <w:keepNext w:val="0"/>
                    <w:keepLines w:val="0"/>
                    <w:pageBreakBefore w:val="0"/>
                    <w:widowControl w:val="0"/>
                    <w:kinsoku/>
                    <w:wordWrap/>
                    <w:overflowPunct/>
                    <w:topLinePunct w:val="0"/>
                    <w:autoSpaceDE/>
                    <w:autoSpaceDN/>
                    <w:bidi w:val="0"/>
                    <w:spacing w:line="440" w:lineRule="exact"/>
                    <w:ind w:left="0" w:leftChars="0" w:right="0" w:rightChars="0"/>
                    <w:jc w:val="center"/>
                    <w:textAlignment w:val="auto"/>
                    <w:rPr>
                      <w:rFonts w:hint="eastAsia" w:ascii="Times New Roman" w:hAnsi="Times New Roman" w:eastAsia="宋体"/>
                      <w:color w:val="000000"/>
                      <w:sz w:val="21"/>
                      <w:szCs w:val="21"/>
                      <w:highlight w:val="none"/>
                      <w:vertAlign w:val="subscript"/>
                      <w:lang w:val="en-US" w:eastAsia="zh-CN"/>
                    </w:rPr>
                  </w:pPr>
                  <w:r>
                    <w:rPr>
                      <w:rFonts w:hint="eastAsia"/>
                      <w:color w:val="000000"/>
                      <w:sz w:val="21"/>
                      <w:szCs w:val="21"/>
                      <w:highlight w:val="none"/>
                      <w:lang w:val="en-US" w:eastAsia="zh-CN"/>
                    </w:rPr>
                    <w:t>粉尘</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1101.08t</w:t>
                  </w:r>
                  <w:r>
                    <w:rPr>
                      <w:rFonts w:hint="eastAsia" w:ascii="Times New Roman" w:hAnsi="Times New Roman" w:eastAsia="宋体"/>
                      <w:color w:val="000000"/>
                      <w:sz w:val="21"/>
                      <w:szCs w:val="21"/>
                      <w:highlight w:val="none"/>
                      <w:lang w:val="en-US" w:eastAsia="zh-CN"/>
                    </w:rPr>
                    <w: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-1080.144t/a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20.936t</w:t>
                  </w:r>
                  <w:r>
                    <w:rPr>
                      <w:rFonts w:hint="eastAsia" w:ascii="Times New Roman" w:hAnsi="Times New Roman" w:eastAsia="宋体"/>
                      <w:color w:val="000000"/>
                      <w:sz w:val="21"/>
                      <w:szCs w:val="21"/>
                      <w:highlight w:val="none"/>
                      <w:lang w:val="en-US"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3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21" w:type="pct"/>
                  <w:noWrap w:val="0"/>
                  <w:vAlign w:val="center"/>
                </w:tcPr>
                <w:p>
                  <w:pPr>
                    <w:keepNext w:val="0"/>
                    <w:keepLines w:val="0"/>
                    <w:pageBreakBefore w:val="0"/>
                    <w:widowControl w:val="0"/>
                    <w:kinsoku/>
                    <w:wordWrap/>
                    <w:overflowPunct/>
                    <w:topLinePunct w:val="0"/>
                    <w:autoSpaceDE/>
                    <w:autoSpaceDN/>
                    <w:bidi w:val="0"/>
                    <w:spacing w:line="440" w:lineRule="exact"/>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SO</w:t>
                  </w:r>
                  <w:r>
                    <w:rPr>
                      <w:rFonts w:hint="eastAsia"/>
                      <w:color w:val="000000"/>
                      <w:sz w:val="21"/>
                      <w:szCs w:val="21"/>
                      <w:highlight w:val="none"/>
                      <w:vertAlign w:val="subscript"/>
                      <w:lang w:val="en-US" w:eastAsia="zh-CN"/>
                    </w:rPr>
                    <w:t>2</w:t>
                  </w:r>
                </w:p>
              </w:tc>
              <w:tc>
                <w:tcPr>
                  <w:tcW w:w="1850" w:type="dxa"/>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14.02t</w:t>
                  </w:r>
                  <w:r>
                    <w:rPr>
                      <w:rFonts w:hint="eastAsia" w:ascii="Times New Roman" w:hAnsi="Times New Roman" w:eastAsia="宋体"/>
                      <w:color w:val="000000"/>
                      <w:sz w:val="21"/>
                      <w:szCs w:val="21"/>
                      <w:highlight w:val="none"/>
                      <w:lang w:val="en-US" w:eastAsia="zh-CN"/>
                    </w:rPr>
                    <w: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c>
                <w:tcPr>
                  <w:tcW w:w="1626" w:type="dxa"/>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14.02t</w:t>
                  </w:r>
                  <w:r>
                    <w:rPr>
                      <w:rFonts w:hint="eastAsia" w:ascii="Times New Roman" w:hAnsi="Times New Roman" w:eastAsia="宋体"/>
                      <w:color w:val="000000"/>
                      <w:sz w:val="21"/>
                      <w:szCs w:val="21"/>
                      <w:highlight w:val="none"/>
                      <w:lang w:val="en-US"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3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21" w:type="pct"/>
                  <w:noWrap w:val="0"/>
                  <w:vAlign w:val="center"/>
                </w:tcPr>
                <w:p>
                  <w:pPr>
                    <w:keepNext w:val="0"/>
                    <w:keepLines w:val="0"/>
                    <w:pageBreakBefore w:val="0"/>
                    <w:widowControl w:val="0"/>
                    <w:kinsoku/>
                    <w:wordWrap/>
                    <w:overflowPunct/>
                    <w:topLinePunct w:val="0"/>
                    <w:autoSpaceDE/>
                    <w:autoSpaceDN/>
                    <w:bidi w:val="0"/>
                    <w:spacing w:line="440" w:lineRule="exact"/>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NOx</w:t>
                  </w:r>
                </w:p>
              </w:tc>
              <w:tc>
                <w:tcPr>
                  <w:tcW w:w="1850" w:type="dxa"/>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45.56t</w:t>
                  </w:r>
                  <w:r>
                    <w:rPr>
                      <w:rFonts w:hint="eastAsia" w:ascii="Times New Roman" w:hAnsi="Times New Roman" w:eastAsia="宋体"/>
                      <w:color w:val="000000"/>
                      <w:sz w:val="21"/>
                      <w:szCs w:val="21"/>
                      <w:highlight w:val="none"/>
                      <w:lang w:val="en-US" w:eastAsia="zh-CN"/>
                    </w:rPr>
                    <w: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c>
                <w:tcPr>
                  <w:tcW w:w="1626" w:type="dxa"/>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45.56t</w:t>
                  </w:r>
                  <w:r>
                    <w:rPr>
                      <w:rFonts w:hint="eastAsia" w:ascii="Times New Roman" w:hAnsi="Times New Roman" w:eastAsia="宋体"/>
                      <w:color w:val="000000"/>
                      <w:sz w:val="21"/>
                      <w:szCs w:val="21"/>
                      <w:highlight w:val="none"/>
                      <w:lang w:val="en-US"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3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无组织废气</w:t>
                  </w:r>
                </w:p>
              </w:tc>
              <w:tc>
                <w:tcPr>
                  <w:tcW w:w="821" w:type="pct"/>
                  <w:noWrap w:val="0"/>
                  <w:vAlign w:val="center"/>
                </w:tcPr>
                <w:p>
                  <w:pPr>
                    <w:keepNext w:val="0"/>
                    <w:keepLines w:val="0"/>
                    <w:pageBreakBefore w:val="0"/>
                    <w:widowControl w:val="0"/>
                    <w:kinsoku/>
                    <w:wordWrap/>
                    <w:overflowPunct/>
                    <w:topLinePunct w:val="0"/>
                    <w:autoSpaceDE/>
                    <w:autoSpaceDN/>
                    <w:bidi w:val="0"/>
                    <w:spacing w:line="440" w:lineRule="exact"/>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粉尘</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158.4t</w:t>
                  </w:r>
                  <w:r>
                    <w:rPr>
                      <w:rFonts w:hint="eastAsia" w:ascii="Times New Roman" w:hAnsi="Times New Roman" w:eastAsia="宋体"/>
                      <w:color w:val="000000"/>
                      <w:sz w:val="21"/>
                      <w:szCs w:val="21"/>
                      <w:highlight w:val="none"/>
                      <w:lang w:val="en-US" w:eastAsia="zh-CN"/>
                    </w:rPr>
                    <w: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-156.816t/a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1.584t</w:t>
                  </w:r>
                  <w:r>
                    <w:rPr>
                      <w:rFonts w:hint="eastAsia" w:ascii="Times New Roman" w:hAnsi="Times New Roman" w:eastAsia="宋体"/>
                      <w:color w:val="000000"/>
                      <w:sz w:val="21"/>
                      <w:szCs w:val="21"/>
                      <w:highlight w:val="none"/>
                      <w:lang w:val="en-US"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废水</w:t>
                  </w:r>
                </w:p>
              </w:tc>
              <w:tc>
                <w:tcPr>
                  <w:tcW w:w="83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生活污水</w:t>
                  </w:r>
                </w:p>
              </w:tc>
              <w:tc>
                <w:tcPr>
                  <w:tcW w:w="821"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废水量</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3561.36t/a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3561.36t/a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25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3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ascii="Times New Roman" w:hAnsi="Times New Roman" w:eastAsia="宋体"/>
                      <w:color w:val="000000"/>
                      <w:sz w:val="21"/>
                      <w:szCs w:val="21"/>
                      <w:highlight w:val="none"/>
                    </w:rPr>
                    <w:t>COD</w:t>
                  </w:r>
                  <w:r>
                    <w:rPr>
                      <w:rFonts w:ascii="Times New Roman" w:hAnsi="Times New Roman" w:eastAsia="宋体"/>
                      <w:color w:val="000000"/>
                      <w:sz w:val="21"/>
                      <w:szCs w:val="21"/>
                      <w:highlight w:val="none"/>
                      <w:vertAlign w:val="subscript"/>
                    </w:rPr>
                    <w:t>Cr</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1.425t/a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-1.069</w:t>
                  </w:r>
                  <w:r>
                    <w:rPr>
                      <w:rFonts w:hint="eastAsia" w:ascii="Times New Roman" w:hAnsi="Times New Roman" w:eastAsia="宋体"/>
                      <w:color w:val="000000"/>
                      <w:sz w:val="21"/>
                      <w:szCs w:val="21"/>
                      <w:highlight w:val="none"/>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0.356t/a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3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rPr>
                    <w:t>BOD</w:t>
                  </w:r>
                  <w:r>
                    <w:rPr>
                      <w:rFonts w:hint="eastAsia" w:ascii="Times New Roman" w:hAnsi="Times New Roman" w:eastAsia="宋体"/>
                      <w:color w:val="000000"/>
                      <w:sz w:val="21"/>
                      <w:szCs w:val="21"/>
                      <w:highlight w:val="none"/>
                      <w:vertAlign w:val="subscript"/>
                    </w:rPr>
                    <w:t>5</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0.890t/a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-0.819</w:t>
                  </w:r>
                  <w:r>
                    <w:rPr>
                      <w:rFonts w:hint="eastAsia" w:ascii="Times New Roman" w:hAnsi="Times New Roman" w:eastAsia="宋体"/>
                      <w:color w:val="000000"/>
                      <w:sz w:val="21"/>
                      <w:szCs w:val="21"/>
                      <w:highlight w:val="none"/>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0.071t/a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3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ascii="Times New Roman" w:hAnsi="Times New Roman" w:eastAsia="宋体"/>
                      <w:color w:val="000000"/>
                      <w:sz w:val="21"/>
                      <w:szCs w:val="21"/>
                      <w:highlight w:val="none"/>
                    </w:rPr>
                    <w:t>NH</w:t>
                  </w:r>
                  <w:r>
                    <w:rPr>
                      <w:rFonts w:ascii="Times New Roman" w:hAnsi="Times New Roman" w:eastAsia="宋体"/>
                      <w:color w:val="000000"/>
                      <w:sz w:val="21"/>
                      <w:szCs w:val="21"/>
                      <w:highlight w:val="none"/>
                      <w:vertAlign w:val="subscript"/>
                    </w:rPr>
                    <w:t>3</w:t>
                  </w:r>
                  <w:r>
                    <w:rPr>
                      <w:rFonts w:ascii="Times New Roman" w:hAnsi="Times New Roman" w:eastAsia="宋体"/>
                      <w:color w:val="000000"/>
                      <w:sz w:val="21"/>
                      <w:szCs w:val="21"/>
                      <w:highlight w:val="none"/>
                    </w:rPr>
                    <w:t>-N</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0.089t/a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w:t>
                  </w:r>
                  <w:r>
                    <w:rPr>
                      <w:rFonts w:hint="eastAsia" w:ascii="Times New Roman" w:hAnsi="Times New Roman" w:eastAsia="宋体"/>
                      <w:color w:val="000000"/>
                      <w:sz w:val="21"/>
                      <w:szCs w:val="21"/>
                      <w:highlight w:val="none"/>
                      <w:lang w:val="en-US" w:eastAsia="zh-CN"/>
                    </w:rPr>
                    <w:t>0.0</w:t>
                  </w:r>
                  <w:r>
                    <w:rPr>
                      <w:rFonts w:hint="eastAsia"/>
                      <w:color w:val="000000"/>
                      <w:sz w:val="21"/>
                      <w:szCs w:val="21"/>
                      <w:highlight w:val="none"/>
                      <w:lang w:val="en-US" w:eastAsia="zh-CN"/>
                    </w:rPr>
                    <w:t>3</w:t>
                  </w:r>
                  <w:r>
                    <w:rPr>
                      <w:rFonts w:hint="eastAsia" w:ascii="Times New Roman" w:hAnsi="Times New Roman" w:eastAsia="宋体"/>
                      <w:color w:val="000000"/>
                      <w:sz w:val="21"/>
                      <w:szCs w:val="21"/>
                      <w:highlight w:val="none"/>
                      <w:lang w:val="en-US" w:eastAsia="zh-CN"/>
                    </w:rPr>
                    <w:t>6</w:t>
                  </w:r>
                  <w:r>
                    <w:rPr>
                      <w:rFonts w:hint="eastAsia" w:ascii="Times New Roman" w:hAnsi="Times New Roman" w:eastAsia="宋体"/>
                      <w:color w:val="000000"/>
                      <w:sz w:val="21"/>
                      <w:szCs w:val="21"/>
                      <w:highlight w:val="none"/>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0.053t/a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3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ascii="Times New Roman" w:hAnsi="Times New Roman" w:eastAsia="宋体"/>
                      <w:color w:val="000000"/>
                      <w:sz w:val="21"/>
                      <w:szCs w:val="21"/>
                      <w:highlight w:val="none"/>
                    </w:rPr>
                    <w:t>SS</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0.712t/a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w:t>
                  </w:r>
                  <w:r>
                    <w:rPr>
                      <w:rFonts w:hint="eastAsia" w:ascii="Times New Roman" w:hAnsi="Times New Roman" w:eastAsia="宋体"/>
                      <w:color w:val="000000"/>
                      <w:sz w:val="21"/>
                      <w:szCs w:val="21"/>
                      <w:highlight w:val="none"/>
                      <w:lang w:val="en-US" w:eastAsia="zh-CN"/>
                    </w:rPr>
                    <w:t>0.</w:t>
                  </w:r>
                  <w:r>
                    <w:rPr>
                      <w:rFonts w:hint="eastAsia"/>
                      <w:color w:val="000000"/>
                      <w:sz w:val="21"/>
                      <w:szCs w:val="21"/>
                      <w:highlight w:val="none"/>
                      <w:lang w:val="en-US" w:eastAsia="zh-CN"/>
                    </w:rPr>
                    <w:t>463</w:t>
                  </w:r>
                  <w:r>
                    <w:rPr>
                      <w:rFonts w:hint="eastAsia" w:ascii="Times New Roman" w:hAnsi="Times New Roman" w:eastAsia="宋体"/>
                      <w:color w:val="000000"/>
                      <w:sz w:val="21"/>
                      <w:szCs w:val="21"/>
                      <w:highlight w:val="none"/>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0.249t/a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5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3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rPr>
                    <w:t>动植物油</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0.178t/a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w:t>
                  </w:r>
                  <w:r>
                    <w:rPr>
                      <w:rFonts w:hint="eastAsia" w:ascii="Times New Roman" w:hAnsi="Times New Roman" w:eastAsia="宋体"/>
                      <w:color w:val="000000"/>
                      <w:sz w:val="21"/>
                      <w:szCs w:val="21"/>
                      <w:highlight w:val="none"/>
                      <w:lang w:val="en-US" w:eastAsia="zh-CN"/>
                    </w:rPr>
                    <w:t>0.</w:t>
                  </w:r>
                  <w:r>
                    <w:rPr>
                      <w:rFonts w:hint="eastAsia"/>
                      <w:color w:val="000000"/>
                      <w:sz w:val="21"/>
                      <w:szCs w:val="21"/>
                      <w:highlight w:val="none"/>
                      <w:lang w:val="en-US" w:eastAsia="zh-CN"/>
                    </w:rPr>
                    <w:t>089</w:t>
                  </w:r>
                  <w:r>
                    <w:rPr>
                      <w:rFonts w:hint="eastAsia" w:ascii="Times New Roman" w:hAnsi="Times New Roman" w:eastAsia="宋体"/>
                      <w:color w:val="000000"/>
                      <w:sz w:val="21"/>
                      <w:szCs w:val="21"/>
                      <w:highlight w:val="none"/>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default" w:ascii="Times New Roman" w:hAnsi="Times New Roman" w:eastAsia="宋体"/>
                      <w:color w:val="000000"/>
                      <w:sz w:val="21"/>
                      <w:szCs w:val="21"/>
                      <w:highlight w:val="none"/>
                      <w:lang w:val="en-US" w:eastAsia="zh-CN"/>
                    </w:rPr>
                    <w:t>0.089t/a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87" w:type="pct"/>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固废</w:t>
                  </w: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rPr>
                    <w:t>生活垃圾</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23.43</w:t>
                  </w:r>
                  <w:r>
                    <w:rPr>
                      <w:rFonts w:hint="default" w:ascii="Times New Roman" w:hAnsi="Times New Roman" w:eastAsia="宋体"/>
                      <w:color w:val="000000"/>
                      <w:sz w:val="21"/>
                      <w:szCs w:val="21"/>
                      <w:highlight w:val="none"/>
                      <w:lang w:val="en-US" w:eastAsia="zh-CN"/>
                    </w:rPr>
                    <w:t>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23.43</w:t>
                  </w:r>
                  <w:r>
                    <w:rPr>
                      <w:rFonts w:hint="default" w:ascii="Times New Roman" w:hAnsi="Times New Roman" w:eastAsia="宋体"/>
                      <w:color w:val="000000"/>
                      <w:sz w:val="21"/>
                      <w:szCs w:val="21"/>
                      <w:highlight w:val="none"/>
                      <w:lang w:val="en-US" w:eastAsia="zh-CN"/>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rPr>
                    <w:t>除尘灰</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4828.3</w:t>
                  </w:r>
                  <w:r>
                    <w:rPr>
                      <w:rFonts w:hint="default" w:ascii="Times New Roman" w:hAnsi="Times New Roman" w:eastAsia="宋体"/>
                      <w:color w:val="000000"/>
                      <w:sz w:val="21"/>
                      <w:szCs w:val="21"/>
                      <w:highlight w:val="none"/>
                      <w:lang w:val="en-US" w:eastAsia="zh-CN"/>
                    </w:rPr>
                    <w:t>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4828.3</w:t>
                  </w:r>
                  <w:r>
                    <w:rPr>
                      <w:rFonts w:hint="default" w:ascii="Times New Roman" w:hAnsi="Times New Roman" w:eastAsia="宋体"/>
                      <w:color w:val="000000"/>
                      <w:sz w:val="21"/>
                      <w:szCs w:val="21"/>
                      <w:highlight w:val="none"/>
                      <w:lang w:val="en-US" w:eastAsia="zh-CN"/>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8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yellow"/>
                      <w:lang w:val="en-US" w:eastAsia="zh-CN"/>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rPr>
                    <w:t>振动筛废渣</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2640</w:t>
                  </w:r>
                  <w:r>
                    <w:rPr>
                      <w:rFonts w:hint="default" w:ascii="Times New Roman" w:hAnsi="Times New Roman" w:eastAsia="宋体"/>
                      <w:color w:val="000000"/>
                      <w:sz w:val="21"/>
                      <w:szCs w:val="21"/>
                      <w:highlight w:val="none"/>
                      <w:lang w:val="en-US" w:eastAsia="zh-CN"/>
                    </w:rPr>
                    <w:t>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2640</w:t>
                  </w:r>
                  <w:r>
                    <w:rPr>
                      <w:rFonts w:hint="default" w:ascii="Times New Roman" w:hAnsi="Times New Roman" w:eastAsia="宋体"/>
                      <w:color w:val="000000"/>
                      <w:sz w:val="21"/>
                      <w:szCs w:val="21"/>
                      <w:highlight w:val="none"/>
                      <w:lang w:val="en-US" w:eastAsia="zh-CN"/>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8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yellow"/>
                      <w:lang w:val="en-US" w:eastAsia="zh-CN"/>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rPr>
                    <w:t>磁选机废渣</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8.58</w:t>
                  </w:r>
                  <w:r>
                    <w:rPr>
                      <w:rFonts w:hint="default" w:ascii="Times New Roman" w:hAnsi="Times New Roman" w:eastAsia="宋体"/>
                      <w:color w:val="000000"/>
                      <w:sz w:val="21"/>
                      <w:szCs w:val="21"/>
                      <w:highlight w:val="none"/>
                      <w:lang w:val="en-US" w:eastAsia="zh-CN"/>
                    </w:rPr>
                    <w:t>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8.58</w:t>
                  </w:r>
                  <w:r>
                    <w:rPr>
                      <w:rFonts w:hint="default" w:ascii="Times New Roman" w:hAnsi="Times New Roman" w:eastAsia="宋体"/>
                      <w:color w:val="000000"/>
                      <w:sz w:val="21"/>
                      <w:szCs w:val="21"/>
                      <w:highlight w:val="none"/>
                      <w:lang w:val="en-US" w:eastAsia="zh-CN"/>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8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yellow"/>
                      <w:lang w:val="en-US" w:eastAsia="zh-CN"/>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rPr>
                    <w:t>成型废品</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330</w:t>
                  </w:r>
                  <w:r>
                    <w:rPr>
                      <w:rFonts w:hint="default" w:ascii="Times New Roman" w:hAnsi="Times New Roman" w:eastAsia="宋体"/>
                      <w:color w:val="000000"/>
                      <w:sz w:val="21"/>
                      <w:szCs w:val="21"/>
                      <w:highlight w:val="none"/>
                      <w:lang w:val="en-US" w:eastAsia="zh-CN"/>
                    </w:rPr>
                    <w:t>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330</w:t>
                  </w:r>
                  <w:r>
                    <w:rPr>
                      <w:rFonts w:hint="default" w:ascii="Times New Roman" w:hAnsi="Times New Roman" w:eastAsia="宋体"/>
                      <w:color w:val="000000"/>
                      <w:sz w:val="21"/>
                      <w:szCs w:val="21"/>
                      <w:highlight w:val="none"/>
                      <w:lang w:val="en-US" w:eastAsia="zh-CN"/>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8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yellow"/>
                      <w:lang w:val="en-US" w:eastAsia="zh-CN"/>
                    </w:rPr>
                  </w:pPr>
                </w:p>
              </w:tc>
              <w:tc>
                <w:tcPr>
                  <w:tcW w:w="821" w:type="pct"/>
                  <w:noWrap w:val="0"/>
                  <w:vAlign w:val="center"/>
                </w:tcPr>
                <w:p>
                  <w:pPr>
                    <w:keepNext w:val="0"/>
                    <w:keepLines w:val="0"/>
                    <w:pageBreakBefore w:val="0"/>
                    <w:widowControl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rPr>
                    <w:t>烧成废品</w:t>
                  </w:r>
                </w:p>
              </w:tc>
              <w:tc>
                <w:tcPr>
                  <w:tcW w:w="111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660</w:t>
                  </w:r>
                  <w:r>
                    <w:rPr>
                      <w:rFonts w:hint="default" w:ascii="Times New Roman" w:hAnsi="Times New Roman" w:eastAsia="宋体"/>
                      <w:color w:val="000000"/>
                      <w:sz w:val="21"/>
                      <w:szCs w:val="21"/>
                      <w:highlight w:val="none"/>
                      <w:lang w:val="en-US" w:eastAsia="zh-CN"/>
                    </w:rPr>
                    <w:t>t/a</w:t>
                  </w:r>
                </w:p>
              </w:tc>
              <w:tc>
                <w:tcPr>
                  <w:tcW w:w="995"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660</w:t>
                  </w:r>
                  <w:r>
                    <w:rPr>
                      <w:rFonts w:hint="default" w:ascii="Times New Roman" w:hAnsi="Times New Roman" w:eastAsia="宋体"/>
                      <w:color w:val="000000"/>
                      <w:sz w:val="21"/>
                      <w:szCs w:val="21"/>
                      <w:highlight w:val="none"/>
                      <w:lang w:val="en-US" w:eastAsia="zh-CN"/>
                    </w:rPr>
                    <w:t>t/a</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0</w:t>
                  </w:r>
                </w:p>
              </w:tc>
            </w:tr>
          </w:tbl>
          <w:p>
            <w:pPr>
              <w:pStyle w:val="13"/>
              <w:spacing w:line="360" w:lineRule="auto"/>
              <w:ind w:firstLine="482" w:firstLineChars="200"/>
              <w:rPr>
                <w:rFonts w:ascii="Times New Roman" w:hAnsi="Times New Roman" w:eastAsia="宋体"/>
                <w:b/>
                <w:bCs/>
                <w:color w:val="FF0000"/>
                <w:sz w:val="24"/>
                <w:highlight w:val="none"/>
              </w:rPr>
            </w:pPr>
          </w:p>
          <w:p>
            <w:pPr>
              <w:pStyle w:val="13"/>
              <w:spacing w:line="360" w:lineRule="auto"/>
              <w:ind w:firstLine="482" w:firstLineChars="200"/>
              <w:rPr>
                <w:rFonts w:ascii="Times New Roman" w:hAnsi="Times New Roman" w:eastAsia="宋体"/>
                <w:b/>
                <w:bCs/>
                <w:sz w:val="24"/>
                <w:highlight w:val="none"/>
              </w:rPr>
            </w:pPr>
          </w:p>
          <w:p>
            <w:pPr>
              <w:widowControl/>
              <w:spacing w:line="360" w:lineRule="auto"/>
              <w:rPr>
                <w:rFonts w:ascii="Times New Roman" w:hAnsi="Times New Roman" w:eastAsia="宋体"/>
                <w:color w:val="000000"/>
                <w:sz w:val="24"/>
                <w:szCs w:val="24"/>
                <w:highlight w:val="none"/>
              </w:rPr>
            </w:pPr>
          </w:p>
        </w:tc>
      </w:tr>
    </w:tbl>
    <w:p>
      <w:pPr>
        <w:pStyle w:val="3"/>
        <w:keepNext w:val="0"/>
        <w:keepLines w:val="0"/>
        <w:ind w:left="-358" w:leftChars="-256" w:hanging="180" w:hangingChars="64"/>
        <w:rPr>
          <w:rFonts w:ascii="Times New Roman" w:hAnsi="Times New Roman" w:eastAsia="宋体"/>
          <w:color w:val="000000"/>
        </w:rPr>
      </w:pPr>
      <w:r>
        <w:rPr>
          <w:rFonts w:ascii="Times New Roman" w:hAnsi="Times New Roman" w:eastAsia="宋体"/>
          <w:color w:val="000000"/>
          <w:sz w:val="28"/>
          <w:highlight w:val="yellow"/>
        </w:rPr>
        <w:br w:type="page"/>
      </w:r>
      <w:r>
        <w:rPr>
          <w:rFonts w:hint="eastAsia" w:ascii="Times New Roman" w:hAnsi="Times New Roman" w:eastAsia="宋体"/>
          <w:color w:val="000000"/>
          <w:sz w:val="28"/>
          <w:highlight w:val="none"/>
          <w:lang w:eastAsia="zh-CN"/>
        </w:rPr>
        <w:t>六、</w:t>
      </w:r>
      <w:r>
        <w:rPr>
          <w:rFonts w:ascii="Times New Roman" w:hAnsi="Times New Roman" w:eastAsia="宋体"/>
          <w:color w:val="000000"/>
          <w:highlight w:val="none"/>
        </w:rPr>
        <w:t>项目</w:t>
      </w:r>
      <w:r>
        <w:rPr>
          <w:rFonts w:ascii="Times New Roman" w:hAnsi="Times New Roman" w:eastAsia="宋体"/>
          <w:color w:val="000000"/>
        </w:rPr>
        <w:t>主要污染物产生及预计排放情况</w:t>
      </w:r>
    </w:p>
    <w:tbl>
      <w:tblPr>
        <w:tblStyle w:val="28"/>
        <w:tblW w:w="94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4"/>
        <w:gridCol w:w="1359"/>
        <w:gridCol w:w="1822"/>
        <w:gridCol w:w="2576"/>
        <w:gridCol w:w="27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14" w:type="dxa"/>
            <w:tcBorders>
              <w:top w:val="single" w:color="auto" w:sz="4" w:space="0"/>
              <w:left w:val="single" w:color="auto" w:sz="4" w:space="0"/>
              <w:tl2br w:val="single" w:color="auto" w:sz="6" w:space="0"/>
            </w:tcBorders>
            <w:noWrap w:val="0"/>
            <w:vAlign w:val="top"/>
          </w:tcPr>
          <w:p>
            <w:pPr>
              <w:spacing w:line="360" w:lineRule="auto"/>
              <w:jc w:val="right"/>
              <w:rPr>
                <w:rFonts w:ascii="Times New Roman" w:hAnsi="Times New Roman" w:eastAsia="宋体"/>
                <w:color w:val="000000"/>
                <w:sz w:val="24"/>
                <w:szCs w:val="24"/>
              </w:rPr>
            </w:pPr>
            <w:r>
              <w:rPr>
                <w:rFonts w:ascii="Times New Roman" w:hAnsi="Times New Roman" w:eastAsia="宋体"/>
                <w:color w:val="000000"/>
                <w:sz w:val="24"/>
                <w:szCs w:val="24"/>
              </w:rPr>
              <w:t>内容</w:t>
            </w:r>
          </w:p>
          <w:p>
            <w:pPr>
              <w:spacing w:line="360" w:lineRule="auto"/>
              <w:rPr>
                <w:rFonts w:ascii="Times New Roman" w:hAnsi="Times New Roman" w:eastAsia="宋体"/>
                <w:color w:val="000000"/>
                <w:sz w:val="24"/>
                <w:szCs w:val="24"/>
              </w:rPr>
            </w:pPr>
            <w:r>
              <w:rPr>
                <w:rFonts w:ascii="Times New Roman" w:hAnsi="Times New Roman" w:eastAsia="宋体"/>
                <w:color w:val="000000"/>
                <w:sz w:val="24"/>
                <w:szCs w:val="24"/>
              </w:rPr>
              <w:t>类型</w:t>
            </w:r>
          </w:p>
        </w:tc>
        <w:tc>
          <w:tcPr>
            <w:tcW w:w="1359" w:type="dxa"/>
            <w:tcBorders>
              <w:top w:val="single" w:color="auto" w:sz="4" w:space="0"/>
            </w:tcBorders>
            <w:noWrap w:val="0"/>
            <w:vAlign w:val="center"/>
          </w:tcPr>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排放源</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（编号）</w:t>
            </w:r>
          </w:p>
        </w:tc>
        <w:tc>
          <w:tcPr>
            <w:tcW w:w="1822" w:type="dxa"/>
            <w:tcBorders>
              <w:top w:val="single" w:color="auto" w:sz="4" w:space="0"/>
            </w:tcBorders>
            <w:noWrap w:val="0"/>
            <w:vAlign w:val="center"/>
          </w:tcPr>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污染物名称</w:t>
            </w:r>
          </w:p>
        </w:tc>
        <w:tc>
          <w:tcPr>
            <w:tcW w:w="2576" w:type="dxa"/>
            <w:tcBorders>
              <w:top w:val="single" w:color="auto" w:sz="4" w:space="0"/>
            </w:tcBorders>
            <w:noWrap w:val="0"/>
            <w:vAlign w:val="center"/>
          </w:tcPr>
          <w:p>
            <w:pPr>
              <w:spacing w:line="240" w:lineRule="atLeast"/>
              <w:ind w:left="-105" w:leftChars="-50"/>
              <w:jc w:val="center"/>
              <w:rPr>
                <w:rFonts w:ascii="Times New Roman" w:hAnsi="Times New Roman" w:eastAsia="宋体"/>
                <w:color w:val="000000"/>
                <w:sz w:val="24"/>
                <w:szCs w:val="24"/>
              </w:rPr>
            </w:pPr>
            <w:r>
              <w:rPr>
                <w:rFonts w:ascii="Times New Roman" w:hAnsi="Times New Roman" w:eastAsia="宋体"/>
                <w:color w:val="000000"/>
                <w:sz w:val="24"/>
                <w:szCs w:val="24"/>
              </w:rPr>
              <w:t>产生浓度及产生量</w:t>
            </w:r>
          </w:p>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（单位）</w:t>
            </w:r>
          </w:p>
        </w:tc>
        <w:tc>
          <w:tcPr>
            <w:tcW w:w="2780" w:type="dxa"/>
            <w:tcBorders>
              <w:top w:val="single" w:color="auto" w:sz="4" w:space="0"/>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排放浓度及排放量</w:t>
            </w:r>
          </w:p>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restart"/>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大气污染物</w:t>
            </w:r>
          </w:p>
        </w:tc>
        <w:tc>
          <w:tcPr>
            <w:tcW w:w="1359" w:type="dxa"/>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上料配料及缓冲仓</w:t>
            </w:r>
          </w:p>
        </w:tc>
        <w:tc>
          <w:tcPr>
            <w:tcW w:w="1822" w:type="dxa"/>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颗粒物</w:t>
            </w:r>
          </w:p>
        </w:tc>
        <w:tc>
          <w:tcPr>
            <w:tcW w:w="2576" w:type="dxa"/>
            <w:tcBorders>
              <w:bottom w:val="single" w:color="auto" w:sz="6" w:space="0"/>
            </w:tcBorders>
            <w:noWrap w:val="0"/>
            <w:vAlign w:val="center"/>
          </w:tcPr>
          <w:p>
            <w:pPr>
              <w:spacing w:line="240" w:lineRule="atLeast"/>
              <w:jc w:val="center"/>
              <w:rPr>
                <w:rFonts w:ascii="Times New Roman" w:hAnsi="Times New Roman" w:eastAsia="宋体"/>
                <w:color w:val="000000"/>
                <w:sz w:val="24"/>
                <w:szCs w:val="24"/>
              </w:rPr>
            </w:pPr>
            <w:r>
              <w:rPr>
                <w:rFonts w:hint="eastAsia"/>
                <w:color w:val="000000"/>
                <w:kern w:val="0"/>
                <w:sz w:val="24"/>
                <w:szCs w:val="24"/>
                <w:lang w:val="en-US" w:eastAsia="zh-CN" w:bidi="ar"/>
              </w:rPr>
              <w:t>1167</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166.32</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color w:val="000000"/>
                <w:kern w:val="0"/>
                <w:sz w:val="24"/>
                <w:szCs w:val="24"/>
                <w:lang w:val="en-US" w:eastAsia="zh-CN" w:bidi="ar"/>
              </w:rPr>
              <w:t>12</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1.66</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 xml:space="preserve">/a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废砖破碎</w:t>
            </w:r>
          </w:p>
        </w:tc>
        <w:tc>
          <w:tcPr>
            <w:tcW w:w="1822" w:type="dxa"/>
            <w:tcBorders>
              <w:left w:val="single" w:color="auto" w:sz="4" w:space="0"/>
            </w:tcBorders>
            <w:noWrap w:val="0"/>
            <w:vAlign w:val="center"/>
          </w:tcPr>
          <w:p>
            <w:pPr>
              <w:spacing w:line="240" w:lineRule="atLeast"/>
              <w:jc w:val="center"/>
              <w:rPr>
                <w:rFonts w:hint="eastAsia" w:ascii="Times New Roman" w:hAnsi="Times New Roman" w:eastAsia="宋体"/>
                <w:color w:val="000000"/>
                <w:sz w:val="24"/>
                <w:szCs w:val="24"/>
              </w:rPr>
            </w:pPr>
            <w:r>
              <w:rPr>
                <w:rFonts w:ascii="Times New Roman" w:hAnsi="Times New Roman" w:eastAsia="宋体"/>
                <w:color w:val="000000"/>
                <w:sz w:val="24"/>
                <w:szCs w:val="24"/>
              </w:rPr>
              <w:t>颗粒物</w:t>
            </w:r>
          </w:p>
        </w:tc>
        <w:tc>
          <w:tcPr>
            <w:tcW w:w="2576" w:type="dxa"/>
            <w:tcBorders>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val="en-US" w:eastAsia="zh-CN"/>
              </w:rPr>
            </w:pPr>
            <w:r>
              <w:rPr>
                <w:rFonts w:hint="eastAsia"/>
                <w:color w:val="000000"/>
                <w:sz w:val="24"/>
                <w:szCs w:val="24"/>
                <w:lang w:val="en-US" w:eastAsia="zh-CN"/>
              </w:rPr>
              <w:t>1304</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237.6</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hint="eastAsia" w:ascii="Times New Roman" w:hAnsi="Times New Roman" w:eastAsia="宋体"/>
                <w:color w:val="000000"/>
                <w:kern w:val="0"/>
                <w:sz w:val="24"/>
                <w:szCs w:val="24"/>
                <w:lang w:bidi="ar"/>
              </w:rPr>
            </w:pPr>
            <w:r>
              <w:rPr>
                <w:rFonts w:hint="eastAsia"/>
                <w:color w:val="000000"/>
                <w:kern w:val="0"/>
                <w:sz w:val="24"/>
                <w:szCs w:val="24"/>
                <w:lang w:val="en-US" w:eastAsia="zh-CN" w:bidi="ar"/>
              </w:rPr>
              <w:t>13</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2.38</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 xml:space="preserve">/a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auto"/>
                <w:sz w:val="24"/>
                <w:szCs w:val="24"/>
              </w:rPr>
              <w:t>压砖机</w:t>
            </w:r>
          </w:p>
        </w:tc>
        <w:tc>
          <w:tcPr>
            <w:tcW w:w="1822" w:type="dxa"/>
            <w:tcBorders>
              <w:left w:val="single" w:color="auto" w:sz="4" w:space="0"/>
            </w:tcBorders>
            <w:noWrap w:val="0"/>
            <w:vAlign w:val="center"/>
          </w:tcPr>
          <w:p>
            <w:pPr>
              <w:spacing w:line="240" w:lineRule="atLeast"/>
              <w:jc w:val="center"/>
              <w:rPr>
                <w:rFonts w:hint="eastAsia" w:ascii="Times New Roman" w:hAnsi="Times New Roman" w:eastAsia="宋体"/>
                <w:color w:val="000000"/>
                <w:sz w:val="24"/>
                <w:szCs w:val="24"/>
              </w:rPr>
            </w:pPr>
            <w:r>
              <w:rPr>
                <w:rFonts w:ascii="Times New Roman" w:hAnsi="Times New Roman" w:eastAsia="宋体"/>
                <w:color w:val="000000"/>
                <w:sz w:val="24"/>
                <w:szCs w:val="24"/>
              </w:rPr>
              <w:t>颗粒物</w:t>
            </w:r>
          </w:p>
        </w:tc>
        <w:tc>
          <w:tcPr>
            <w:tcW w:w="2576" w:type="dxa"/>
            <w:tcBorders>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val="en-US" w:eastAsia="zh-CN"/>
              </w:rPr>
            </w:pPr>
            <w:r>
              <w:rPr>
                <w:rFonts w:hint="eastAsia"/>
                <w:color w:val="000000"/>
                <w:kern w:val="0"/>
                <w:sz w:val="24"/>
                <w:szCs w:val="24"/>
                <w:lang w:val="en-US" w:eastAsia="zh-CN" w:bidi="ar"/>
              </w:rPr>
              <w:t>2400</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142.56</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hint="eastAsia" w:ascii="Times New Roman" w:hAnsi="Times New Roman" w:eastAsia="宋体"/>
                <w:color w:val="000000"/>
                <w:kern w:val="0"/>
                <w:sz w:val="24"/>
                <w:szCs w:val="24"/>
                <w:lang w:bidi="ar"/>
              </w:rPr>
            </w:pPr>
            <w:r>
              <w:rPr>
                <w:rFonts w:hint="eastAsia"/>
                <w:color w:val="000000"/>
                <w:kern w:val="0"/>
                <w:sz w:val="24"/>
                <w:szCs w:val="24"/>
                <w:lang w:val="en-US" w:eastAsia="zh-CN" w:bidi="ar"/>
              </w:rPr>
              <w:t>24</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1.43</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 xml:space="preserve">/a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tcBorders>
              <w:right w:val="single" w:color="auto" w:sz="4" w:space="0"/>
            </w:tcBorders>
            <w:noWrap w:val="0"/>
            <w:vAlign w:val="center"/>
          </w:tcPr>
          <w:p>
            <w:pPr>
              <w:spacing w:line="240" w:lineRule="atLeast"/>
              <w:jc w:val="center"/>
              <w:rPr>
                <w:rFonts w:hint="eastAsia" w:ascii="Times New Roman" w:hAnsi="Times New Roman" w:eastAsia="宋体"/>
                <w:color w:val="auto"/>
                <w:sz w:val="24"/>
                <w:szCs w:val="24"/>
                <w:lang w:val="en-US" w:eastAsia="zh-CN"/>
              </w:rPr>
            </w:pPr>
            <w:r>
              <w:rPr>
                <w:rFonts w:hint="eastAsia"/>
                <w:color w:val="auto"/>
                <w:sz w:val="24"/>
                <w:szCs w:val="24"/>
                <w:lang w:val="en-US" w:eastAsia="zh-CN"/>
              </w:rPr>
              <w:t>干燥窑</w:t>
            </w:r>
          </w:p>
        </w:tc>
        <w:tc>
          <w:tcPr>
            <w:tcW w:w="1822" w:type="dxa"/>
            <w:tcBorders>
              <w:left w:val="single" w:color="auto" w:sz="4" w:space="0"/>
            </w:tcBorders>
            <w:noWrap w:val="0"/>
            <w:vAlign w:val="center"/>
          </w:tcPr>
          <w:p>
            <w:pPr>
              <w:spacing w:line="240" w:lineRule="atLeast"/>
              <w:jc w:val="center"/>
              <w:rPr>
                <w:rFonts w:hint="eastAsia" w:ascii="Times New Roman" w:hAnsi="Times New Roman" w:eastAsia="宋体"/>
                <w:color w:val="000000"/>
                <w:sz w:val="24"/>
                <w:szCs w:val="24"/>
                <w:lang w:val="en-US" w:eastAsia="zh-CN"/>
              </w:rPr>
            </w:pPr>
            <w:r>
              <w:rPr>
                <w:rFonts w:hint="eastAsia"/>
                <w:color w:val="000000"/>
                <w:sz w:val="24"/>
                <w:szCs w:val="24"/>
                <w:lang w:val="en-US" w:eastAsia="zh-CN"/>
              </w:rPr>
              <w:t>颗粒物</w:t>
            </w:r>
          </w:p>
        </w:tc>
        <w:tc>
          <w:tcPr>
            <w:tcW w:w="2576" w:type="dxa"/>
            <w:tcBorders>
              <w:bottom w:val="single" w:color="auto" w:sz="6" w:space="0"/>
            </w:tcBorders>
            <w:noWrap w:val="0"/>
            <w:vAlign w:val="center"/>
          </w:tcPr>
          <w:p>
            <w:pPr>
              <w:spacing w:line="240" w:lineRule="atLeast"/>
              <w:jc w:val="center"/>
              <w:rPr>
                <w:rFonts w:hint="eastAsia"/>
                <w:color w:val="000000"/>
                <w:kern w:val="0"/>
                <w:sz w:val="24"/>
                <w:szCs w:val="24"/>
                <w:lang w:val="en-US" w:eastAsia="zh-CN" w:bidi="ar"/>
              </w:rPr>
            </w:pPr>
            <w:r>
              <w:rPr>
                <w:rFonts w:hint="eastAsia"/>
                <w:color w:val="000000"/>
                <w:kern w:val="0"/>
                <w:sz w:val="24"/>
                <w:szCs w:val="24"/>
                <w:lang w:val="en-US" w:eastAsia="zh-CN" w:bidi="ar"/>
              </w:rPr>
              <w:t>1167</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kern w:val="0"/>
                <w:sz w:val="24"/>
                <w:szCs w:val="24"/>
                <w:lang w:val="en-US" w:eastAsia="zh-CN" w:bidi="ar"/>
              </w:rPr>
              <w:t>306.6</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hint="eastAsia"/>
                <w:color w:val="000000"/>
                <w:kern w:val="0"/>
                <w:sz w:val="24"/>
                <w:szCs w:val="24"/>
                <w:lang w:val="en-US" w:eastAsia="zh-CN" w:bidi="ar"/>
              </w:rPr>
            </w:pPr>
            <w:r>
              <w:rPr>
                <w:rFonts w:hint="eastAsia"/>
                <w:color w:val="000000"/>
                <w:kern w:val="0"/>
                <w:sz w:val="24"/>
                <w:szCs w:val="24"/>
                <w:lang w:val="en-US" w:eastAsia="zh-CN" w:bidi="ar"/>
              </w:rPr>
              <w:t>11.67</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3.066</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 xml:space="preserve">/a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auto"/>
                <w:sz w:val="24"/>
                <w:szCs w:val="24"/>
              </w:rPr>
              <w:t>除尘粉仓、混合机退料仓、废砖仓</w:t>
            </w:r>
          </w:p>
        </w:tc>
        <w:tc>
          <w:tcPr>
            <w:tcW w:w="1822" w:type="dxa"/>
            <w:tcBorders>
              <w:left w:val="single" w:color="auto" w:sz="4" w:space="0"/>
            </w:tcBorders>
            <w:noWrap w:val="0"/>
            <w:vAlign w:val="center"/>
          </w:tcPr>
          <w:p>
            <w:pPr>
              <w:spacing w:line="240" w:lineRule="atLeast"/>
              <w:jc w:val="center"/>
              <w:rPr>
                <w:rFonts w:hint="eastAsia" w:ascii="Times New Roman" w:hAnsi="Times New Roman" w:eastAsia="宋体"/>
                <w:color w:val="000000"/>
                <w:sz w:val="24"/>
                <w:szCs w:val="24"/>
                <w:lang w:eastAsia="zh-CN"/>
              </w:rPr>
            </w:pPr>
            <w:r>
              <w:rPr>
                <w:rFonts w:hint="eastAsia" w:ascii="Times New Roman" w:hAnsi="Times New Roman" w:eastAsia="宋体"/>
                <w:color w:val="000000"/>
                <w:sz w:val="24"/>
                <w:szCs w:val="24"/>
                <w:lang w:eastAsia="zh-CN"/>
              </w:rPr>
              <w:t>颗粒物</w:t>
            </w:r>
          </w:p>
        </w:tc>
        <w:tc>
          <w:tcPr>
            <w:tcW w:w="2576" w:type="dxa"/>
            <w:tcBorders>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val="en-US" w:eastAsia="zh-CN"/>
              </w:rPr>
            </w:pPr>
            <w:r>
              <w:rPr>
                <w:rFonts w:hint="eastAsia" w:ascii="Times New Roman" w:hAnsi="Times New Roman" w:eastAsia="宋体"/>
                <w:color w:val="000000"/>
                <w:kern w:val="0"/>
                <w:sz w:val="24"/>
                <w:szCs w:val="24"/>
                <w:lang w:val="en-US" w:eastAsia="zh-CN" w:bidi="ar"/>
              </w:rPr>
              <w:t>20kg/h，</w:t>
            </w:r>
            <w:r>
              <w:rPr>
                <w:rFonts w:hint="eastAsia" w:ascii="Times New Roman" w:hAnsi="Times New Roman" w:eastAsia="宋体"/>
                <w:color w:val="000000"/>
                <w:sz w:val="24"/>
                <w:szCs w:val="24"/>
                <w:lang w:val="en-US" w:eastAsia="zh-CN"/>
              </w:rPr>
              <w:t>158.4t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hint="eastAsia" w:ascii="Times New Roman" w:hAnsi="Times New Roman" w:eastAsia="宋体"/>
                <w:color w:val="000000"/>
                <w:kern w:val="0"/>
                <w:sz w:val="24"/>
                <w:szCs w:val="24"/>
                <w:lang w:bidi="ar"/>
              </w:rPr>
            </w:pPr>
            <w:r>
              <w:rPr>
                <w:rFonts w:hint="eastAsia" w:ascii="Times New Roman" w:hAnsi="Times New Roman" w:eastAsia="宋体"/>
                <w:color w:val="000000"/>
                <w:kern w:val="0"/>
                <w:sz w:val="24"/>
                <w:szCs w:val="24"/>
                <w:lang w:val="en-US" w:eastAsia="zh-CN" w:bidi="ar"/>
              </w:rPr>
              <w:t>0.2kg/h，</w:t>
            </w:r>
            <w:r>
              <w:rPr>
                <w:rFonts w:hint="eastAsia" w:ascii="Times New Roman" w:hAnsi="Times New Roman" w:eastAsia="宋体"/>
                <w:color w:val="000000"/>
                <w:sz w:val="24"/>
                <w:szCs w:val="24"/>
                <w:lang w:val="en-US" w:eastAsia="zh-CN"/>
              </w:rPr>
              <w:t>1.584t</w:t>
            </w:r>
            <w:r>
              <w:rPr>
                <w:rFonts w:ascii="Times New Roman" w:hAnsi="Times New Roman" w:eastAsia="宋体"/>
                <w:color w:val="000000"/>
                <w:sz w:val="24"/>
                <w:szCs w:val="24"/>
              </w:rPr>
              <w:t xml:space="preserve">/a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restart"/>
            <w:tcBorders>
              <w:right w:val="single" w:color="auto" w:sz="4" w:space="0"/>
            </w:tcBorders>
            <w:noWrap w:val="0"/>
            <w:vAlign w:val="center"/>
          </w:tcPr>
          <w:p>
            <w:pPr>
              <w:spacing w:line="240" w:lineRule="atLeast"/>
              <w:jc w:val="center"/>
              <w:rPr>
                <w:rFonts w:hint="eastAsia" w:ascii="Times New Roman" w:hAnsi="Times New Roman" w:eastAsia="宋体"/>
                <w:color w:val="000000"/>
                <w:sz w:val="24"/>
                <w:szCs w:val="24"/>
                <w:lang w:eastAsia="zh-CN"/>
              </w:rPr>
            </w:pPr>
            <w:r>
              <w:rPr>
                <w:rFonts w:hint="eastAsia"/>
                <w:color w:val="000000"/>
                <w:sz w:val="24"/>
                <w:szCs w:val="24"/>
                <w:lang w:val="en-US" w:eastAsia="zh-CN"/>
              </w:rPr>
              <w:t>1#</w:t>
            </w:r>
            <w:r>
              <w:rPr>
                <w:rFonts w:hint="eastAsia" w:ascii="Times New Roman" w:hAnsi="Times New Roman" w:eastAsia="宋体"/>
                <w:color w:val="000000"/>
                <w:sz w:val="24"/>
                <w:szCs w:val="24"/>
                <w:lang w:eastAsia="zh-CN"/>
              </w:rPr>
              <w:t>隧道窑</w:t>
            </w:r>
          </w:p>
        </w:tc>
        <w:tc>
          <w:tcPr>
            <w:tcW w:w="1822" w:type="dxa"/>
            <w:tcBorders>
              <w:left w:val="single" w:color="auto" w:sz="4" w:space="0"/>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eastAsia="zh-CN"/>
              </w:rPr>
            </w:pPr>
            <w:r>
              <w:rPr>
                <w:rFonts w:hint="eastAsia" w:ascii="Times New Roman" w:hAnsi="Times New Roman" w:eastAsia="宋体"/>
                <w:color w:val="000000"/>
                <w:sz w:val="24"/>
                <w:szCs w:val="24"/>
                <w:lang w:eastAsia="zh-CN"/>
              </w:rPr>
              <w:t>SO</w:t>
            </w:r>
            <w:r>
              <w:rPr>
                <w:rFonts w:hint="eastAsia" w:ascii="Times New Roman" w:hAnsi="Times New Roman" w:eastAsia="宋体"/>
                <w:color w:val="000000"/>
                <w:sz w:val="24"/>
                <w:szCs w:val="24"/>
                <w:vertAlign w:val="subscript"/>
                <w:lang w:eastAsia="zh-CN"/>
              </w:rPr>
              <w:t>2</w:t>
            </w:r>
          </w:p>
        </w:tc>
        <w:tc>
          <w:tcPr>
            <w:tcW w:w="2576" w:type="dxa"/>
            <w:tcBorders>
              <w:bottom w:val="single" w:color="auto" w:sz="6" w:space="0"/>
            </w:tcBorders>
            <w:noWrap w:val="0"/>
            <w:vAlign w:val="center"/>
          </w:tcPr>
          <w:p>
            <w:pPr>
              <w:spacing w:line="240" w:lineRule="atLeast"/>
              <w:jc w:val="center"/>
              <w:rPr>
                <w:rFonts w:ascii="Times New Roman" w:hAnsi="Times New Roman" w:eastAsia="宋体"/>
                <w:color w:val="000000"/>
                <w:sz w:val="24"/>
                <w:szCs w:val="24"/>
              </w:rPr>
            </w:pPr>
            <w:r>
              <w:rPr>
                <w:rFonts w:hint="eastAsia"/>
                <w:color w:val="000000"/>
                <w:sz w:val="24"/>
                <w:szCs w:val="24"/>
                <w:lang w:val="en-US" w:eastAsia="zh-CN"/>
              </w:rPr>
              <w:t>32</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7.01</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color w:val="000000"/>
                <w:sz w:val="24"/>
                <w:szCs w:val="24"/>
                <w:lang w:val="en-US" w:eastAsia="zh-CN"/>
              </w:rPr>
              <w:t>32</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7.01</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822" w:type="dxa"/>
            <w:tcBorders>
              <w:left w:val="single" w:color="auto" w:sz="4" w:space="0"/>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eastAsia="zh-CN"/>
              </w:rPr>
            </w:pPr>
            <w:r>
              <w:rPr>
                <w:rFonts w:hint="eastAsia" w:ascii="Times New Roman" w:hAnsi="Times New Roman" w:eastAsia="宋体"/>
                <w:color w:val="000000"/>
                <w:sz w:val="24"/>
                <w:szCs w:val="24"/>
                <w:lang w:eastAsia="zh-CN"/>
              </w:rPr>
              <w:t>NO</w:t>
            </w:r>
            <w:r>
              <w:rPr>
                <w:rFonts w:hint="eastAsia" w:ascii="Times New Roman" w:hAnsi="Times New Roman" w:eastAsia="宋体"/>
                <w:color w:val="000000"/>
                <w:sz w:val="24"/>
                <w:szCs w:val="24"/>
                <w:vertAlign w:val="subscript"/>
                <w:lang w:eastAsia="zh-CN"/>
              </w:rPr>
              <w:t>2</w:t>
            </w:r>
          </w:p>
        </w:tc>
        <w:tc>
          <w:tcPr>
            <w:tcW w:w="2576" w:type="dxa"/>
            <w:tcBorders>
              <w:bottom w:val="single" w:color="auto" w:sz="6" w:space="0"/>
            </w:tcBorders>
            <w:noWrap w:val="0"/>
            <w:vAlign w:val="center"/>
          </w:tcPr>
          <w:p>
            <w:pPr>
              <w:spacing w:line="240" w:lineRule="atLeast"/>
              <w:jc w:val="center"/>
              <w:rPr>
                <w:rFonts w:ascii="Times New Roman" w:hAnsi="Times New Roman" w:eastAsia="宋体"/>
                <w:color w:val="000000"/>
                <w:kern w:val="0"/>
                <w:sz w:val="24"/>
                <w:szCs w:val="24"/>
                <w:lang w:bidi="ar"/>
              </w:rPr>
            </w:pPr>
            <w:r>
              <w:rPr>
                <w:rFonts w:hint="eastAsia"/>
                <w:color w:val="000000"/>
                <w:kern w:val="0"/>
                <w:sz w:val="24"/>
                <w:szCs w:val="24"/>
                <w:lang w:val="en-US" w:eastAsia="zh-CN" w:bidi="ar"/>
              </w:rPr>
              <w:t>104</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22.78</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ascii="Times New Roman" w:hAnsi="Times New Roman" w:eastAsia="宋体"/>
                <w:color w:val="000000"/>
                <w:kern w:val="0"/>
                <w:sz w:val="24"/>
                <w:szCs w:val="24"/>
                <w:lang w:bidi="ar"/>
              </w:rPr>
            </w:pPr>
            <w:r>
              <w:rPr>
                <w:rFonts w:hint="eastAsia"/>
                <w:color w:val="000000"/>
                <w:kern w:val="0"/>
                <w:sz w:val="24"/>
                <w:szCs w:val="24"/>
                <w:lang w:val="en-US" w:eastAsia="zh-CN" w:bidi="ar"/>
              </w:rPr>
              <w:t>104</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22.78</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822" w:type="dxa"/>
            <w:tcBorders>
              <w:left w:val="single" w:color="auto" w:sz="4" w:space="0"/>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val="en-US" w:eastAsia="zh-CN"/>
              </w:rPr>
            </w:pPr>
            <w:r>
              <w:rPr>
                <w:rFonts w:hint="eastAsia" w:ascii="Times New Roman" w:hAnsi="Times New Roman" w:eastAsia="宋体"/>
                <w:color w:val="000000"/>
                <w:sz w:val="24"/>
                <w:szCs w:val="24"/>
                <w:lang w:eastAsia="zh-CN"/>
              </w:rPr>
              <w:t>烟尘</w:t>
            </w:r>
          </w:p>
        </w:tc>
        <w:tc>
          <w:tcPr>
            <w:tcW w:w="2576" w:type="dxa"/>
            <w:tcBorders>
              <w:bottom w:val="single" w:color="auto" w:sz="6" w:space="0"/>
            </w:tcBorders>
            <w:noWrap w:val="0"/>
            <w:vAlign w:val="center"/>
          </w:tcPr>
          <w:p>
            <w:pPr>
              <w:spacing w:line="240" w:lineRule="atLeast"/>
              <w:jc w:val="center"/>
              <w:rPr>
                <w:rFonts w:ascii="Times New Roman" w:hAnsi="Times New Roman" w:eastAsia="宋体"/>
                <w:color w:val="000000"/>
                <w:sz w:val="24"/>
                <w:szCs w:val="24"/>
              </w:rPr>
            </w:pPr>
            <w:r>
              <w:rPr>
                <w:rFonts w:hint="eastAsia"/>
                <w:color w:val="000000"/>
                <w:kern w:val="0"/>
                <w:sz w:val="24"/>
                <w:szCs w:val="24"/>
                <w:lang w:val="en-US" w:eastAsia="zh-CN" w:bidi="ar"/>
              </w:rPr>
              <w:t>568</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124</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color w:val="000000"/>
                <w:kern w:val="0"/>
                <w:sz w:val="24"/>
                <w:szCs w:val="24"/>
                <w:lang w:val="en-US" w:eastAsia="zh-CN" w:bidi="ar"/>
              </w:rPr>
              <w:t>28.4</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hint="eastAsia" w:ascii="Times New Roman" w:hAnsi="Times New Roman" w:eastAsia="宋体"/>
                <w:color w:val="000000"/>
                <w:sz w:val="24"/>
                <w:szCs w:val="24"/>
                <w:vertAlign w:val="baseline"/>
                <w:lang w:eastAsia="zh-CN"/>
              </w:rPr>
              <w:t>，</w:t>
            </w:r>
            <w:r>
              <w:rPr>
                <w:rFonts w:hint="eastAsia"/>
                <w:color w:val="000000"/>
                <w:sz w:val="24"/>
                <w:szCs w:val="24"/>
                <w:vertAlign w:val="baseline"/>
                <w:lang w:val="en-US" w:eastAsia="zh-CN"/>
              </w:rPr>
              <w:t>6.2</w:t>
            </w:r>
            <w:r>
              <w:rPr>
                <w:rFonts w:ascii="Times New Roman" w:hAnsi="Times New Roman" w:eastAsia="宋体"/>
                <w:color w:val="000000"/>
                <w:sz w:val="24"/>
                <w:szCs w:val="24"/>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restart"/>
            <w:tcBorders>
              <w:right w:val="single" w:color="auto" w:sz="4" w:space="0"/>
            </w:tcBorders>
            <w:noWrap w:val="0"/>
            <w:vAlign w:val="center"/>
          </w:tcPr>
          <w:p>
            <w:pPr>
              <w:spacing w:line="240" w:lineRule="atLeast"/>
              <w:jc w:val="center"/>
              <w:rPr>
                <w:rFonts w:hint="eastAsia" w:ascii="Times New Roman" w:hAnsi="Times New Roman" w:eastAsia="宋体"/>
                <w:color w:val="000000"/>
                <w:sz w:val="24"/>
                <w:szCs w:val="24"/>
                <w:lang w:val="en-US" w:eastAsia="zh-CN"/>
              </w:rPr>
            </w:pPr>
            <w:r>
              <w:rPr>
                <w:rFonts w:hint="eastAsia"/>
                <w:color w:val="000000"/>
                <w:sz w:val="24"/>
                <w:szCs w:val="24"/>
                <w:lang w:val="en-US" w:eastAsia="zh-CN"/>
              </w:rPr>
              <w:t>2#隧道窑</w:t>
            </w:r>
          </w:p>
        </w:tc>
        <w:tc>
          <w:tcPr>
            <w:tcW w:w="1822" w:type="dxa"/>
            <w:tcBorders>
              <w:left w:val="single" w:color="auto" w:sz="4" w:space="0"/>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eastAsia="zh-CN"/>
              </w:rPr>
            </w:pPr>
            <w:r>
              <w:rPr>
                <w:rFonts w:hint="eastAsia" w:ascii="Times New Roman" w:hAnsi="Times New Roman" w:eastAsia="宋体"/>
                <w:color w:val="000000"/>
                <w:sz w:val="24"/>
                <w:szCs w:val="24"/>
                <w:lang w:eastAsia="zh-CN"/>
              </w:rPr>
              <w:t>SO</w:t>
            </w:r>
            <w:r>
              <w:rPr>
                <w:rFonts w:hint="eastAsia" w:ascii="Times New Roman" w:hAnsi="Times New Roman" w:eastAsia="宋体"/>
                <w:color w:val="000000"/>
                <w:sz w:val="24"/>
                <w:szCs w:val="24"/>
                <w:vertAlign w:val="subscript"/>
                <w:lang w:eastAsia="zh-CN"/>
              </w:rPr>
              <w:t>2</w:t>
            </w:r>
          </w:p>
        </w:tc>
        <w:tc>
          <w:tcPr>
            <w:tcW w:w="2576" w:type="dxa"/>
            <w:tcBorders>
              <w:bottom w:val="single" w:color="auto" w:sz="6" w:space="0"/>
            </w:tcBorders>
            <w:noWrap w:val="0"/>
            <w:vAlign w:val="center"/>
          </w:tcPr>
          <w:p>
            <w:pPr>
              <w:spacing w:line="240" w:lineRule="atLeast"/>
              <w:jc w:val="center"/>
              <w:rPr>
                <w:rFonts w:hint="eastAsia"/>
                <w:color w:val="000000"/>
                <w:kern w:val="0"/>
                <w:sz w:val="24"/>
                <w:szCs w:val="24"/>
                <w:lang w:val="en-US" w:eastAsia="zh-CN" w:bidi="ar"/>
              </w:rPr>
            </w:pPr>
            <w:r>
              <w:rPr>
                <w:rFonts w:hint="eastAsia"/>
                <w:color w:val="000000"/>
                <w:sz w:val="24"/>
                <w:szCs w:val="24"/>
                <w:lang w:val="en-US" w:eastAsia="zh-CN"/>
              </w:rPr>
              <w:t>26.7</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7.01</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hint="eastAsia"/>
                <w:color w:val="000000"/>
                <w:kern w:val="0"/>
                <w:sz w:val="24"/>
                <w:szCs w:val="24"/>
                <w:lang w:val="en-US" w:eastAsia="zh-CN" w:bidi="ar"/>
              </w:rPr>
            </w:pPr>
            <w:r>
              <w:rPr>
                <w:rFonts w:hint="eastAsia"/>
                <w:color w:val="000000"/>
                <w:sz w:val="24"/>
                <w:szCs w:val="24"/>
                <w:lang w:val="en-US" w:eastAsia="zh-CN"/>
              </w:rPr>
              <w:t>26.7</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7.01</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822" w:type="dxa"/>
            <w:tcBorders>
              <w:left w:val="single" w:color="auto" w:sz="4" w:space="0"/>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eastAsia="zh-CN"/>
              </w:rPr>
            </w:pPr>
            <w:r>
              <w:rPr>
                <w:rFonts w:hint="eastAsia" w:ascii="Times New Roman" w:hAnsi="Times New Roman" w:eastAsia="宋体"/>
                <w:color w:val="000000"/>
                <w:sz w:val="24"/>
                <w:szCs w:val="24"/>
                <w:lang w:eastAsia="zh-CN"/>
              </w:rPr>
              <w:t>NO</w:t>
            </w:r>
            <w:r>
              <w:rPr>
                <w:rFonts w:hint="eastAsia" w:ascii="Times New Roman" w:hAnsi="Times New Roman" w:eastAsia="宋体"/>
                <w:color w:val="000000"/>
                <w:sz w:val="24"/>
                <w:szCs w:val="24"/>
                <w:vertAlign w:val="subscript"/>
                <w:lang w:eastAsia="zh-CN"/>
              </w:rPr>
              <w:t>2</w:t>
            </w:r>
          </w:p>
        </w:tc>
        <w:tc>
          <w:tcPr>
            <w:tcW w:w="2576" w:type="dxa"/>
            <w:tcBorders>
              <w:bottom w:val="single" w:color="auto" w:sz="6" w:space="0"/>
            </w:tcBorders>
            <w:noWrap w:val="0"/>
            <w:vAlign w:val="center"/>
          </w:tcPr>
          <w:p>
            <w:pPr>
              <w:spacing w:line="240" w:lineRule="atLeast"/>
              <w:jc w:val="center"/>
              <w:rPr>
                <w:rFonts w:hint="eastAsia"/>
                <w:color w:val="000000"/>
                <w:kern w:val="0"/>
                <w:sz w:val="24"/>
                <w:szCs w:val="24"/>
                <w:lang w:val="en-US" w:eastAsia="zh-CN" w:bidi="ar"/>
              </w:rPr>
            </w:pPr>
            <w:r>
              <w:rPr>
                <w:rFonts w:hint="eastAsia"/>
                <w:color w:val="000000"/>
                <w:kern w:val="0"/>
                <w:sz w:val="24"/>
                <w:szCs w:val="24"/>
                <w:lang w:val="en-US" w:eastAsia="zh-CN" w:bidi="ar"/>
              </w:rPr>
              <w:t>86.7</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22.78</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hint="eastAsia"/>
                <w:color w:val="000000"/>
                <w:kern w:val="0"/>
                <w:sz w:val="24"/>
                <w:szCs w:val="24"/>
                <w:lang w:val="en-US" w:eastAsia="zh-CN" w:bidi="ar"/>
              </w:rPr>
            </w:pPr>
            <w:r>
              <w:rPr>
                <w:rFonts w:hint="eastAsia"/>
                <w:color w:val="000000"/>
                <w:kern w:val="0"/>
                <w:sz w:val="24"/>
                <w:szCs w:val="24"/>
                <w:lang w:val="en-US" w:eastAsia="zh-CN" w:bidi="ar"/>
              </w:rPr>
              <w:t>86.7</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22.78</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822" w:type="dxa"/>
            <w:tcBorders>
              <w:left w:val="single" w:color="auto" w:sz="4" w:space="0"/>
              <w:bottom w:val="single" w:color="auto" w:sz="6" w:space="0"/>
            </w:tcBorders>
            <w:noWrap w:val="0"/>
            <w:vAlign w:val="center"/>
          </w:tcPr>
          <w:p>
            <w:pPr>
              <w:spacing w:line="240" w:lineRule="atLeast"/>
              <w:jc w:val="center"/>
              <w:rPr>
                <w:rFonts w:hint="eastAsia" w:ascii="Times New Roman" w:hAnsi="Times New Roman" w:eastAsia="宋体"/>
                <w:color w:val="000000"/>
                <w:sz w:val="24"/>
                <w:szCs w:val="24"/>
                <w:lang w:eastAsia="zh-CN"/>
              </w:rPr>
            </w:pPr>
            <w:r>
              <w:rPr>
                <w:rFonts w:hint="eastAsia" w:ascii="Times New Roman" w:hAnsi="Times New Roman" w:eastAsia="宋体"/>
                <w:color w:val="000000"/>
                <w:sz w:val="24"/>
                <w:szCs w:val="24"/>
                <w:lang w:eastAsia="zh-CN"/>
              </w:rPr>
              <w:t>烟尘</w:t>
            </w:r>
          </w:p>
        </w:tc>
        <w:tc>
          <w:tcPr>
            <w:tcW w:w="2576" w:type="dxa"/>
            <w:tcBorders>
              <w:bottom w:val="single" w:color="auto" w:sz="6" w:space="0"/>
            </w:tcBorders>
            <w:noWrap w:val="0"/>
            <w:vAlign w:val="center"/>
          </w:tcPr>
          <w:p>
            <w:pPr>
              <w:spacing w:line="240" w:lineRule="atLeast"/>
              <w:jc w:val="center"/>
              <w:rPr>
                <w:rFonts w:hint="eastAsia"/>
                <w:color w:val="000000"/>
                <w:kern w:val="0"/>
                <w:sz w:val="24"/>
                <w:szCs w:val="24"/>
                <w:lang w:val="en-US" w:eastAsia="zh-CN" w:bidi="ar"/>
              </w:rPr>
            </w:pPr>
            <w:r>
              <w:rPr>
                <w:rFonts w:hint="eastAsia"/>
                <w:color w:val="000000"/>
                <w:kern w:val="0"/>
                <w:sz w:val="24"/>
                <w:szCs w:val="24"/>
                <w:lang w:val="en-US" w:eastAsia="zh-CN" w:bidi="ar"/>
              </w:rPr>
              <w:t>473</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124</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c>
          <w:tcPr>
            <w:tcW w:w="2780" w:type="dxa"/>
            <w:tcBorders>
              <w:bottom w:val="single" w:color="auto" w:sz="6" w:space="0"/>
              <w:right w:val="single" w:color="auto" w:sz="4" w:space="0"/>
            </w:tcBorders>
            <w:noWrap w:val="0"/>
            <w:vAlign w:val="center"/>
          </w:tcPr>
          <w:p>
            <w:pPr>
              <w:spacing w:line="240" w:lineRule="atLeast"/>
              <w:jc w:val="center"/>
              <w:rPr>
                <w:rFonts w:hint="eastAsia"/>
                <w:color w:val="000000"/>
                <w:kern w:val="0"/>
                <w:sz w:val="24"/>
                <w:szCs w:val="24"/>
                <w:lang w:val="en-US" w:eastAsia="zh-CN" w:bidi="ar"/>
              </w:rPr>
            </w:pPr>
            <w:r>
              <w:rPr>
                <w:rFonts w:hint="eastAsia"/>
                <w:color w:val="000000"/>
                <w:kern w:val="0"/>
                <w:sz w:val="24"/>
                <w:szCs w:val="24"/>
                <w:lang w:val="en-US" w:eastAsia="zh-CN" w:bidi="ar"/>
              </w:rPr>
              <w:t>23.6</w:t>
            </w:r>
            <w:r>
              <w:rPr>
                <w:rFonts w:ascii="Times New Roman" w:hAnsi="Times New Roman" w:eastAsia="宋体"/>
                <w:color w:val="000000"/>
                <w:sz w:val="24"/>
                <w:szCs w:val="24"/>
              </w:rPr>
              <w:t>mg/m</w:t>
            </w:r>
            <w:r>
              <w:rPr>
                <w:rFonts w:ascii="Times New Roman" w:hAnsi="Times New Roman" w:eastAsia="宋体"/>
                <w:color w:val="000000"/>
                <w:sz w:val="24"/>
                <w:szCs w:val="24"/>
                <w:vertAlign w:val="superscript"/>
              </w:rPr>
              <w:t>3</w:t>
            </w:r>
            <w:r>
              <w:rPr>
                <w:rFonts w:ascii="Times New Roman" w:hAnsi="Times New Roman" w:eastAsia="宋体"/>
                <w:color w:val="000000"/>
                <w:sz w:val="24"/>
                <w:szCs w:val="24"/>
              </w:rPr>
              <w:t xml:space="preserve"> </w:t>
            </w:r>
            <w:r>
              <w:rPr>
                <w:rFonts w:hint="eastAsia" w:ascii="Times New Roman" w:hAnsi="Times New Roman" w:eastAsia="宋体"/>
                <w:color w:val="000000"/>
                <w:kern w:val="0"/>
                <w:sz w:val="24"/>
                <w:szCs w:val="24"/>
                <w:lang w:val="en-US" w:eastAsia="zh-CN" w:bidi="ar"/>
              </w:rPr>
              <w:t>，</w:t>
            </w:r>
            <w:r>
              <w:rPr>
                <w:rFonts w:hint="eastAsia"/>
                <w:color w:val="000000"/>
                <w:sz w:val="24"/>
                <w:szCs w:val="24"/>
                <w:lang w:val="en-US" w:eastAsia="zh-CN"/>
              </w:rPr>
              <w:t>6.2</w:t>
            </w:r>
            <w:r>
              <w:rPr>
                <w:rFonts w:hint="eastAsia" w:ascii="Times New Roman" w:hAnsi="Times New Roman" w:eastAsia="宋体"/>
                <w:color w:val="000000"/>
                <w:sz w:val="24"/>
                <w:szCs w:val="24"/>
                <w:lang w:val="en-US" w:eastAsia="zh-CN"/>
              </w:rPr>
              <w:t>t</w:t>
            </w:r>
            <w:r>
              <w:rPr>
                <w:rFonts w:ascii="Times New Roman" w:hAnsi="Times New Roman" w:eastAsia="宋体"/>
                <w:color w:val="000000"/>
                <w:sz w:val="24"/>
                <w:szCs w:val="24"/>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restart"/>
            <w:tcBorders>
              <w:top w:val="single" w:color="auto" w:sz="4" w:space="0"/>
              <w:lef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水</w:t>
            </w:r>
          </w:p>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污</w:t>
            </w:r>
          </w:p>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染</w:t>
            </w:r>
          </w:p>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物</w:t>
            </w:r>
          </w:p>
        </w:tc>
        <w:tc>
          <w:tcPr>
            <w:tcW w:w="1359" w:type="dxa"/>
            <w:vMerge w:val="restart"/>
            <w:tcBorders>
              <w:top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生活</w:t>
            </w:r>
            <w:r>
              <w:rPr>
                <w:rFonts w:hint="eastAsia"/>
                <w:color w:val="000000"/>
                <w:sz w:val="24"/>
                <w:szCs w:val="24"/>
                <w:lang w:eastAsia="zh-CN"/>
              </w:rPr>
              <w:t>、</w:t>
            </w:r>
            <w:r>
              <w:rPr>
                <w:rFonts w:hint="eastAsia"/>
                <w:color w:val="000000"/>
                <w:sz w:val="24"/>
                <w:szCs w:val="24"/>
                <w:lang w:val="en-US" w:eastAsia="zh-CN"/>
              </w:rPr>
              <w:t>餐饮</w:t>
            </w:r>
            <w:r>
              <w:rPr>
                <w:rFonts w:ascii="Times New Roman" w:hAnsi="Times New Roman" w:eastAsia="宋体"/>
                <w:color w:val="000000"/>
                <w:sz w:val="24"/>
                <w:szCs w:val="24"/>
              </w:rPr>
              <w:t>污水</w:t>
            </w:r>
          </w:p>
        </w:tc>
        <w:tc>
          <w:tcPr>
            <w:tcW w:w="1822" w:type="dxa"/>
            <w:tcBorders>
              <w:bottom w:val="single" w:color="auto" w:sz="4" w:space="0"/>
            </w:tcBorders>
            <w:noWrap w:val="0"/>
            <w:vAlign w:val="center"/>
          </w:tcPr>
          <w:p>
            <w:pPr>
              <w:spacing w:line="240" w:lineRule="atLeast"/>
              <w:jc w:val="center"/>
              <w:rPr>
                <w:rFonts w:ascii="Times New Roman" w:hAnsi="Times New Roman" w:eastAsia="宋体"/>
                <w:color w:val="000000"/>
                <w:sz w:val="24"/>
                <w:szCs w:val="24"/>
                <w:highlight w:val="yellow"/>
              </w:rPr>
            </w:pPr>
            <w:r>
              <w:rPr>
                <w:rFonts w:ascii="Times New Roman" w:hAnsi="Times New Roman" w:eastAsia="宋体"/>
                <w:color w:val="000000"/>
                <w:sz w:val="24"/>
                <w:szCs w:val="24"/>
              </w:rPr>
              <w:t>废水量</w:t>
            </w:r>
          </w:p>
        </w:tc>
        <w:tc>
          <w:tcPr>
            <w:tcW w:w="5356" w:type="dxa"/>
            <w:gridSpan w:val="2"/>
            <w:tcBorders>
              <w:bottom w:val="single" w:color="auto" w:sz="4" w:space="0"/>
              <w:right w:val="single" w:color="auto" w:sz="4" w:space="0"/>
            </w:tcBorders>
            <w:noWrap w:val="0"/>
            <w:vAlign w:val="center"/>
          </w:tcPr>
          <w:p>
            <w:pPr>
              <w:spacing w:line="240" w:lineRule="atLeast"/>
              <w:jc w:val="center"/>
              <w:rPr>
                <w:rFonts w:ascii="Times New Roman" w:hAnsi="Times New Roman" w:eastAsia="宋体"/>
                <w:color w:val="000000"/>
                <w:sz w:val="24"/>
                <w:szCs w:val="24"/>
                <w:highlight w:val="yellow"/>
              </w:rPr>
            </w:pPr>
            <w:r>
              <w:rPr>
                <w:rFonts w:hint="eastAsia" w:ascii="Times New Roman" w:hAnsi="Times New Roman" w:eastAsia="宋体"/>
                <w:color w:val="000000"/>
                <w:sz w:val="24"/>
                <w:szCs w:val="24"/>
              </w:rPr>
              <w:t>3561.36</w:t>
            </w:r>
            <w:r>
              <w:rPr>
                <w:rFonts w:ascii="Times New Roman" w:hAnsi="Times New Roman" w:eastAsia="宋体"/>
                <w:color w:val="000000"/>
                <w:sz w:val="24"/>
                <w:szCs w:val="24"/>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bottom w:val="single" w:color="auto" w:sz="4" w:space="0"/>
            </w:tcBorders>
            <w:noWrap w:val="0"/>
            <w:vAlign w:val="center"/>
          </w:tcPr>
          <w:p>
            <w:pPr>
              <w:pStyle w:val="60"/>
              <w:spacing w:before="53"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COD</w:t>
            </w:r>
          </w:p>
        </w:tc>
        <w:tc>
          <w:tcPr>
            <w:tcW w:w="2576" w:type="dxa"/>
            <w:tcBorders>
              <w:bottom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400mg/L，</w:t>
            </w:r>
            <w:r>
              <w:rPr>
                <w:rFonts w:hint="eastAsia" w:ascii="Times New Roman" w:hAnsi="Times New Roman" w:eastAsia="宋体"/>
                <w:color w:val="000000"/>
                <w:sz w:val="24"/>
                <w:szCs w:val="24"/>
                <w:lang w:val="en-US" w:eastAsia="zh-CN"/>
              </w:rPr>
              <w:t>1.425</w:t>
            </w:r>
            <w:r>
              <w:rPr>
                <w:rFonts w:ascii="Times New Roman" w:hAnsi="Times New Roman" w:eastAsia="宋体"/>
                <w:color w:val="000000"/>
                <w:sz w:val="24"/>
                <w:szCs w:val="24"/>
              </w:rPr>
              <w:t>t/a</w:t>
            </w:r>
          </w:p>
        </w:tc>
        <w:tc>
          <w:tcPr>
            <w:tcW w:w="2780" w:type="dxa"/>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000000"/>
                <w:sz w:val="24"/>
                <w:szCs w:val="24"/>
                <w:lang w:val="en-US" w:eastAsia="zh-CN"/>
              </w:rPr>
              <w:t>100</w:t>
            </w:r>
            <w:r>
              <w:rPr>
                <w:rFonts w:ascii="Times New Roman" w:hAnsi="Times New Roman" w:eastAsia="宋体"/>
                <w:color w:val="000000"/>
                <w:sz w:val="24"/>
                <w:szCs w:val="24"/>
              </w:rPr>
              <w:t>mg/L，</w:t>
            </w:r>
            <w:r>
              <w:rPr>
                <w:rFonts w:hint="eastAsia" w:ascii="Times New Roman" w:hAnsi="Times New Roman" w:eastAsia="宋体"/>
                <w:color w:val="000000"/>
                <w:sz w:val="24"/>
                <w:szCs w:val="24"/>
                <w:lang w:val="en-US" w:eastAsia="zh-CN"/>
              </w:rPr>
              <w:t>0.356</w:t>
            </w:r>
            <w:r>
              <w:rPr>
                <w:rFonts w:ascii="Times New Roman" w:hAnsi="Times New Roman" w:eastAsia="宋体"/>
                <w:color w:val="000000"/>
                <w:sz w:val="24"/>
                <w:szCs w:val="24"/>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top w:val="single" w:color="auto" w:sz="4" w:space="0"/>
              <w:bottom w:val="single" w:color="auto" w:sz="4" w:space="0"/>
            </w:tcBorders>
            <w:noWrap w:val="0"/>
            <w:vAlign w:val="center"/>
          </w:tcPr>
          <w:p>
            <w:pPr>
              <w:pStyle w:val="60"/>
              <w:spacing w:before="53"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SS</w:t>
            </w:r>
          </w:p>
        </w:tc>
        <w:tc>
          <w:tcPr>
            <w:tcW w:w="2576" w:type="dxa"/>
            <w:tcBorders>
              <w:top w:val="single" w:color="auto" w:sz="4" w:space="0"/>
              <w:bottom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200mg/L，</w:t>
            </w:r>
            <w:r>
              <w:rPr>
                <w:rFonts w:hint="eastAsia" w:ascii="Times New Roman" w:hAnsi="Times New Roman" w:eastAsia="宋体"/>
                <w:color w:val="000000"/>
                <w:sz w:val="24"/>
                <w:szCs w:val="24"/>
                <w:lang w:val="en-US" w:eastAsia="zh-CN"/>
              </w:rPr>
              <w:t>0.712</w:t>
            </w:r>
            <w:r>
              <w:rPr>
                <w:rFonts w:ascii="Times New Roman" w:hAnsi="Times New Roman" w:eastAsia="宋体"/>
                <w:color w:val="000000"/>
                <w:sz w:val="24"/>
                <w:szCs w:val="24"/>
              </w:rPr>
              <w:t>t/a</w:t>
            </w:r>
          </w:p>
        </w:tc>
        <w:tc>
          <w:tcPr>
            <w:tcW w:w="2780" w:type="dxa"/>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000000"/>
                <w:sz w:val="24"/>
                <w:szCs w:val="24"/>
                <w:lang w:val="en-US" w:eastAsia="zh-CN"/>
              </w:rPr>
              <w:t>7</w:t>
            </w:r>
            <w:r>
              <w:rPr>
                <w:rFonts w:ascii="Times New Roman" w:hAnsi="Times New Roman" w:eastAsia="宋体"/>
                <w:color w:val="000000"/>
                <w:sz w:val="24"/>
                <w:szCs w:val="24"/>
              </w:rPr>
              <w:t>0mg/L，</w:t>
            </w:r>
            <w:r>
              <w:rPr>
                <w:rFonts w:hint="eastAsia" w:ascii="Times New Roman" w:hAnsi="Times New Roman" w:eastAsia="宋体"/>
                <w:color w:val="000000"/>
                <w:sz w:val="24"/>
                <w:szCs w:val="24"/>
                <w:lang w:val="en-US" w:eastAsia="zh-CN"/>
              </w:rPr>
              <w:t>0.249</w:t>
            </w:r>
            <w:r>
              <w:rPr>
                <w:rFonts w:ascii="Times New Roman" w:hAnsi="Times New Roman" w:eastAsia="宋体"/>
                <w:color w:val="000000"/>
                <w:sz w:val="24"/>
                <w:szCs w:val="24"/>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top w:val="single" w:color="auto" w:sz="4" w:space="0"/>
              <w:bottom w:val="single" w:color="auto" w:sz="4" w:space="0"/>
            </w:tcBorders>
            <w:noWrap w:val="0"/>
            <w:vAlign w:val="center"/>
          </w:tcPr>
          <w:p>
            <w:pPr>
              <w:pStyle w:val="60"/>
              <w:spacing w:before="53"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氨氮</w:t>
            </w:r>
          </w:p>
        </w:tc>
        <w:tc>
          <w:tcPr>
            <w:tcW w:w="2576" w:type="dxa"/>
            <w:tcBorders>
              <w:top w:val="single" w:color="auto" w:sz="4" w:space="0"/>
              <w:bottom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25mg/L，0.</w:t>
            </w:r>
            <w:r>
              <w:rPr>
                <w:rFonts w:hint="eastAsia" w:ascii="Times New Roman" w:hAnsi="Times New Roman" w:eastAsia="宋体"/>
                <w:color w:val="000000"/>
                <w:sz w:val="24"/>
                <w:szCs w:val="24"/>
                <w:lang w:val="en-US" w:eastAsia="zh-CN"/>
              </w:rPr>
              <w:t>089</w:t>
            </w:r>
            <w:r>
              <w:rPr>
                <w:rFonts w:ascii="Times New Roman" w:hAnsi="Times New Roman" w:eastAsia="宋体"/>
                <w:color w:val="000000"/>
                <w:sz w:val="24"/>
                <w:szCs w:val="24"/>
              </w:rPr>
              <w:t>t/a</w:t>
            </w:r>
          </w:p>
        </w:tc>
        <w:tc>
          <w:tcPr>
            <w:tcW w:w="2780" w:type="dxa"/>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000000"/>
                <w:sz w:val="24"/>
                <w:szCs w:val="24"/>
                <w:lang w:val="en-US" w:eastAsia="zh-CN"/>
              </w:rPr>
              <w:t>1</w:t>
            </w:r>
            <w:r>
              <w:rPr>
                <w:rFonts w:ascii="Times New Roman" w:hAnsi="Times New Roman" w:eastAsia="宋体"/>
                <w:color w:val="000000"/>
                <w:sz w:val="24"/>
                <w:szCs w:val="24"/>
              </w:rPr>
              <w:t>5mg/L，0.</w:t>
            </w:r>
            <w:r>
              <w:rPr>
                <w:rFonts w:hint="eastAsia" w:ascii="Times New Roman" w:hAnsi="Times New Roman" w:eastAsia="宋体"/>
                <w:color w:val="000000"/>
                <w:sz w:val="24"/>
                <w:szCs w:val="24"/>
                <w:lang w:val="en-US" w:eastAsia="zh-CN"/>
              </w:rPr>
              <w:t>053</w:t>
            </w:r>
            <w:r>
              <w:rPr>
                <w:rFonts w:ascii="Times New Roman" w:hAnsi="Times New Roman" w:eastAsia="宋体"/>
                <w:color w:val="000000"/>
                <w:sz w:val="24"/>
                <w:szCs w:val="24"/>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top w:val="single" w:color="auto" w:sz="4" w:space="0"/>
              <w:bottom w:val="single" w:color="auto" w:sz="4" w:space="0"/>
            </w:tcBorders>
            <w:noWrap w:val="0"/>
            <w:vAlign w:val="center"/>
          </w:tcPr>
          <w:p>
            <w:pPr>
              <w:pStyle w:val="60"/>
              <w:spacing w:before="53"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BOD</w:t>
            </w:r>
            <w:r>
              <w:rPr>
                <w:rFonts w:ascii="Times New Roman" w:hAnsi="Times New Roman" w:eastAsia="宋体"/>
                <w:color w:val="000000"/>
                <w:sz w:val="24"/>
                <w:szCs w:val="24"/>
                <w:vertAlign w:val="subscript"/>
              </w:rPr>
              <w:t>5</w:t>
            </w:r>
          </w:p>
        </w:tc>
        <w:tc>
          <w:tcPr>
            <w:tcW w:w="2576" w:type="dxa"/>
            <w:tcBorders>
              <w:top w:val="single" w:color="auto" w:sz="4" w:space="0"/>
              <w:bottom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250mg/L，</w:t>
            </w:r>
            <w:r>
              <w:rPr>
                <w:rFonts w:hint="eastAsia" w:ascii="Times New Roman" w:hAnsi="Times New Roman" w:eastAsia="宋体"/>
                <w:color w:val="000000"/>
                <w:sz w:val="24"/>
                <w:szCs w:val="24"/>
                <w:lang w:val="en-US" w:eastAsia="zh-CN"/>
              </w:rPr>
              <w:t>0.890</w:t>
            </w:r>
            <w:r>
              <w:rPr>
                <w:rFonts w:ascii="Times New Roman" w:hAnsi="Times New Roman" w:eastAsia="宋体"/>
                <w:color w:val="000000"/>
                <w:sz w:val="24"/>
                <w:szCs w:val="24"/>
              </w:rPr>
              <w:t>t/a</w:t>
            </w:r>
          </w:p>
        </w:tc>
        <w:tc>
          <w:tcPr>
            <w:tcW w:w="2780" w:type="dxa"/>
            <w:tcBorders>
              <w:righ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000000"/>
                <w:sz w:val="24"/>
                <w:szCs w:val="24"/>
                <w:lang w:val="en-US" w:eastAsia="zh-CN"/>
              </w:rPr>
              <w:t>20</w:t>
            </w:r>
            <w:r>
              <w:rPr>
                <w:rFonts w:ascii="Times New Roman" w:hAnsi="Times New Roman" w:eastAsia="宋体"/>
                <w:color w:val="000000"/>
                <w:sz w:val="24"/>
                <w:szCs w:val="24"/>
              </w:rPr>
              <w:t>mg/L，</w:t>
            </w:r>
            <w:r>
              <w:rPr>
                <w:rFonts w:hint="eastAsia" w:ascii="Times New Roman" w:hAnsi="Times New Roman" w:eastAsia="宋体"/>
                <w:color w:val="000000"/>
                <w:sz w:val="24"/>
                <w:szCs w:val="24"/>
                <w:lang w:val="en-US" w:eastAsia="zh-CN"/>
              </w:rPr>
              <w:t>0.071</w:t>
            </w:r>
            <w:r>
              <w:rPr>
                <w:rFonts w:ascii="Times New Roman" w:hAnsi="Times New Roman" w:eastAsia="宋体"/>
                <w:color w:val="000000"/>
                <w:sz w:val="24"/>
                <w:szCs w:val="24"/>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top w:val="single" w:color="auto" w:sz="4" w:space="0"/>
              <w:bottom w:val="single" w:color="auto" w:sz="4" w:space="0"/>
            </w:tcBorders>
            <w:noWrap w:val="0"/>
            <w:vAlign w:val="center"/>
          </w:tcPr>
          <w:p>
            <w:pPr>
              <w:spacing w:line="440" w:lineRule="exact"/>
              <w:jc w:val="center"/>
              <w:rPr>
                <w:rFonts w:ascii="Times New Roman" w:hAnsi="Times New Roman" w:eastAsia="宋体"/>
                <w:color w:val="000000"/>
                <w:sz w:val="24"/>
                <w:szCs w:val="24"/>
              </w:rPr>
            </w:pPr>
            <w:r>
              <w:rPr>
                <w:rFonts w:hint="eastAsia" w:ascii="Times New Roman" w:hAnsi="Times New Roman" w:eastAsia="宋体"/>
                <w:color w:val="000000"/>
                <w:sz w:val="24"/>
                <w:lang w:val="en-US" w:eastAsia="zh-CN"/>
              </w:rPr>
              <w:t>动植物油</w:t>
            </w:r>
          </w:p>
        </w:tc>
        <w:tc>
          <w:tcPr>
            <w:tcW w:w="2576" w:type="dxa"/>
            <w:tcBorders>
              <w:top w:val="single" w:color="auto" w:sz="4" w:space="0"/>
              <w:bottom w:val="single" w:color="auto" w:sz="4" w:space="0"/>
            </w:tcBorders>
            <w:noWrap w:val="0"/>
            <w:vAlign w:val="center"/>
          </w:tcPr>
          <w:p>
            <w:pPr>
              <w:jc w:val="center"/>
              <w:rPr>
                <w:rFonts w:ascii="Times New Roman" w:hAnsi="Times New Roman" w:eastAsia="宋体"/>
                <w:color w:val="000000"/>
                <w:sz w:val="24"/>
                <w:szCs w:val="24"/>
              </w:rPr>
            </w:pPr>
            <w:r>
              <w:rPr>
                <w:rFonts w:hint="eastAsia" w:ascii="Times New Roman" w:hAnsi="Times New Roman" w:eastAsia="宋体"/>
                <w:color w:val="000000"/>
                <w:sz w:val="24"/>
                <w:lang w:val="en-US" w:eastAsia="zh-CN"/>
              </w:rPr>
              <w:t>50</w:t>
            </w:r>
            <w:r>
              <w:rPr>
                <w:rFonts w:ascii="Times New Roman" w:hAnsi="Times New Roman" w:eastAsia="宋体"/>
                <w:color w:val="000000"/>
                <w:sz w:val="24"/>
              </w:rPr>
              <w:t>mg/L</w:t>
            </w:r>
            <w:r>
              <w:rPr>
                <w:rFonts w:ascii="Times New Roman" w:hAnsi="Times New Roman" w:eastAsia="宋体"/>
                <w:color w:val="000000"/>
                <w:sz w:val="24"/>
                <w:szCs w:val="24"/>
              </w:rPr>
              <w:t>，</w:t>
            </w:r>
            <w:r>
              <w:rPr>
                <w:rFonts w:hint="eastAsia" w:ascii="Times New Roman" w:hAnsi="Times New Roman" w:eastAsia="宋体"/>
                <w:color w:val="000000"/>
                <w:sz w:val="24"/>
                <w:szCs w:val="24"/>
                <w:lang w:val="en-US" w:eastAsia="zh-CN"/>
              </w:rPr>
              <w:t>0.</w:t>
            </w:r>
            <w:r>
              <w:rPr>
                <w:rFonts w:hint="eastAsia"/>
                <w:color w:val="000000"/>
                <w:sz w:val="24"/>
                <w:szCs w:val="24"/>
                <w:lang w:val="en-US" w:eastAsia="zh-CN"/>
              </w:rPr>
              <w:t>178</w:t>
            </w:r>
            <w:r>
              <w:rPr>
                <w:rFonts w:ascii="Times New Roman" w:hAnsi="Times New Roman" w:eastAsia="宋体"/>
                <w:color w:val="000000"/>
                <w:sz w:val="24"/>
                <w:szCs w:val="24"/>
              </w:rPr>
              <w:t>t/a</w:t>
            </w:r>
          </w:p>
        </w:tc>
        <w:tc>
          <w:tcPr>
            <w:tcW w:w="2780" w:type="dxa"/>
            <w:tcBorders>
              <w:right w:val="single" w:color="auto" w:sz="4" w:space="0"/>
            </w:tcBorders>
            <w:noWrap w:val="0"/>
            <w:vAlign w:val="center"/>
          </w:tcPr>
          <w:p>
            <w:pPr>
              <w:jc w:val="center"/>
              <w:rPr>
                <w:rFonts w:hint="eastAsia" w:ascii="Times New Roman" w:hAnsi="Times New Roman" w:eastAsia="宋体"/>
                <w:color w:val="000000"/>
                <w:sz w:val="24"/>
                <w:szCs w:val="24"/>
                <w:lang w:val="en-US" w:eastAsia="zh-CN"/>
              </w:rPr>
            </w:pPr>
            <w:r>
              <w:rPr>
                <w:rFonts w:ascii="Times New Roman" w:hAnsi="Times New Roman" w:eastAsia="宋体"/>
                <w:color w:val="000000"/>
                <w:sz w:val="24"/>
                <w:szCs w:val="24"/>
              </w:rPr>
              <w:t>25mg/L，0.</w:t>
            </w:r>
            <w:r>
              <w:rPr>
                <w:rFonts w:hint="eastAsia" w:ascii="Times New Roman" w:hAnsi="Times New Roman" w:eastAsia="宋体"/>
                <w:color w:val="000000"/>
                <w:sz w:val="24"/>
                <w:szCs w:val="24"/>
                <w:lang w:val="en-US" w:eastAsia="zh-CN"/>
              </w:rPr>
              <w:t>089</w:t>
            </w:r>
            <w:r>
              <w:rPr>
                <w:rFonts w:ascii="Times New Roman" w:hAnsi="Times New Roman" w:eastAsia="宋体"/>
                <w:color w:val="000000"/>
                <w:sz w:val="24"/>
                <w:szCs w:val="24"/>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restart"/>
            <w:tcBorders>
              <w:top w:val="single" w:color="auto" w:sz="4" w:space="0"/>
              <w:left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固体废物</w:t>
            </w:r>
          </w:p>
        </w:tc>
        <w:tc>
          <w:tcPr>
            <w:tcW w:w="1359" w:type="dxa"/>
            <w:tcBorders>
              <w:top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员工</w:t>
            </w:r>
          </w:p>
        </w:tc>
        <w:tc>
          <w:tcPr>
            <w:tcW w:w="1822" w:type="dxa"/>
            <w:tcBorders>
              <w:top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生活垃圾</w:t>
            </w:r>
          </w:p>
        </w:tc>
        <w:tc>
          <w:tcPr>
            <w:tcW w:w="2576" w:type="dxa"/>
            <w:tcBorders>
              <w:top w:val="single" w:color="auto" w:sz="4" w:space="0"/>
            </w:tcBorders>
            <w:noWrap w:val="0"/>
            <w:vAlign w:val="center"/>
          </w:tcPr>
          <w:p>
            <w:pPr>
              <w:spacing w:line="240" w:lineRule="atLeast"/>
              <w:jc w:val="center"/>
              <w:rPr>
                <w:rFonts w:ascii="Times New Roman" w:hAnsi="Times New Roman" w:eastAsia="宋体"/>
                <w:color w:val="000000"/>
                <w:sz w:val="24"/>
                <w:szCs w:val="24"/>
              </w:rPr>
            </w:pPr>
            <w:r>
              <w:rPr>
                <w:rFonts w:hint="eastAsia" w:ascii="Times New Roman" w:hAnsi="Times New Roman" w:eastAsia="宋体"/>
                <w:color w:val="000000"/>
                <w:sz w:val="24"/>
                <w:szCs w:val="24"/>
                <w:lang w:val="en-US" w:eastAsia="zh-CN"/>
              </w:rPr>
              <w:t>23.43</w:t>
            </w:r>
            <w:r>
              <w:rPr>
                <w:rFonts w:ascii="Times New Roman" w:hAnsi="Times New Roman" w:eastAsia="宋体"/>
                <w:color w:val="000000"/>
                <w:sz w:val="24"/>
                <w:szCs w:val="24"/>
              </w:rPr>
              <w:t>t/a</w:t>
            </w:r>
          </w:p>
        </w:tc>
        <w:tc>
          <w:tcPr>
            <w:tcW w:w="2780" w:type="dxa"/>
            <w:vMerge w:val="restart"/>
            <w:tcBorders>
              <w:right w:val="single" w:color="auto" w:sz="4" w:space="0"/>
            </w:tcBorders>
            <w:noWrap w:val="0"/>
            <w:vAlign w:val="center"/>
          </w:tcPr>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top"/>
          </w:tcPr>
          <w:p>
            <w:pPr>
              <w:spacing w:line="240" w:lineRule="atLeast"/>
              <w:jc w:val="center"/>
              <w:rPr>
                <w:rFonts w:ascii="Times New Roman" w:hAnsi="Times New Roman" w:eastAsia="宋体"/>
                <w:color w:val="000000"/>
                <w:sz w:val="24"/>
                <w:szCs w:val="24"/>
              </w:rPr>
            </w:pPr>
          </w:p>
        </w:tc>
        <w:tc>
          <w:tcPr>
            <w:tcW w:w="1359" w:type="dxa"/>
            <w:vMerge w:val="restart"/>
            <w:noWrap w:val="0"/>
            <w:vAlign w:val="center"/>
          </w:tcPr>
          <w:p>
            <w:pPr>
              <w:spacing w:line="240" w:lineRule="atLeast"/>
              <w:jc w:val="center"/>
              <w:rPr>
                <w:rFonts w:ascii="Times New Roman" w:hAnsi="Times New Roman" w:eastAsia="宋体"/>
                <w:color w:val="000000"/>
                <w:sz w:val="24"/>
                <w:szCs w:val="24"/>
              </w:rPr>
            </w:pPr>
            <w:r>
              <w:rPr>
                <w:rFonts w:ascii="Times New Roman" w:hAnsi="Times New Roman" w:eastAsia="宋体"/>
                <w:color w:val="000000"/>
                <w:sz w:val="24"/>
                <w:szCs w:val="24"/>
              </w:rPr>
              <w:t>生产过程</w:t>
            </w:r>
          </w:p>
        </w:tc>
        <w:tc>
          <w:tcPr>
            <w:tcW w:w="1822" w:type="dxa"/>
            <w:tcBorders>
              <w:top w:val="single" w:color="auto" w:sz="4" w:space="0"/>
            </w:tcBorders>
            <w:noWrap w:val="0"/>
            <w:vAlign w:val="center"/>
          </w:tcPr>
          <w:p>
            <w:pPr>
              <w:spacing w:line="300" w:lineRule="exact"/>
              <w:jc w:val="center"/>
              <w:rPr>
                <w:rFonts w:ascii="Times New Roman" w:hAnsi="Times New Roman" w:eastAsia="宋体"/>
                <w:color w:val="000000"/>
                <w:sz w:val="24"/>
                <w:szCs w:val="24"/>
              </w:rPr>
            </w:pPr>
            <w:r>
              <w:rPr>
                <w:rFonts w:hint="eastAsia" w:ascii="Times New Roman" w:hAnsi="Times New Roman" w:eastAsia="宋体"/>
                <w:sz w:val="24"/>
                <w:szCs w:val="24"/>
              </w:rPr>
              <w:t>除尘灰</w:t>
            </w:r>
          </w:p>
        </w:tc>
        <w:tc>
          <w:tcPr>
            <w:tcW w:w="2576" w:type="dxa"/>
            <w:tcBorders>
              <w:top w:val="single" w:color="auto" w:sz="4" w:space="0"/>
            </w:tcBorders>
            <w:noWrap w:val="0"/>
            <w:vAlign w:val="center"/>
          </w:tcPr>
          <w:p>
            <w:pPr>
              <w:spacing w:line="300" w:lineRule="exact"/>
              <w:jc w:val="center"/>
              <w:rPr>
                <w:rFonts w:hint="eastAsia" w:ascii="Times New Roman" w:hAnsi="Times New Roman" w:eastAsia="宋体"/>
                <w:color w:val="000000"/>
                <w:sz w:val="24"/>
                <w:szCs w:val="24"/>
                <w:lang w:eastAsia="zh-CN"/>
              </w:rPr>
            </w:pPr>
            <w:r>
              <w:rPr>
                <w:rFonts w:hint="eastAsia" w:ascii="Times New Roman" w:hAnsi="Times New Roman" w:eastAsia="宋体"/>
                <w:sz w:val="24"/>
                <w:szCs w:val="24"/>
                <w:lang w:val="en-US" w:eastAsia="zh-CN"/>
              </w:rPr>
              <w:t>4828.3</w:t>
            </w:r>
            <w:r>
              <w:rPr>
                <w:rFonts w:ascii="Times New Roman" w:hAnsi="Times New Roman" w:eastAsia="宋体"/>
                <w:color w:val="000000"/>
                <w:sz w:val="24"/>
                <w:szCs w:val="24"/>
              </w:rPr>
              <w:t>t/a</w:t>
            </w:r>
          </w:p>
        </w:tc>
        <w:tc>
          <w:tcPr>
            <w:tcW w:w="2780" w:type="dxa"/>
            <w:vMerge w:val="continue"/>
            <w:tcBorders>
              <w:right w:val="single" w:color="auto" w:sz="4" w:space="0"/>
            </w:tcBorders>
            <w:noWrap w:val="0"/>
            <w:vAlign w:val="center"/>
          </w:tcPr>
          <w:p>
            <w:pPr>
              <w:spacing w:line="360" w:lineRule="auto"/>
              <w:jc w:val="center"/>
              <w:rPr>
                <w:rFonts w:ascii="Times New Roman" w:hAnsi="Times New Roman" w:eastAsia="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top w:val="single" w:color="auto" w:sz="4" w:space="0"/>
            </w:tcBorders>
            <w:noWrap w:val="0"/>
            <w:vAlign w:val="center"/>
          </w:tcPr>
          <w:p>
            <w:pPr>
              <w:spacing w:line="300" w:lineRule="exact"/>
              <w:jc w:val="center"/>
              <w:rPr>
                <w:rFonts w:ascii="Times New Roman" w:hAnsi="Times New Roman" w:eastAsia="宋体"/>
                <w:color w:val="000000"/>
                <w:kern w:val="0"/>
                <w:sz w:val="24"/>
                <w:szCs w:val="24"/>
                <w:lang w:bidi="ar"/>
              </w:rPr>
            </w:pPr>
            <w:r>
              <w:rPr>
                <w:rFonts w:hint="eastAsia" w:ascii="Times New Roman" w:hAnsi="Times New Roman" w:eastAsia="宋体"/>
                <w:sz w:val="24"/>
                <w:szCs w:val="24"/>
              </w:rPr>
              <w:t>振动筛废渣</w:t>
            </w:r>
          </w:p>
        </w:tc>
        <w:tc>
          <w:tcPr>
            <w:tcW w:w="2576" w:type="dxa"/>
            <w:tcBorders>
              <w:top w:val="single" w:color="auto" w:sz="4" w:space="0"/>
            </w:tcBorders>
            <w:noWrap w:val="0"/>
            <w:vAlign w:val="center"/>
          </w:tcPr>
          <w:p>
            <w:pPr>
              <w:spacing w:line="300" w:lineRule="exact"/>
              <w:jc w:val="center"/>
              <w:rPr>
                <w:rFonts w:ascii="Times New Roman" w:hAnsi="Times New Roman" w:eastAsia="宋体"/>
                <w:color w:val="000000"/>
                <w:sz w:val="24"/>
                <w:szCs w:val="24"/>
              </w:rPr>
            </w:pPr>
            <w:r>
              <w:rPr>
                <w:rFonts w:hint="eastAsia" w:ascii="Times New Roman" w:hAnsi="Times New Roman" w:eastAsia="宋体"/>
                <w:sz w:val="24"/>
                <w:szCs w:val="24"/>
              </w:rPr>
              <w:t>2640</w:t>
            </w:r>
            <w:r>
              <w:rPr>
                <w:rFonts w:ascii="Times New Roman" w:hAnsi="Times New Roman" w:eastAsia="宋体"/>
                <w:color w:val="000000"/>
                <w:sz w:val="24"/>
                <w:szCs w:val="24"/>
              </w:rPr>
              <w:t>t/a</w:t>
            </w:r>
          </w:p>
        </w:tc>
        <w:tc>
          <w:tcPr>
            <w:tcW w:w="2780" w:type="dxa"/>
            <w:vMerge w:val="continue"/>
            <w:tcBorders>
              <w:right w:val="single" w:color="auto" w:sz="4" w:space="0"/>
            </w:tcBorders>
            <w:noWrap w:val="0"/>
            <w:vAlign w:val="center"/>
          </w:tcPr>
          <w:p>
            <w:pPr>
              <w:spacing w:line="360" w:lineRule="auto"/>
              <w:jc w:val="center"/>
              <w:rPr>
                <w:rFonts w:ascii="Times New Roman" w:hAnsi="Times New Roman" w:eastAsia="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top w:val="single" w:color="auto" w:sz="4" w:space="0"/>
            </w:tcBorders>
            <w:noWrap w:val="0"/>
            <w:vAlign w:val="center"/>
          </w:tcPr>
          <w:p>
            <w:pPr>
              <w:spacing w:line="300" w:lineRule="exact"/>
              <w:jc w:val="center"/>
              <w:rPr>
                <w:rFonts w:hint="eastAsia" w:ascii="Times New Roman" w:hAnsi="Times New Roman" w:eastAsia="宋体"/>
                <w:color w:val="000000"/>
                <w:sz w:val="24"/>
                <w:szCs w:val="24"/>
              </w:rPr>
            </w:pPr>
            <w:r>
              <w:rPr>
                <w:rFonts w:hint="eastAsia" w:ascii="Times New Roman" w:hAnsi="Times New Roman" w:eastAsia="宋体"/>
                <w:sz w:val="24"/>
                <w:szCs w:val="24"/>
              </w:rPr>
              <w:t>磁选机废渣</w:t>
            </w:r>
          </w:p>
        </w:tc>
        <w:tc>
          <w:tcPr>
            <w:tcW w:w="2576" w:type="dxa"/>
            <w:tcBorders>
              <w:top w:val="single" w:color="auto" w:sz="4" w:space="0"/>
            </w:tcBorders>
            <w:noWrap w:val="0"/>
            <w:vAlign w:val="center"/>
          </w:tcPr>
          <w:p>
            <w:pPr>
              <w:spacing w:line="300" w:lineRule="exact"/>
              <w:jc w:val="center"/>
              <w:rPr>
                <w:rFonts w:ascii="Times New Roman" w:hAnsi="Times New Roman" w:eastAsia="宋体"/>
                <w:color w:val="000000"/>
                <w:sz w:val="24"/>
                <w:szCs w:val="24"/>
              </w:rPr>
            </w:pPr>
            <w:r>
              <w:rPr>
                <w:rFonts w:hint="eastAsia" w:ascii="Times New Roman" w:hAnsi="Times New Roman" w:eastAsia="宋体"/>
                <w:sz w:val="24"/>
                <w:szCs w:val="24"/>
              </w:rPr>
              <w:t>8.58</w:t>
            </w:r>
            <w:r>
              <w:rPr>
                <w:rFonts w:ascii="Times New Roman" w:hAnsi="Times New Roman" w:eastAsia="宋体"/>
                <w:color w:val="000000"/>
                <w:sz w:val="24"/>
                <w:szCs w:val="24"/>
              </w:rPr>
              <w:t>t/a</w:t>
            </w:r>
          </w:p>
        </w:tc>
        <w:tc>
          <w:tcPr>
            <w:tcW w:w="2780" w:type="dxa"/>
            <w:vMerge w:val="continue"/>
            <w:tcBorders>
              <w:right w:val="single" w:color="auto" w:sz="4" w:space="0"/>
            </w:tcBorders>
            <w:noWrap w:val="0"/>
            <w:vAlign w:val="center"/>
          </w:tcPr>
          <w:p>
            <w:pPr>
              <w:spacing w:line="360" w:lineRule="auto"/>
              <w:jc w:val="center"/>
              <w:rPr>
                <w:rFonts w:ascii="Times New Roman" w:hAnsi="Times New Roman" w:eastAsia="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top w:val="single" w:color="auto" w:sz="4" w:space="0"/>
            </w:tcBorders>
            <w:noWrap w:val="0"/>
            <w:vAlign w:val="center"/>
          </w:tcPr>
          <w:p>
            <w:pPr>
              <w:spacing w:line="300" w:lineRule="exact"/>
              <w:jc w:val="center"/>
              <w:rPr>
                <w:rFonts w:hint="eastAsia" w:ascii="Times New Roman" w:hAnsi="Times New Roman" w:eastAsia="宋体"/>
                <w:color w:val="000000"/>
                <w:sz w:val="24"/>
                <w:szCs w:val="24"/>
              </w:rPr>
            </w:pPr>
            <w:r>
              <w:rPr>
                <w:rFonts w:hint="eastAsia" w:ascii="Times New Roman" w:hAnsi="Times New Roman" w:eastAsia="宋体"/>
                <w:sz w:val="24"/>
                <w:szCs w:val="24"/>
              </w:rPr>
              <w:t>成型废品</w:t>
            </w:r>
          </w:p>
        </w:tc>
        <w:tc>
          <w:tcPr>
            <w:tcW w:w="2576" w:type="dxa"/>
            <w:tcBorders>
              <w:top w:val="single" w:color="auto" w:sz="4" w:space="0"/>
            </w:tcBorders>
            <w:noWrap w:val="0"/>
            <w:vAlign w:val="center"/>
          </w:tcPr>
          <w:p>
            <w:pPr>
              <w:spacing w:line="300" w:lineRule="exact"/>
              <w:jc w:val="center"/>
              <w:rPr>
                <w:rFonts w:hint="eastAsia" w:ascii="Times New Roman" w:hAnsi="Times New Roman" w:eastAsia="宋体"/>
                <w:color w:val="000000"/>
                <w:sz w:val="24"/>
                <w:szCs w:val="24"/>
              </w:rPr>
            </w:pPr>
            <w:r>
              <w:rPr>
                <w:rFonts w:hint="eastAsia" w:ascii="Times New Roman" w:hAnsi="Times New Roman" w:eastAsia="宋体"/>
                <w:sz w:val="24"/>
                <w:szCs w:val="24"/>
              </w:rPr>
              <w:t>330</w:t>
            </w:r>
            <w:r>
              <w:rPr>
                <w:rFonts w:ascii="Times New Roman" w:hAnsi="Times New Roman" w:eastAsia="宋体"/>
                <w:color w:val="000000"/>
                <w:sz w:val="24"/>
                <w:szCs w:val="24"/>
              </w:rPr>
              <w:t>t/a</w:t>
            </w:r>
          </w:p>
        </w:tc>
        <w:tc>
          <w:tcPr>
            <w:tcW w:w="2780" w:type="dxa"/>
            <w:vMerge w:val="continue"/>
            <w:tcBorders>
              <w:right w:val="single" w:color="auto" w:sz="4" w:space="0"/>
            </w:tcBorders>
            <w:noWrap w:val="0"/>
            <w:vAlign w:val="center"/>
          </w:tcPr>
          <w:p>
            <w:pPr>
              <w:spacing w:line="360" w:lineRule="auto"/>
              <w:jc w:val="center"/>
              <w:rPr>
                <w:rFonts w:ascii="Times New Roman" w:hAnsi="Times New Roman" w:eastAsia="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eastAsia="宋体"/>
                <w:color w:val="000000"/>
                <w:sz w:val="24"/>
                <w:szCs w:val="24"/>
              </w:rPr>
            </w:pPr>
          </w:p>
        </w:tc>
        <w:tc>
          <w:tcPr>
            <w:tcW w:w="1359" w:type="dxa"/>
            <w:vMerge w:val="continue"/>
            <w:noWrap w:val="0"/>
            <w:vAlign w:val="center"/>
          </w:tcPr>
          <w:p>
            <w:pPr>
              <w:spacing w:line="240" w:lineRule="atLeast"/>
              <w:jc w:val="center"/>
              <w:rPr>
                <w:rFonts w:ascii="Times New Roman" w:hAnsi="Times New Roman" w:eastAsia="宋体"/>
                <w:color w:val="000000"/>
                <w:sz w:val="24"/>
                <w:szCs w:val="24"/>
              </w:rPr>
            </w:pPr>
          </w:p>
        </w:tc>
        <w:tc>
          <w:tcPr>
            <w:tcW w:w="1822" w:type="dxa"/>
            <w:tcBorders>
              <w:top w:val="single" w:color="auto" w:sz="4" w:space="0"/>
            </w:tcBorders>
            <w:noWrap w:val="0"/>
            <w:vAlign w:val="center"/>
          </w:tcPr>
          <w:p>
            <w:pPr>
              <w:spacing w:line="300" w:lineRule="exact"/>
              <w:jc w:val="center"/>
              <w:rPr>
                <w:rFonts w:hint="eastAsia" w:ascii="Times New Roman" w:hAnsi="Times New Roman" w:eastAsia="宋体"/>
                <w:color w:val="000000"/>
                <w:sz w:val="24"/>
                <w:szCs w:val="24"/>
              </w:rPr>
            </w:pPr>
            <w:r>
              <w:rPr>
                <w:rFonts w:hint="eastAsia" w:ascii="Times New Roman" w:hAnsi="Times New Roman" w:eastAsia="宋体"/>
                <w:sz w:val="24"/>
                <w:szCs w:val="24"/>
              </w:rPr>
              <w:t>烧成废品</w:t>
            </w:r>
          </w:p>
        </w:tc>
        <w:tc>
          <w:tcPr>
            <w:tcW w:w="2576" w:type="dxa"/>
            <w:tcBorders>
              <w:top w:val="single" w:color="auto" w:sz="4" w:space="0"/>
            </w:tcBorders>
            <w:noWrap w:val="0"/>
            <w:vAlign w:val="center"/>
          </w:tcPr>
          <w:p>
            <w:pPr>
              <w:spacing w:line="300" w:lineRule="exact"/>
              <w:jc w:val="center"/>
              <w:rPr>
                <w:rFonts w:hint="eastAsia" w:ascii="Times New Roman" w:hAnsi="Times New Roman" w:eastAsia="宋体"/>
                <w:color w:val="000000"/>
                <w:sz w:val="24"/>
                <w:szCs w:val="24"/>
              </w:rPr>
            </w:pPr>
            <w:r>
              <w:rPr>
                <w:rFonts w:hint="eastAsia" w:ascii="Times New Roman" w:hAnsi="Times New Roman" w:eastAsia="宋体"/>
                <w:sz w:val="24"/>
                <w:szCs w:val="24"/>
              </w:rPr>
              <w:t>660</w:t>
            </w:r>
            <w:r>
              <w:rPr>
                <w:rFonts w:ascii="Times New Roman" w:hAnsi="Times New Roman" w:eastAsia="宋体"/>
                <w:color w:val="000000"/>
                <w:sz w:val="24"/>
                <w:szCs w:val="24"/>
              </w:rPr>
              <w:t>t/a</w:t>
            </w:r>
          </w:p>
        </w:tc>
        <w:tc>
          <w:tcPr>
            <w:tcW w:w="2780" w:type="dxa"/>
            <w:vMerge w:val="continue"/>
            <w:tcBorders>
              <w:right w:val="single" w:color="auto" w:sz="4" w:space="0"/>
            </w:tcBorders>
            <w:noWrap w:val="0"/>
            <w:vAlign w:val="center"/>
          </w:tcPr>
          <w:p>
            <w:pPr>
              <w:spacing w:line="360" w:lineRule="auto"/>
              <w:jc w:val="center"/>
              <w:rPr>
                <w:rFonts w:ascii="Times New Roman" w:hAnsi="Times New Roman" w:eastAsia="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914" w:type="dxa"/>
            <w:tcBorders>
              <w:top w:val="single" w:color="auto" w:sz="4" w:space="0"/>
              <w:left w:val="single" w:color="auto" w:sz="4" w:space="0"/>
              <w:bottom w:val="single" w:color="auto" w:sz="4" w:space="0"/>
            </w:tcBorders>
            <w:noWrap w:val="0"/>
            <w:vAlign w:val="center"/>
          </w:tcPr>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噪</w:t>
            </w:r>
          </w:p>
          <w:p>
            <w:pPr>
              <w:spacing w:line="36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声</w:t>
            </w:r>
          </w:p>
        </w:tc>
        <w:tc>
          <w:tcPr>
            <w:tcW w:w="8537" w:type="dxa"/>
            <w:gridSpan w:val="4"/>
            <w:tcBorders>
              <w:top w:val="single" w:color="auto" w:sz="4" w:space="0"/>
              <w:bottom w:val="single" w:color="auto" w:sz="4" w:space="0"/>
              <w:right w:val="single" w:color="auto" w:sz="4" w:space="0"/>
            </w:tcBorders>
            <w:noWrap w:val="0"/>
            <w:vAlign w:val="center"/>
          </w:tcPr>
          <w:p>
            <w:pPr>
              <w:spacing w:line="240" w:lineRule="atLeast"/>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本项目产生的噪声主要来自于车间各生产设备，据同类型厂的设备调研，声级值为 65dB(A)～95dB(A))。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06" w:hRule="atLeast"/>
          <w:jc w:val="center"/>
        </w:trPr>
        <w:tc>
          <w:tcPr>
            <w:tcW w:w="9451"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Times New Roman" w:hAnsi="Times New Roman" w:eastAsia="宋体"/>
                <w:b/>
                <w:bCs/>
                <w:sz w:val="24"/>
                <w:szCs w:val="24"/>
              </w:rPr>
            </w:pPr>
            <w:r>
              <w:rPr>
                <w:rFonts w:ascii="Times New Roman" w:hAnsi="Times New Roman" w:eastAsia="宋体"/>
                <w:b/>
                <w:bCs/>
                <w:sz w:val="24"/>
                <w:szCs w:val="24"/>
              </w:rPr>
              <w:t>主要生态影响（不够时可附另页）：</w:t>
            </w:r>
          </w:p>
          <w:p>
            <w:pPr>
              <w:adjustRightInd w:val="0"/>
              <w:snapToGrid w:val="0"/>
              <w:spacing w:line="360" w:lineRule="auto"/>
              <w:ind w:firstLine="480"/>
              <w:rPr>
                <w:rFonts w:ascii="Times New Roman" w:hAnsi="Times New Roman" w:eastAsia="宋体"/>
                <w:sz w:val="24"/>
                <w:szCs w:val="24"/>
              </w:rPr>
            </w:pPr>
            <w:r>
              <w:rPr>
                <w:rFonts w:ascii="Times New Roman" w:hAnsi="Times New Roman" w:eastAsia="宋体"/>
                <w:sz w:val="24"/>
                <w:szCs w:val="24"/>
              </w:rPr>
              <w:t>本项目运行须严格执行本环评提出各项污染防治措施，保证营运后废水、废气均能达标排放，固体废物得到合理的处置。本项目不会对周围大气环境和地表水环境造成恶化，故本项目的建设对生态环境影响较小。</w:t>
            </w: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p>
          <w:p>
            <w:pPr>
              <w:adjustRightInd w:val="0"/>
              <w:snapToGrid w:val="0"/>
              <w:spacing w:line="360" w:lineRule="auto"/>
              <w:ind w:firstLine="480"/>
              <w:rPr>
                <w:rFonts w:ascii="Times New Roman" w:hAnsi="Times New Roman" w:eastAsia="宋体"/>
                <w:sz w:val="24"/>
                <w:szCs w:val="24"/>
              </w:rPr>
            </w:pPr>
            <w:r>
              <w:rPr>
                <w:rFonts w:ascii="Times New Roman" w:hAnsi="Times New Roman" w:eastAsia="宋体"/>
                <w:sz w:val="24"/>
                <w:szCs w:val="24"/>
              </w:rPr>
              <w:br w:type="textWrapping"/>
            </w:r>
          </w:p>
        </w:tc>
      </w:tr>
    </w:tbl>
    <w:p>
      <w:pPr>
        <w:pStyle w:val="3"/>
        <w:keepNext w:val="0"/>
        <w:keepLines w:val="0"/>
        <w:ind w:left="-345" w:leftChars="-256" w:hanging="193" w:hangingChars="64"/>
        <w:rPr>
          <w:rFonts w:ascii="Times New Roman" w:hAnsi="Times New Roman" w:eastAsia="宋体"/>
          <w:color w:val="000000"/>
        </w:rPr>
      </w:pPr>
      <w:r>
        <w:rPr>
          <w:rFonts w:hint="eastAsia" w:ascii="Times New Roman" w:hAnsi="Times New Roman" w:eastAsia="宋体"/>
          <w:color w:val="000000"/>
          <w:lang w:eastAsia="zh-CN"/>
        </w:rPr>
        <w:t>七、</w:t>
      </w:r>
      <w:r>
        <w:rPr>
          <w:rFonts w:ascii="Times New Roman" w:hAnsi="Times New Roman" w:eastAsia="宋体"/>
          <w:color w:val="000000"/>
        </w:rPr>
        <w:t>环境影响分析</w:t>
      </w:r>
    </w:p>
    <w:tbl>
      <w:tblPr>
        <w:tblStyle w:val="2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170" w:hRule="atLeast"/>
          <w:jc w:val="center"/>
        </w:trPr>
        <w:tc>
          <w:tcPr>
            <w:tcW w:w="929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eastAsia="宋体"/>
                <w:b/>
                <w:color w:val="000000"/>
                <w:sz w:val="28"/>
                <w:szCs w:val="22"/>
                <w:highlight w:val="none"/>
              </w:rPr>
            </w:pPr>
            <w:r>
              <w:rPr>
                <w:rFonts w:ascii="Times New Roman" w:hAnsi="Times New Roman" w:eastAsia="宋体"/>
                <w:b/>
                <w:color w:val="000000"/>
                <w:sz w:val="28"/>
                <w:szCs w:val="22"/>
                <w:highlight w:val="none"/>
              </w:rPr>
              <w:t>营运期环境影响分析</w:t>
            </w:r>
          </w:p>
          <w:p>
            <w:pPr>
              <w:spacing w:line="480" w:lineRule="exact"/>
              <w:ind w:firstLine="480" w:firstLineChars="200"/>
              <w:rPr>
                <w:rFonts w:ascii="Times New Roman" w:hAnsi="Times New Roman" w:eastAsia="宋体"/>
                <w:sz w:val="24"/>
                <w:szCs w:val="24"/>
              </w:rPr>
            </w:pPr>
            <w:r>
              <w:rPr>
                <w:rFonts w:ascii="Times New Roman" w:hAnsi="Times New Roman" w:eastAsia="宋体"/>
                <w:sz w:val="24"/>
                <w:szCs w:val="24"/>
              </w:rPr>
              <w:t>工程建设场地位于安徽省芜湖市火龙岗镇白马山水泥厂厂区内，拟在拆除现有的窑生产线的场地上建设。现有的回转窑等生产系统全部拆除，符合厂房建设对场地的基本要求。</w:t>
            </w:r>
          </w:p>
          <w:p>
            <w:pPr>
              <w:spacing w:line="480" w:lineRule="exact"/>
              <w:ind w:firstLine="480" w:firstLineChars="200"/>
              <w:rPr>
                <w:rFonts w:hint="eastAsia" w:ascii="Times New Roman" w:hAnsi="Times New Roman" w:eastAsia="宋体"/>
                <w:bCs/>
                <w:sz w:val="24"/>
                <w:szCs w:val="24"/>
              </w:rPr>
            </w:pPr>
            <w:r>
              <w:rPr>
                <w:rFonts w:ascii="Times New Roman" w:hAnsi="Times New Roman" w:eastAsia="宋体"/>
                <w:bCs/>
                <w:sz w:val="24"/>
                <w:szCs w:val="24"/>
              </w:rPr>
              <w:t>施工需要运进大量的建筑材料、设备等，行驶在施工现场的主要运输通道上的车辆来往频繁，特别在土建施工期产生的扬尘量较大，是影响区域大气环境的最不利时段。施工点具有一定的流动性，每段施工的周期较短，这些不利影响的持续时间也较短，工程规模较小，采用的施工机械和运输车辆数量也相对较少，排放的尾气量亦将较小，尾气对沿线环境空气的影响将不甚明显。</w:t>
            </w:r>
          </w:p>
          <w:p>
            <w:pPr>
              <w:spacing w:line="480" w:lineRule="exact"/>
              <w:ind w:firstLine="480" w:firstLineChars="200"/>
              <w:rPr>
                <w:rFonts w:hint="eastAsia" w:ascii="Times New Roman" w:hAnsi="Times New Roman" w:eastAsia="宋体"/>
                <w:bCs/>
                <w:sz w:val="24"/>
                <w:szCs w:val="24"/>
              </w:rPr>
            </w:pPr>
            <w:r>
              <w:rPr>
                <w:rFonts w:ascii="Times New Roman" w:hAnsi="Times New Roman" w:eastAsia="宋体"/>
                <w:sz w:val="24"/>
                <w:szCs w:val="24"/>
              </w:rPr>
              <w:t>为防止材料运输中产生道路扬尘，应定时对道路洒水抑尘。施工运输车辆行驶速度限制在20km/h以下，既可减少扬尘量，又可降低车辆噪声，同时有利于施工现场安全。卸料时</w:t>
            </w:r>
            <w:r>
              <w:rPr>
                <w:rFonts w:hint="eastAsia" w:ascii="Times New Roman" w:hAnsi="Times New Roman" w:eastAsia="宋体"/>
                <w:sz w:val="24"/>
                <w:szCs w:val="24"/>
              </w:rPr>
              <w:t>，应</w:t>
            </w:r>
            <w:r>
              <w:rPr>
                <w:rFonts w:ascii="Times New Roman" w:hAnsi="Times New Roman" w:eastAsia="宋体"/>
                <w:sz w:val="24"/>
                <w:szCs w:val="24"/>
              </w:rPr>
              <w:t>尽量降低高度，对散状物如沙子、石子堆场也可采取洒水抑尘措施。</w:t>
            </w:r>
          </w:p>
          <w:p>
            <w:pPr>
              <w:spacing w:line="48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施工期噪声主要包括建筑施工噪声和交通噪声两类。在施工过程中，各种机械设备的运转以及各类车辆的行驶，将不可避免地产生噪声污染，各种产生噪声的施工机械设备、运输车辆等均属噪声源。</w:t>
            </w:r>
          </w:p>
          <w:p>
            <w:pPr>
              <w:spacing w:line="480" w:lineRule="exact"/>
              <w:ind w:firstLine="480" w:firstLineChars="200"/>
              <w:rPr>
                <w:rFonts w:ascii="Times New Roman" w:hAnsi="Times New Roman" w:eastAsia="宋体"/>
                <w:sz w:val="24"/>
                <w:szCs w:val="24"/>
              </w:rPr>
            </w:pPr>
            <w:r>
              <w:rPr>
                <w:rFonts w:ascii="Times New Roman" w:hAnsi="Times New Roman" w:eastAsia="宋体"/>
                <w:sz w:val="24"/>
                <w:szCs w:val="24"/>
              </w:rPr>
              <w:t>噪声污染的特点是无积累性、无残痕，声源停止发生，噪声影响随之消失。施工噪声是特别敏感的噪声源之一，根据目前的机械制造水平，它既不可避免，又不能从根本上采取噪声控制措施予以消除，关键在依法监督，只能通过加强施工产噪设备的管理，以减轻施工噪声对施工场地周围环境的噪声影响。</w:t>
            </w:r>
          </w:p>
          <w:p>
            <w:pPr>
              <w:spacing w:line="48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①</w:t>
            </w:r>
            <w:r>
              <w:rPr>
                <w:rFonts w:ascii="Times New Roman" w:hAnsi="Times New Roman" w:eastAsia="宋体"/>
                <w:sz w:val="24"/>
                <w:szCs w:val="24"/>
              </w:rPr>
              <w:t>施工</w:t>
            </w:r>
            <w:r>
              <w:rPr>
                <w:rFonts w:hint="eastAsia" w:ascii="Times New Roman" w:hAnsi="Times New Roman" w:eastAsia="宋体"/>
                <w:sz w:val="24"/>
                <w:szCs w:val="24"/>
              </w:rPr>
              <w:t>过程</w:t>
            </w:r>
            <w:r>
              <w:rPr>
                <w:rFonts w:ascii="Times New Roman" w:hAnsi="Times New Roman" w:eastAsia="宋体"/>
                <w:sz w:val="24"/>
                <w:szCs w:val="24"/>
              </w:rPr>
              <w:t>中尽量选用低噪声施工机械，并保持其良好的运行状态；</w:t>
            </w:r>
          </w:p>
          <w:p>
            <w:pPr>
              <w:spacing w:line="48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②</w:t>
            </w:r>
            <w:r>
              <w:rPr>
                <w:rFonts w:ascii="Times New Roman" w:hAnsi="Times New Roman" w:eastAsia="宋体"/>
                <w:sz w:val="24"/>
                <w:szCs w:val="24"/>
              </w:rPr>
              <w:t>对室外的搅拌机、起重机以及其他建筑施工设备，尽量避免多台设备同时运转，以减少噪声对敏感点的叠加影响；</w:t>
            </w:r>
          </w:p>
          <w:p>
            <w:pPr>
              <w:spacing w:line="48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③</w:t>
            </w:r>
            <w:r>
              <w:rPr>
                <w:rFonts w:ascii="Times New Roman" w:hAnsi="Times New Roman" w:eastAsia="宋体"/>
                <w:sz w:val="24"/>
                <w:szCs w:val="24"/>
              </w:rPr>
              <w:t>混凝土搅拌站等较强的噪声源应尽量布置在远离</w:t>
            </w:r>
            <w:r>
              <w:rPr>
                <w:rFonts w:hint="eastAsia" w:ascii="Times New Roman" w:hAnsi="Times New Roman" w:eastAsia="宋体"/>
                <w:sz w:val="24"/>
                <w:szCs w:val="24"/>
              </w:rPr>
              <w:t>居民区</w:t>
            </w:r>
            <w:r>
              <w:rPr>
                <w:rFonts w:ascii="Times New Roman" w:hAnsi="Times New Roman" w:eastAsia="宋体"/>
                <w:sz w:val="24"/>
                <w:szCs w:val="24"/>
              </w:rPr>
              <w:t>的工业场地一侧，以减轻对居民点环境噪声的干扰；</w:t>
            </w:r>
          </w:p>
          <w:p>
            <w:pPr>
              <w:spacing w:line="48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④</w:t>
            </w:r>
            <w:r>
              <w:rPr>
                <w:rFonts w:ascii="Times New Roman" w:hAnsi="Times New Roman" w:eastAsia="宋体"/>
                <w:sz w:val="24"/>
                <w:szCs w:val="24"/>
              </w:rPr>
              <w:t>强化噪声环境管理，严格执行《建筑施工场界噪声限值》（GB12523－90）标准和当地有关建筑施工管理的有关规定，避免扰民时间的发生；</w:t>
            </w:r>
          </w:p>
          <w:p>
            <w:pPr>
              <w:spacing w:line="48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⑤</w:t>
            </w:r>
            <w:r>
              <w:rPr>
                <w:rFonts w:ascii="Times New Roman" w:hAnsi="Times New Roman" w:eastAsia="宋体"/>
                <w:sz w:val="24"/>
                <w:szCs w:val="24"/>
              </w:rPr>
              <w:t>施工单位合理安排施工作业时间，施工尽量安排在白天进行，夜间特别是22：00后严禁高噪声设备施工，以免影响施工场地周围居民的休息。</w:t>
            </w:r>
          </w:p>
          <w:p>
            <w:pPr>
              <w:spacing w:line="360" w:lineRule="auto"/>
              <w:rPr>
                <w:rFonts w:ascii="Times New Roman" w:hAnsi="Times New Roman" w:eastAsia="宋体"/>
                <w:sz w:val="24"/>
                <w:szCs w:val="24"/>
              </w:rPr>
            </w:pPr>
            <w:r>
              <w:rPr>
                <w:rFonts w:ascii="Times New Roman" w:hAnsi="Times New Roman" w:eastAsia="宋体"/>
                <w:sz w:val="24"/>
                <w:szCs w:val="24"/>
              </w:rPr>
              <w:t>拟建项目在施工期应严格执行《建筑施工厂界噪声限制》（GB12523-90）要求，把可能造成影响控制在最低限度。拟建项目施工期的环境影响是局部和暂时的，对环境的影响也是有限的，并且随施工期的结束而结束。</w:t>
            </w:r>
          </w:p>
          <w:p>
            <w:pPr>
              <w:spacing w:line="360" w:lineRule="auto"/>
              <w:rPr>
                <w:rFonts w:ascii="Times New Roman" w:hAnsi="Times New Roman" w:eastAsia="宋体"/>
                <w:b/>
                <w:color w:val="000000"/>
                <w:sz w:val="28"/>
                <w:szCs w:val="22"/>
                <w:highlight w:val="none"/>
              </w:rPr>
            </w:pPr>
            <w:r>
              <w:rPr>
                <w:rFonts w:ascii="Times New Roman" w:hAnsi="Times New Roman" w:eastAsia="宋体"/>
                <w:b/>
                <w:color w:val="000000"/>
                <w:sz w:val="28"/>
                <w:szCs w:val="22"/>
                <w:highlight w:val="none"/>
              </w:rPr>
              <w:t>营运期环境影响分析</w:t>
            </w:r>
          </w:p>
          <w:p>
            <w:pPr>
              <w:numPr>
                <w:ilvl w:val="0"/>
                <w:numId w:val="4"/>
              </w:numPr>
              <w:autoSpaceDE w:val="0"/>
              <w:autoSpaceDN w:val="0"/>
              <w:adjustRightInd w:val="0"/>
              <w:spacing w:line="360" w:lineRule="auto"/>
              <w:ind w:firstLine="480" w:firstLineChars="200"/>
              <w:rPr>
                <w:rFonts w:ascii="Times New Roman" w:hAnsi="Times New Roman" w:eastAsia="宋体"/>
                <w:bCs/>
                <w:color w:val="000000"/>
                <w:sz w:val="24"/>
                <w:highlight w:val="none"/>
              </w:rPr>
            </w:pPr>
            <w:r>
              <w:rPr>
                <w:rFonts w:ascii="Times New Roman" w:hAnsi="Times New Roman" w:eastAsia="宋体"/>
                <w:bCs/>
                <w:color w:val="000000"/>
                <w:sz w:val="24"/>
                <w:highlight w:val="none"/>
              </w:rPr>
              <w:t>水环境影响分析</w:t>
            </w:r>
          </w:p>
          <w:p>
            <w:pPr>
              <w:widowControl/>
              <w:autoSpaceDE w:val="0"/>
              <w:adjustRightInd w:val="0"/>
              <w:snapToGri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项目无生产废水排放，生活污水依托厂内现有污水处理设施处理后，</w:t>
            </w:r>
            <w:r>
              <w:rPr>
                <w:rFonts w:hint="eastAsia" w:ascii="Times New Roman" w:hAnsi="Times New Roman" w:eastAsia="宋体"/>
                <w:color w:val="000000"/>
                <w:sz w:val="24"/>
              </w:rPr>
              <w:t>达一级排放标准后进行回用，少量污水达到《污水综合排放标准》GB8978-1996后进行排放。</w:t>
            </w:r>
            <w:r>
              <w:rPr>
                <w:rFonts w:ascii="Times New Roman" w:hAnsi="Times New Roman" w:eastAsia="宋体"/>
                <w:color w:val="000000"/>
                <w:sz w:val="24"/>
              </w:rPr>
              <w:t>根据项目水污染防治措施工程方案及区域水环境质量状况的现状分析，本项目水环境影响类别为水污染影响型。</w:t>
            </w:r>
          </w:p>
          <w:p>
            <w:pPr>
              <w:widowControl/>
              <w:autoSpaceDE w:val="0"/>
              <w:adjustRightInd w:val="0"/>
              <w:snapToGri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本项目的排放方式为直接排放，根据水污染影响型建设项目评价等级判定本项目的评价等级为三级A，评价内容应包括：水污染控制和水环境减缓措施有效性评价、水环境影响评价。</w:t>
            </w:r>
          </w:p>
          <w:p>
            <w:pPr>
              <w:widowControl/>
              <w:autoSpaceDE w:val="0"/>
              <w:adjustRightInd w:val="0"/>
              <w:snapToGri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（1）水污染控制和水环境减缓措施有效性评价</w:t>
            </w:r>
          </w:p>
          <w:p>
            <w:pPr>
              <w:widowControl/>
              <w:autoSpaceDE w:val="0"/>
              <w:adjustRightInd w:val="0"/>
              <w:snapToGri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本项目生活污水排放量</w:t>
            </w:r>
            <w:r>
              <w:rPr>
                <w:rFonts w:hint="eastAsia" w:ascii="Times New Roman" w:hAnsi="Times New Roman" w:eastAsia="宋体"/>
                <w:color w:val="000000"/>
                <w:sz w:val="24"/>
                <w:lang w:val="en-US" w:eastAsia="zh-CN"/>
              </w:rPr>
              <w:t>3561.36</w:t>
            </w:r>
            <w:r>
              <w:rPr>
                <w:rFonts w:ascii="Times New Roman" w:hAnsi="Times New Roman" w:eastAsia="宋体"/>
                <w:color w:val="000000"/>
                <w:sz w:val="24"/>
              </w:rPr>
              <w:t>t/a，本项目污水依托厂内现有地埋式污水处理设施预处理后，废水排放水质预计能够满足《污水综合排放标准》(GB8978-1996)中一级标准，</w:t>
            </w:r>
            <w:r>
              <w:rPr>
                <w:rFonts w:hint="eastAsia" w:ascii="Times New Roman" w:hAnsi="Times New Roman" w:eastAsia="宋体"/>
                <w:color w:val="000000"/>
                <w:sz w:val="24"/>
                <w:lang w:val="en-US" w:eastAsia="zh-CN"/>
              </w:rPr>
              <w:t>外排至南塘湖。</w:t>
            </w:r>
            <w:r>
              <w:rPr>
                <w:rFonts w:ascii="Times New Roman" w:hAnsi="Times New Roman" w:eastAsia="宋体"/>
                <w:color w:val="000000"/>
                <w:sz w:val="24"/>
              </w:rPr>
              <w:t>项目生活污水水质简单，不会对污水处理设施造成冲击，从处理能力和处理效果上，本项目废水依托现有污水处理设施是可行的。</w:t>
            </w:r>
          </w:p>
          <w:p>
            <w:pPr>
              <w:widowControl/>
              <w:autoSpaceDE w:val="0"/>
              <w:adjustRightInd w:val="0"/>
              <w:snapToGri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（2）水环境影响评价</w:t>
            </w:r>
          </w:p>
          <w:p>
            <w:pPr>
              <w:widowControl/>
              <w:autoSpaceDE w:val="0"/>
              <w:adjustRightInd w:val="0"/>
              <w:snapToGrid w:val="0"/>
              <w:spacing w:line="360" w:lineRule="auto"/>
              <w:ind w:firstLine="480" w:firstLineChars="200"/>
              <w:rPr>
                <w:rFonts w:hint="default" w:ascii="Times New Roman" w:hAnsi="Times New Roman" w:eastAsia="宋体"/>
                <w:color w:val="000000"/>
                <w:sz w:val="24"/>
                <w:lang w:val="en-US" w:eastAsia="zh-CN"/>
              </w:rPr>
            </w:pPr>
            <w:r>
              <w:rPr>
                <w:rFonts w:ascii="Times New Roman" w:hAnsi="Times New Roman" w:eastAsia="宋体"/>
                <w:color w:val="000000"/>
                <w:sz w:val="24"/>
              </w:rPr>
              <w:t>项目废水量</w:t>
            </w:r>
            <w:r>
              <w:rPr>
                <w:rFonts w:hint="eastAsia" w:ascii="Times New Roman" w:hAnsi="Times New Roman" w:eastAsia="宋体"/>
                <w:color w:val="000000"/>
                <w:sz w:val="24"/>
                <w:lang w:val="en-US" w:eastAsia="zh-CN"/>
              </w:rPr>
              <w:t>3561.36</w:t>
            </w:r>
            <w:r>
              <w:rPr>
                <w:rFonts w:ascii="Times New Roman" w:hAnsi="Times New Roman" w:eastAsia="宋体"/>
                <w:color w:val="000000"/>
                <w:sz w:val="24"/>
              </w:rPr>
              <w:t>t/a，</w:t>
            </w:r>
            <w:r>
              <w:rPr>
                <w:rFonts w:hint="eastAsia" w:ascii="Times New Roman" w:hAnsi="Times New Roman" w:eastAsia="宋体"/>
                <w:color w:val="000000"/>
                <w:sz w:val="24"/>
                <w:lang w:val="en-US" w:eastAsia="zh-CN"/>
              </w:rPr>
              <w:t>近期</w:t>
            </w:r>
            <w:r>
              <w:rPr>
                <w:rFonts w:ascii="Times New Roman" w:hAnsi="Times New Roman" w:eastAsia="宋体"/>
                <w:color w:val="000000"/>
                <w:sz w:val="24"/>
              </w:rPr>
              <w:t>依托厂内现有污水处理设施预处理后能够满足《污水综合排放标准》(GB8978-1996) 中一级标准，</w:t>
            </w:r>
            <w:r>
              <w:rPr>
                <w:rFonts w:hint="eastAsia" w:ascii="Times New Roman" w:hAnsi="Times New Roman" w:eastAsia="宋体"/>
                <w:color w:val="000000"/>
                <w:sz w:val="24"/>
                <w:lang w:val="en-US" w:eastAsia="zh-CN"/>
              </w:rPr>
              <w:t>部分污水</w:t>
            </w:r>
            <w:r>
              <w:rPr>
                <w:rFonts w:hint="eastAsia" w:ascii="Times New Roman" w:hAnsi="Times New Roman" w:eastAsia="宋体"/>
                <w:color w:val="000000"/>
                <w:sz w:val="24"/>
              </w:rPr>
              <w:t>进行回用，少量污水达到《污水综合排放标准》</w:t>
            </w:r>
            <w:r>
              <w:rPr>
                <w:rFonts w:ascii="Times New Roman" w:hAnsi="Times New Roman" w:eastAsia="宋体"/>
                <w:color w:val="000000"/>
                <w:sz w:val="24"/>
              </w:rPr>
              <w:t>(GB8978-1996) 中一级标准</w:t>
            </w:r>
            <w:r>
              <w:rPr>
                <w:rFonts w:hint="eastAsia" w:ascii="Times New Roman" w:hAnsi="Times New Roman" w:eastAsia="宋体"/>
                <w:color w:val="000000"/>
                <w:sz w:val="24"/>
              </w:rPr>
              <w:t>后进行排放</w:t>
            </w:r>
            <w:r>
              <w:rPr>
                <w:rFonts w:ascii="Times New Roman" w:hAnsi="Times New Roman" w:eastAsia="宋体"/>
                <w:color w:val="000000"/>
                <w:sz w:val="24"/>
              </w:rPr>
              <w:t>，对环境影响不大。</w:t>
            </w:r>
            <w:r>
              <w:rPr>
                <w:rFonts w:hint="eastAsia" w:ascii="Times New Roman" w:hAnsi="Times New Roman" w:eastAsia="宋体"/>
                <w:color w:val="000000"/>
                <w:sz w:val="24"/>
                <w:lang w:val="en-US" w:eastAsia="zh-CN"/>
              </w:rPr>
              <w:t>远期生活污水经化粪池、隔油池处理后达</w:t>
            </w:r>
            <w:r>
              <w:rPr>
                <w:rFonts w:ascii="Times New Roman" w:hAnsi="Times New Roman" w:eastAsia="宋体"/>
                <w:color w:val="000000"/>
                <w:sz w:val="24"/>
              </w:rPr>
              <w:t>《污水综合排放标准》(GB8978-1996) 中</w:t>
            </w:r>
            <w:r>
              <w:rPr>
                <w:rFonts w:hint="eastAsia" w:ascii="Times New Roman" w:hAnsi="Times New Roman" w:eastAsia="宋体"/>
                <w:color w:val="000000"/>
                <w:sz w:val="24"/>
                <w:lang w:val="en-US" w:eastAsia="zh-CN"/>
              </w:rPr>
              <w:t>三</w:t>
            </w:r>
            <w:r>
              <w:rPr>
                <w:rFonts w:ascii="Times New Roman" w:hAnsi="Times New Roman" w:eastAsia="宋体"/>
                <w:color w:val="000000"/>
                <w:sz w:val="24"/>
              </w:rPr>
              <w:t>级标准</w:t>
            </w:r>
            <w:r>
              <w:rPr>
                <w:rFonts w:hint="eastAsia" w:ascii="Times New Roman" w:hAnsi="Times New Roman" w:eastAsia="宋体"/>
                <w:color w:val="000000"/>
                <w:sz w:val="24"/>
                <w:lang w:val="en-US" w:eastAsia="zh-CN"/>
              </w:rPr>
              <w:t>后经市政管网排入城南污水处理厂后外排。</w:t>
            </w:r>
          </w:p>
          <w:p>
            <w:pPr>
              <w:widowControl/>
              <w:autoSpaceDE w:val="0"/>
              <w:adjustRightInd w:val="0"/>
              <w:snapToGri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综上所述，本项目废水依托现有污水处理设施预处理后，全厂外排废水能够满足《污水综合排放标准》(GB8978-1996) 中一级标准，对环境影响不大。</w:t>
            </w:r>
          </w:p>
          <w:p>
            <w:pPr>
              <w:spacing w:line="360" w:lineRule="auto"/>
              <w:ind w:firstLine="480" w:firstLineChars="200"/>
              <w:rPr>
                <w:rFonts w:ascii="Times New Roman" w:hAnsi="Times New Roman" w:eastAsia="宋体"/>
                <w:color w:val="000000"/>
                <w:sz w:val="24"/>
                <w:szCs w:val="24"/>
                <w:highlight w:val="none"/>
              </w:rPr>
            </w:pPr>
          </w:p>
          <w:p>
            <w:pPr>
              <w:spacing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二、大气环境影响分析</w:t>
            </w:r>
          </w:p>
          <w:p>
            <w:pPr>
              <w:pStyle w:val="25"/>
              <w:spacing w:before="0" w:beforeAutospacing="0" w:after="0" w:afterAutospacing="0" w:line="500" w:lineRule="exact"/>
              <w:ind w:firstLine="480" w:firstLineChars="200"/>
              <w:rPr>
                <w:rFonts w:ascii="Times New Roman" w:hAnsi="Times New Roman" w:eastAsia="宋体" w:cs="Times New Roman"/>
                <w:color w:val="000000"/>
              </w:rPr>
            </w:pPr>
            <w:bookmarkStart w:id="11" w:name="_Toc234318280"/>
            <w:r>
              <w:rPr>
                <w:rFonts w:ascii="Times New Roman" w:hAnsi="Times New Roman" w:eastAsia="宋体"/>
                <w:color w:val="000000"/>
                <w:sz w:val="24"/>
                <w:szCs w:val="22"/>
                <w:highlight w:val="none"/>
              </w:rPr>
              <w:t xml:space="preserve">   </w:t>
            </w:r>
            <w:bookmarkEnd w:id="11"/>
            <w:r>
              <w:rPr>
                <w:rFonts w:ascii="Times New Roman" w:hAnsi="Times New Roman" w:eastAsia="宋体" w:cs="Times New Roman"/>
                <w:color w:val="000000"/>
              </w:rPr>
              <w:t>本项目产生的废气主要有</w:t>
            </w:r>
            <w:r>
              <w:rPr>
                <w:rFonts w:hint="eastAsia" w:ascii="Times New Roman" w:hAnsi="Times New Roman" w:eastAsia="宋体" w:cs="Times New Roman"/>
                <w:color w:val="000000"/>
                <w:lang w:val="en-US" w:eastAsia="zh-CN"/>
              </w:rPr>
              <w:t>上料配料及缓冲仓产生的粉尘，废砖破碎产生的粉尘，压砖机产生的粉尘、隧道窑产生的二氧化硫、氮氧化物、烟尘及除尘粉尘、混合机退料仓、废砖仓产生的粉尘。</w:t>
            </w:r>
            <w:r>
              <w:rPr>
                <w:rFonts w:ascii="Times New Roman" w:hAnsi="Times New Roman" w:eastAsia="宋体" w:cs="Times New Roman"/>
                <w:color w:val="000000"/>
              </w:rPr>
              <w:t>有组织废气预测参数表见下表7-1。</w:t>
            </w:r>
          </w:p>
          <w:p>
            <w:pPr>
              <w:adjustRightInd w:val="0"/>
              <w:snapToGrid w:val="0"/>
              <w:spacing w:line="460" w:lineRule="exact"/>
              <w:jc w:val="center"/>
              <w:rPr>
                <w:rFonts w:ascii="Times New Roman" w:hAnsi="Times New Roman" w:eastAsia="宋体"/>
                <w:b/>
                <w:bCs/>
                <w:color w:val="000000"/>
                <w:sz w:val="24"/>
              </w:rPr>
            </w:pPr>
            <w:r>
              <w:rPr>
                <w:rFonts w:ascii="Times New Roman" w:hAnsi="Times New Roman" w:eastAsia="宋体"/>
                <w:b/>
                <w:bCs/>
                <w:color w:val="000000"/>
                <w:sz w:val="24"/>
              </w:rPr>
              <w:t>表7-1  有组织废气预测参数表</w:t>
            </w:r>
          </w:p>
          <w:tbl>
            <w:tblPr>
              <w:tblStyle w:val="28"/>
              <w:tblW w:w="4998" w:type="pct"/>
              <w:jc w:val="center"/>
              <w:tblBorders>
                <w:top w:val="single" w:color="auto" w:sz="2" w:space="0"/>
                <w:left w:val="none" w:color="auto" w:sz="0" w:space="0"/>
                <w:bottom w:val="single" w:color="auto" w:sz="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99"/>
              <w:gridCol w:w="1206"/>
              <w:gridCol w:w="1109"/>
              <w:gridCol w:w="689"/>
              <w:gridCol w:w="689"/>
              <w:gridCol w:w="520"/>
              <w:gridCol w:w="689"/>
              <w:gridCol w:w="689"/>
              <w:gridCol w:w="553"/>
              <w:gridCol w:w="625"/>
              <w:gridCol w:w="835"/>
            </w:tblGrid>
            <w:tr>
              <w:tblPrEx>
                <w:tblBorders>
                  <w:top w:val="single" w:color="auto" w:sz="2" w:space="0"/>
                  <w:left w:val="none" w:color="auto" w:sz="0" w:space="0"/>
                  <w:bottom w:val="single" w:color="auto" w:sz="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572" w:type="pct"/>
                  <w:vMerge w:val="restart"/>
                  <w:noWrap w:val="0"/>
                  <w:vAlign w:val="center"/>
                </w:tcPr>
                <w:p>
                  <w:pPr>
                    <w:spacing w:line="320" w:lineRule="exact"/>
                    <w:jc w:val="center"/>
                    <w:rPr>
                      <w:rFonts w:ascii="Times New Roman" w:hAnsi="Times New Roman"/>
                      <w:sz w:val="21"/>
                      <w:szCs w:val="21"/>
                    </w:rPr>
                  </w:pPr>
                  <w:r>
                    <w:rPr>
                      <w:rFonts w:ascii="Times New Roman" w:hAnsi="Times New Roman"/>
                      <w:sz w:val="21"/>
                      <w:szCs w:val="21"/>
                    </w:rPr>
                    <w:t>污染源名称</w:t>
                  </w:r>
                </w:p>
              </w:tc>
              <w:tc>
                <w:tcPr>
                  <w:tcW w:w="991" w:type="pct"/>
                  <w:gridSpan w:val="2"/>
                  <w:noWrap w:val="0"/>
                  <w:vAlign w:val="center"/>
                </w:tcPr>
                <w:p>
                  <w:pPr>
                    <w:jc w:val="center"/>
                    <w:rPr>
                      <w:rFonts w:ascii="Times New Roman" w:hAnsi="Times New Roman"/>
                      <w:sz w:val="21"/>
                      <w:szCs w:val="21"/>
                    </w:rPr>
                  </w:pPr>
                  <w:r>
                    <w:rPr>
                      <w:rFonts w:ascii="Times New Roman" w:hAnsi="Times New Roman"/>
                      <w:sz w:val="21"/>
                      <w:szCs w:val="21"/>
                    </w:rPr>
                    <w:t>排气筒底部中心坐标(°)</w:t>
                  </w:r>
                </w:p>
              </w:tc>
              <w:tc>
                <w:tcPr>
                  <w:tcW w:w="364" w:type="pct"/>
                  <w:vMerge w:val="restart"/>
                  <w:noWrap w:val="0"/>
                  <w:vAlign w:val="center"/>
                </w:tcPr>
                <w:p>
                  <w:pPr>
                    <w:jc w:val="center"/>
                    <w:rPr>
                      <w:rFonts w:ascii="Times New Roman" w:hAnsi="Times New Roman"/>
                      <w:sz w:val="21"/>
                      <w:szCs w:val="21"/>
                    </w:rPr>
                  </w:pPr>
                  <w:r>
                    <w:rPr>
                      <w:rFonts w:ascii="Times New Roman" w:hAnsi="Times New Roman"/>
                      <w:sz w:val="21"/>
                      <w:szCs w:val="21"/>
                    </w:rPr>
                    <w:t>排气筒底部海拔高度(m)</w:t>
                  </w:r>
                </w:p>
              </w:tc>
              <w:tc>
                <w:tcPr>
                  <w:tcW w:w="1406" w:type="pct"/>
                  <w:gridSpan w:val="4"/>
                  <w:noWrap w:val="0"/>
                  <w:vAlign w:val="center"/>
                </w:tcPr>
                <w:p>
                  <w:pPr>
                    <w:jc w:val="center"/>
                    <w:rPr>
                      <w:rFonts w:ascii="Times New Roman" w:hAnsi="Times New Roman"/>
                      <w:sz w:val="21"/>
                      <w:szCs w:val="21"/>
                    </w:rPr>
                  </w:pPr>
                  <w:r>
                    <w:rPr>
                      <w:rFonts w:ascii="Times New Roman" w:hAnsi="Times New Roman"/>
                      <w:sz w:val="21"/>
                      <w:szCs w:val="21"/>
                    </w:rPr>
                    <w:t>排气筒参数</w:t>
                  </w:r>
                </w:p>
              </w:tc>
              <w:tc>
                <w:tcPr>
                  <w:tcW w:w="1665" w:type="pct"/>
                  <w:gridSpan w:val="3"/>
                  <w:noWrap w:val="0"/>
                  <w:vAlign w:val="center"/>
                </w:tcPr>
                <w:p>
                  <w:pPr>
                    <w:widowControl/>
                    <w:jc w:val="center"/>
                    <w:rPr>
                      <w:rFonts w:hint="eastAsia" w:ascii="Times New Roman" w:hAnsi="Times New Roman" w:eastAsia="宋体"/>
                      <w:color w:val="000000"/>
                      <w:sz w:val="21"/>
                      <w:szCs w:val="21"/>
                    </w:rPr>
                  </w:pPr>
                  <w:r>
                    <w:rPr>
                      <w:rFonts w:hint="eastAsia" w:ascii="Times New Roman" w:hAnsi="Times New Roman" w:eastAsia="宋体"/>
                      <w:color w:val="000000"/>
                      <w:sz w:val="21"/>
                      <w:szCs w:val="21"/>
                    </w:rPr>
                    <w:t>污染物排放速率</w:t>
                  </w:r>
                  <w:r>
                    <w:rPr>
                      <w:rFonts w:ascii="Times New Roman" w:hAnsi="Times New Roman" w:eastAsia="宋体"/>
                      <w:color w:val="000000"/>
                      <w:sz w:val="21"/>
                      <w:szCs w:val="21"/>
                    </w:rPr>
                    <w:t>(kg/h)</w:t>
                  </w:r>
                </w:p>
              </w:tc>
            </w:tr>
            <w:tr>
              <w:tblPrEx>
                <w:tblBorders>
                  <w:top w:val="single" w:color="auto" w:sz="2" w:space="0"/>
                  <w:left w:val="none" w:color="auto" w:sz="0" w:space="0"/>
                  <w:bottom w:val="single" w:color="auto" w:sz="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572" w:type="pct"/>
                  <w:vMerge w:val="continue"/>
                  <w:noWrap w:val="0"/>
                  <w:vAlign w:val="center"/>
                </w:tcPr>
                <w:p>
                  <w:pPr>
                    <w:jc w:val="center"/>
                    <w:rPr>
                      <w:rFonts w:ascii="Times New Roman" w:hAnsi="Times New Roman"/>
                      <w:sz w:val="21"/>
                      <w:szCs w:val="21"/>
                    </w:rPr>
                  </w:pPr>
                </w:p>
              </w:tc>
              <w:tc>
                <w:tcPr>
                  <w:tcW w:w="424" w:type="pct"/>
                  <w:noWrap w:val="0"/>
                  <w:vAlign w:val="center"/>
                </w:tcPr>
                <w:p>
                  <w:pPr>
                    <w:spacing w:line="320" w:lineRule="exact"/>
                    <w:jc w:val="center"/>
                    <w:rPr>
                      <w:rFonts w:ascii="Times New Roman" w:hAnsi="Times New Roman"/>
                      <w:sz w:val="21"/>
                      <w:szCs w:val="21"/>
                    </w:rPr>
                  </w:pPr>
                  <w:r>
                    <w:rPr>
                      <w:rFonts w:ascii="Times New Roman" w:hAnsi="Times New Roman"/>
                      <w:sz w:val="21"/>
                      <w:szCs w:val="21"/>
                    </w:rPr>
                    <w:t>经度</w:t>
                  </w:r>
                </w:p>
              </w:tc>
              <w:tc>
                <w:tcPr>
                  <w:tcW w:w="567" w:type="pct"/>
                  <w:noWrap w:val="0"/>
                  <w:vAlign w:val="center"/>
                </w:tcPr>
                <w:p>
                  <w:pPr>
                    <w:spacing w:line="320" w:lineRule="exact"/>
                    <w:jc w:val="center"/>
                    <w:rPr>
                      <w:rFonts w:ascii="Times New Roman" w:hAnsi="Times New Roman"/>
                      <w:sz w:val="21"/>
                      <w:szCs w:val="21"/>
                    </w:rPr>
                  </w:pPr>
                  <w:r>
                    <w:rPr>
                      <w:rFonts w:ascii="Times New Roman" w:hAnsi="Times New Roman"/>
                      <w:sz w:val="21"/>
                      <w:szCs w:val="21"/>
                    </w:rPr>
                    <w:t>纬度</w:t>
                  </w:r>
                </w:p>
              </w:tc>
              <w:tc>
                <w:tcPr>
                  <w:tcW w:w="364" w:type="pct"/>
                  <w:vMerge w:val="continue"/>
                  <w:noWrap w:val="0"/>
                  <w:vAlign w:val="center"/>
                </w:tcPr>
                <w:p>
                  <w:pPr>
                    <w:jc w:val="center"/>
                    <w:rPr>
                      <w:rFonts w:ascii="Times New Roman" w:hAnsi="Times New Roman"/>
                      <w:sz w:val="21"/>
                      <w:szCs w:val="21"/>
                    </w:rPr>
                  </w:pPr>
                </w:p>
              </w:tc>
              <w:tc>
                <w:tcPr>
                  <w:tcW w:w="364" w:type="pct"/>
                  <w:noWrap w:val="0"/>
                  <w:vAlign w:val="center"/>
                </w:tcPr>
                <w:p>
                  <w:pPr>
                    <w:spacing w:line="320" w:lineRule="exact"/>
                    <w:jc w:val="center"/>
                    <w:rPr>
                      <w:rFonts w:ascii="Times New Roman" w:hAnsi="Times New Roman"/>
                      <w:sz w:val="21"/>
                      <w:szCs w:val="21"/>
                    </w:rPr>
                  </w:pPr>
                  <w:r>
                    <w:rPr>
                      <w:rFonts w:ascii="Times New Roman" w:hAnsi="Times New Roman"/>
                      <w:sz w:val="21"/>
                      <w:szCs w:val="21"/>
                    </w:rPr>
                    <w:t>高度(m)</w:t>
                  </w:r>
                </w:p>
              </w:tc>
              <w:tc>
                <w:tcPr>
                  <w:tcW w:w="312" w:type="pct"/>
                  <w:noWrap w:val="0"/>
                  <w:vAlign w:val="center"/>
                </w:tcPr>
                <w:p>
                  <w:pPr>
                    <w:spacing w:line="320" w:lineRule="exact"/>
                    <w:jc w:val="center"/>
                    <w:rPr>
                      <w:rFonts w:ascii="Times New Roman" w:hAnsi="Times New Roman"/>
                      <w:sz w:val="21"/>
                      <w:szCs w:val="21"/>
                    </w:rPr>
                  </w:pPr>
                  <w:r>
                    <w:rPr>
                      <w:rFonts w:ascii="Times New Roman" w:hAnsi="Times New Roman"/>
                      <w:sz w:val="21"/>
                      <w:szCs w:val="21"/>
                    </w:rPr>
                    <w:t>内径(m)</w:t>
                  </w:r>
                </w:p>
              </w:tc>
              <w:tc>
                <w:tcPr>
                  <w:tcW w:w="364" w:type="pct"/>
                  <w:noWrap w:val="0"/>
                  <w:vAlign w:val="center"/>
                </w:tcPr>
                <w:p>
                  <w:pPr>
                    <w:jc w:val="center"/>
                    <w:rPr>
                      <w:rFonts w:ascii="Times New Roman" w:hAnsi="Times New Roman"/>
                      <w:sz w:val="21"/>
                      <w:szCs w:val="21"/>
                    </w:rPr>
                  </w:pPr>
                  <w:r>
                    <w:rPr>
                      <w:rFonts w:ascii="Times New Roman" w:hAnsi="Times New Roman"/>
                      <w:sz w:val="21"/>
                      <w:szCs w:val="21"/>
                    </w:rPr>
                    <w:t>温度(℃)</w:t>
                  </w:r>
                </w:p>
              </w:tc>
              <w:tc>
                <w:tcPr>
                  <w:tcW w:w="365" w:type="pct"/>
                  <w:noWrap w:val="0"/>
                  <w:vAlign w:val="center"/>
                </w:tcPr>
                <w:p>
                  <w:pPr>
                    <w:jc w:val="center"/>
                    <w:rPr>
                      <w:rFonts w:ascii="Times New Roman" w:hAnsi="Times New Roman"/>
                      <w:sz w:val="21"/>
                      <w:szCs w:val="21"/>
                    </w:rPr>
                  </w:pPr>
                  <w:r>
                    <w:rPr>
                      <w:rFonts w:ascii="Times New Roman" w:hAnsi="Times New Roman"/>
                      <w:sz w:val="21"/>
                      <w:szCs w:val="21"/>
                    </w:rPr>
                    <w:t>流速(m/s)</w:t>
                  </w:r>
                </w:p>
              </w:tc>
              <w:tc>
                <w:tcPr>
                  <w:tcW w:w="415" w:type="pct"/>
                  <w:noWrap w:val="0"/>
                  <w:vAlign w:val="center"/>
                </w:tcPr>
                <w:p>
                  <w:pPr>
                    <w:jc w:val="center"/>
                    <w:rPr>
                      <w:rFonts w:ascii="Times New Roman" w:hAnsi="Times New Roman"/>
                      <w:sz w:val="21"/>
                      <w:szCs w:val="21"/>
                    </w:rPr>
                  </w:pPr>
                  <w:r>
                    <w:rPr>
                      <w:rFonts w:hint="eastAsia" w:ascii="Times New Roman" w:hAnsi="Times New Roman"/>
                      <w:sz w:val="21"/>
                      <w:szCs w:val="21"/>
                      <w:lang w:val="en-US" w:eastAsia="zh-CN"/>
                    </w:rPr>
                    <w:t>SO</w:t>
                  </w:r>
                  <w:r>
                    <w:rPr>
                      <w:rFonts w:hint="eastAsia" w:ascii="Times New Roman" w:hAnsi="Times New Roman"/>
                      <w:sz w:val="21"/>
                      <w:szCs w:val="21"/>
                      <w:vertAlign w:val="subscript"/>
                      <w:lang w:val="en-US" w:eastAsia="zh-CN"/>
                    </w:rPr>
                    <w:t>2</w:t>
                  </w:r>
                </w:p>
              </w:tc>
              <w:tc>
                <w:tcPr>
                  <w:tcW w:w="415" w:type="pct"/>
                  <w:noWrap w:val="0"/>
                  <w:vAlign w:val="center"/>
                </w:tcPr>
                <w:p>
                  <w:pPr>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NOx</w:t>
                  </w:r>
                </w:p>
              </w:tc>
              <w:tc>
                <w:tcPr>
                  <w:tcW w:w="833" w:type="pct"/>
                  <w:noWrap w:val="0"/>
                  <w:vAlign w:val="center"/>
                </w:tcPr>
                <w:p>
                  <w:pPr>
                    <w:jc w:val="center"/>
                    <w:rPr>
                      <w:rFonts w:ascii="Times New Roman" w:hAnsi="Times New Roman"/>
                      <w:sz w:val="21"/>
                      <w:szCs w:val="21"/>
                    </w:rPr>
                  </w:pPr>
                  <w:r>
                    <w:rPr>
                      <w:rFonts w:ascii="Times New Roman" w:hAnsi="Times New Roman"/>
                      <w:sz w:val="21"/>
                      <w:szCs w:val="21"/>
                    </w:rPr>
                    <w:t>TSP</w:t>
                  </w:r>
                </w:p>
              </w:tc>
            </w:tr>
            <w:tr>
              <w:tblPrEx>
                <w:tblBorders>
                  <w:top w:val="single" w:color="auto" w:sz="2" w:space="0"/>
                  <w:left w:val="none" w:color="auto" w:sz="0" w:space="0"/>
                  <w:bottom w:val="single" w:color="auto" w:sz="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572" w:type="pct"/>
                  <w:noWrap w:val="0"/>
                  <w:vAlign w:val="center"/>
                </w:tcPr>
                <w:p>
                  <w:pPr>
                    <w:jc w:val="center"/>
                    <w:rPr>
                      <w:rFonts w:ascii="Times New Roman" w:hAnsi="Times New Roman"/>
                      <w:sz w:val="21"/>
                      <w:szCs w:val="21"/>
                    </w:rPr>
                  </w:pPr>
                  <w:r>
                    <w:rPr>
                      <w:rFonts w:hint="eastAsia" w:ascii="Times New Roman" w:hAnsi="Times New Roman"/>
                      <w:sz w:val="21"/>
                      <w:szCs w:val="21"/>
                      <w:lang w:val="en-US" w:eastAsia="zh-CN"/>
                    </w:rPr>
                    <w:t>1</w:t>
                  </w:r>
                  <w:r>
                    <w:rPr>
                      <w:rFonts w:ascii="Times New Roman" w:hAnsi="Times New Roman"/>
                      <w:sz w:val="21"/>
                      <w:szCs w:val="21"/>
                    </w:rPr>
                    <w:t>#排气筒</w:t>
                  </w:r>
                </w:p>
              </w:tc>
              <w:tc>
                <w:tcPr>
                  <w:tcW w:w="42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118.383538</w:t>
                  </w:r>
                </w:p>
              </w:tc>
              <w:tc>
                <w:tcPr>
                  <w:tcW w:w="567"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31.226197</w:t>
                  </w:r>
                </w:p>
              </w:tc>
              <w:tc>
                <w:tcPr>
                  <w:tcW w:w="36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28</w:t>
                  </w:r>
                  <w:r>
                    <w:rPr>
                      <w:rFonts w:ascii="Times New Roman" w:hAnsi="Times New Roman"/>
                      <w:sz w:val="21"/>
                      <w:szCs w:val="21"/>
                    </w:rPr>
                    <w:t>.00</w:t>
                  </w:r>
                </w:p>
              </w:tc>
              <w:tc>
                <w:tcPr>
                  <w:tcW w:w="36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30</w:t>
                  </w:r>
                  <w:r>
                    <w:rPr>
                      <w:rFonts w:ascii="Times New Roman" w:hAnsi="Times New Roman"/>
                      <w:sz w:val="21"/>
                      <w:szCs w:val="21"/>
                    </w:rPr>
                    <w:t>.00</w:t>
                  </w:r>
                </w:p>
              </w:tc>
              <w:tc>
                <w:tcPr>
                  <w:tcW w:w="312"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0.6</w:t>
                  </w:r>
                </w:p>
              </w:tc>
              <w:tc>
                <w:tcPr>
                  <w:tcW w:w="364" w:type="pct"/>
                  <w:noWrap w:val="0"/>
                  <w:vAlign w:val="center"/>
                </w:tcPr>
                <w:p>
                  <w:pPr>
                    <w:spacing w:line="320" w:lineRule="exact"/>
                    <w:jc w:val="center"/>
                    <w:rPr>
                      <w:rFonts w:ascii="Times New Roman" w:hAnsi="Times New Roman"/>
                      <w:sz w:val="21"/>
                      <w:szCs w:val="21"/>
                    </w:rPr>
                  </w:pPr>
                  <w:r>
                    <w:rPr>
                      <w:rFonts w:ascii="Times New Roman" w:hAnsi="Times New Roman"/>
                      <w:sz w:val="21"/>
                      <w:szCs w:val="21"/>
                    </w:rPr>
                    <w:t>25.00</w:t>
                  </w:r>
                </w:p>
              </w:tc>
              <w:tc>
                <w:tcPr>
                  <w:tcW w:w="365"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24.16</w:t>
                  </w:r>
                </w:p>
              </w:tc>
              <w:tc>
                <w:tcPr>
                  <w:tcW w:w="415" w:type="pct"/>
                  <w:noWrap w:val="0"/>
                  <w:vAlign w:val="center"/>
                </w:tcPr>
                <w:p>
                  <w:pPr>
                    <w:spacing w:line="320" w:lineRule="exact"/>
                    <w:jc w:val="center"/>
                    <w:rPr>
                      <w:rFonts w:hint="eastAsia" w:ascii="Times New Roman" w:hAnsi="Times New Roman" w:eastAsia="宋体"/>
                      <w:sz w:val="21"/>
                      <w:szCs w:val="21"/>
                      <w:lang w:eastAsia="zh-CN"/>
                    </w:rPr>
                  </w:pPr>
                  <w:r>
                    <w:rPr>
                      <w:rFonts w:hint="eastAsia" w:ascii="Times New Roman" w:hAnsi="Times New Roman"/>
                      <w:sz w:val="21"/>
                      <w:szCs w:val="21"/>
                      <w:lang w:val="en-US" w:eastAsia="zh-CN"/>
                    </w:rPr>
                    <w:t>/</w:t>
                  </w:r>
                </w:p>
              </w:tc>
              <w:tc>
                <w:tcPr>
                  <w:tcW w:w="415"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w:t>
                  </w:r>
                </w:p>
              </w:tc>
              <w:tc>
                <w:tcPr>
                  <w:tcW w:w="833"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sz w:val="21"/>
                      <w:szCs w:val="21"/>
                      <w:lang w:val="en-US" w:eastAsia="zh-CN"/>
                    </w:rPr>
                    <w:t>0.21</w:t>
                  </w:r>
                </w:p>
              </w:tc>
            </w:tr>
            <w:tr>
              <w:tblPrEx>
                <w:tblBorders>
                  <w:top w:val="single" w:color="auto" w:sz="2" w:space="0"/>
                  <w:left w:val="none" w:color="auto" w:sz="0" w:space="0"/>
                  <w:bottom w:val="single" w:color="auto" w:sz="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572"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2</w:t>
                  </w:r>
                  <w:r>
                    <w:rPr>
                      <w:rFonts w:ascii="Times New Roman" w:hAnsi="Times New Roman"/>
                      <w:sz w:val="21"/>
                      <w:szCs w:val="21"/>
                    </w:rPr>
                    <w:t>#排气筒</w:t>
                  </w:r>
                </w:p>
              </w:tc>
              <w:tc>
                <w:tcPr>
                  <w:tcW w:w="42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118.384547</w:t>
                  </w:r>
                </w:p>
              </w:tc>
              <w:tc>
                <w:tcPr>
                  <w:tcW w:w="567"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31.225945</w:t>
                  </w:r>
                </w:p>
              </w:tc>
              <w:tc>
                <w:tcPr>
                  <w:tcW w:w="36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28</w:t>
                  </w:r>
                  <w:r>
                    <w:rPr>
                      <w:rFonts w:ascii="Times New Roman" w:hAnsi="Times New Roman"/>
                      <w:sz w:val="21"/>
                      <w:szCs w:val="21"/>
                    </w:rPr>
                    <w:t>.00</w:t>
                  </w:r>
                </w:p>
              </w:tc>
              <w:tc>
                <w:tcPr>
                  <w:tcW w:w="36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30</w:t>
                  </w:r>
                  <w:r>
                    <w:rPr>
                      <w:rFonts w:ascii="Times New Roman" w:hAnsi="Times New Roman"/>
                      <w:sz w:val="21"/>
                      <w:szCs w:val="21"/>
                    </w:rPr>
                    <w:t>.00</w:t>
                  </w:r>
                </w:p>
              </w:tc>
              <w:tc>
                <w:tcPr>
                  <w:tcW w:w="312"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0.5</w:t>
                  </w:r>
                </w:p>
              </w:tc>
              <w:tc>
                <w:tcPr>
                  <w:tcW w:w="364" w:type="pct"/>
                  <w:noWrap w:val="0"/>
                  <w:vAlign w:val="center"/>
                </w:tcPr>
                <w:p>
                  <w:pPr>
                    <w:spacing w:line="320" w:lineRule="exact"/>
                    <w:jc w:val="center"/>
                    <w:rPr>
                      <w:rFonts w:ascii="Times New Roman" w:hAnsi="Times New Roman"/>
                      <w:sz w:val="21"/>
                      <w:szCs w:val="21"/>
                    </w:rPr>
                  </w:pPr>
                  <w:r>
                    <w:rPr>
                      <w:rFonts w:ascii="Times New Roman" w:hAnsi="Times New Roman"/>
                      <w:sz w:val="21"/>
                      <w:szCs w:val="21"/>
                    </w:rPr>
                    <w:t>25.00</w:t>
                  </w:r>
                </w:p>
              </w:tc>
              <w:tc>
                <w:tcPr>
                  <w:tcW w:w="365"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30.87</w:t>
                  </w:r>
                </w:p>
              </w:tc>
              <w:tc>
                <w:tcPr>
                  <w:tcW w:w="415"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w:t>
                  </w:r>
                </w:p>
              </w:tc>
              <w:tc>
                <w:tcPr>
                  <w:tcW w:w="415"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w:t>
                  </w:r>
                </w:p>
              </w:tc>
              <w:tc>
                <w:tcPr>
                  <w:tcW w:w="833"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sz w:val="21"/>
                      <w:szCs w:val="21"/>
                      <w:lang w:val="en-US" w:eastAsia="zh-CN"/>
                    </w:rPr>
                    <w:t>0.3</w:t>
                  </w:r>
                </w:p>
              </w:tc>
            </w:tr>
            <w:tr>
              <w:tblPrEx>
                <w:tblBorders>
                  <w:top w:val="single" w:color="auto" w:sz="2" w:space="0"/>
                  <w:left w:val="none" w:color="auto" w:sz="0" w:space="0"/>
                  <w:bottom w:val="single" w:color="auto" w:sz="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572"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3</w:t>
                  </w:r>
                  <w:r>
                    <w:rPr>
                      <w:rFonts w:ascii="Times New Roman" w:hAnsi="Times New Roman"/>
                      <w:sz w:val="21"/>
                      <w:szCs w:val="21"/>
                    </w:rPr>
                    <w:t>#排气筒</w:t>
                  </w:r>
                </w:p>
              </w:tc>
              <w:tc>
                <w:tcPr>
                  <w:tcW w:w="42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118.385223</w:t>
                  </w:r>
                </w:p>
              </w:tc>
              <w:tc>
                <w:tcPr>
                  <w:tcW w:w="567"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31.225784</w:t>
                  </w:r>
                </w:p>
              </w:tc>
              <w:tc>
                <w:tcPr>
                  <w:tcW w:w="36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28</w:t>
                  </w:r>
                  <w:r>
                    <w:rPr>
                      <w:rFonts w:ascii="Times New Roman" w:hAnsi="Times New Roman"/>
                      <w:sz w:val="21"/>
                      <w:szCs w:val="21"/>
                    </w:rPr>
                    <w:t>.00</w:t>
                  </w:r>
                </w:p>
              </w:tc>
              <w:tc>
                <w:tcPr>
                  <w:tcW w:w="36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30</w:t>
                  </w:r>
                  <w:r>
                    <w:rPr>
                      <w:rFonts w:ascii="Times New Roman" w:hAnsi="Times New Roman"/>
                      <w:sz w:val="21"/>
                      <w:szCs w:val="21"/>
                    </w:rPr>
                    <w:t>.00</w:t>
                  </w:r>
                </w:p>
              </w:tc>
              <w:tc>
                <w:tcPr>
                  <w:tcW w:w="312" w:type="pct"/>
                  <w:noWrap w:val="0"/>
                  <w:vAlign w:val="center"/>
                </w:tcPr>
                <w:p>
                  <w:pPr>
                    <w:spacing w:line="320" w:lineRule="exact"/>
                    <w:jc w:val="center"/>
                    <w:rPr>
                      <w:rFonts w:hint="default" w:ascii="Times New Roman" w:hAnsi="Times New Roman"/>
                      <w:sz w:val="21"/>
                      <w:szCs w:val="21"/>
                      <w:lang w:val="en-US"/>
                    </w:rPr>
                  </w:pPr>
                  <w:r>
                    <w:rPr>
                      <w:rFonts w:hint="eastAsia" w:ascii="Times New Roman" w:hAnsi="Times New Roman"/>
                      <w:sz w:val="21"/>
                      <w:szCs w:val="21"/>
                      <w:lang w:val="en-US" w:eastAsia="zh-CN"/>
                    </w:rPr>
                    <w:t>0.5</w:t>
                  </w:r>
                </w:p>
              </w:tc>
              <w:tc>
                <w:tcPr>
                  <w:tcW w:w="364" w:type="pct"/>
                  <w:noWrap w:val="0"/>
                  <w:vAlign w:val="center"/>
                </w:tcPr>
                <w:p>
                  <w:pPr>
                    <w:spacing w:line="320" w:lineRule="exact"/>
                    <w:jc w:val="center"/>
                    <w:rPr>
                      <w:rFonts w:ascii="Times New Roman" w:hAnsi="Times New Roman"/>
                      <w:sz w:val="21"/>
                      <w:szCs w:val="21"/>
                    </w:rPr>
                  </w:pPr>
                  <w:r>
                    <w:rPr>
                      <w:rFonts w:ascii="Times New Roman" w:hAnsi="Times New Roman"/>
                      <w:sz w:val="21"/>
                      <w:szCs w:val="21"/>
                    </w:rPr>
                    <w:t>25.00</w:t>
                  </w:r>
                </w:p>
              </w:tc>
              <w:tc>
                <w:tcPr>
                  <w:tcW w:w="365"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10.07</w:t>
                  </w:r>
                </w:p>
              </w:tc>
              <w:tc>
                <w:tcPr>
                  <w:tcW w:w="415"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w:t>
                  </w:r>
                </w:p>
              </w:tc>
              <w:tc>
                <w:tcPr>
                  <w:tcW w:w="415"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w:t>
                  </w:r>
                </w:p>
              </w:tc>
              <w:tc>
                <w:tcPr>
                  <w:tcW w:w="833"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sz w:val="21"/>
                      <w:szCs w:val="21"/>
                      <w:lang w:val="en-US" w:eastAsia="zh-CN"/>
                    </w:rPr>
                    <w:t>0.18</w:t>
                  </w:r>
                </w:p>
              </w:tc>
            </w:tr>
            <w:tr>
              <w:tblPrEx>
                <w:tblBorders>
                  <w:top w:val="single" w:color="auto" w:sz="2" w:space="0"/>
                  <w:left w:val="none" w:color="auto" w:sz="0" w:space="0"/>
                  <w:bottom w:val="single" w:color="auto" w:sz="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572"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4</w:t>
                  </w:r>
                  <w:r>
                    <w:rPr>
                      <w:rFonts w:ascii="Times New Roman" w:hAnsi="Times New Roman"/>
                      <w:sz w:val="21"/>
                      <w:szCs w:val="21"/>
                    </w:rPr>
                    <w:t>#排气筒</w:t>
                  </w:r>
                </w:p>
              </w:tc>
              <w:tc>
                <w:tcPr>
                  <w:tcW w:w="42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118.385507</w:t>
                  </w:r>
                </w:p>
              </w:tc>
              <w:tc>
                <w:tcPr>
                  <w:tcW w:w="567"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rPr>
                    <w:t>31.225752</w:t>
                  </w:r>
                </w:p>
              </w:tc>
              <w:tc>
                <w:tcPr>
                  <w:tcW w:w="36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28</w:t>
                  </w:r>
                  <w:r>
                    <w:rPr>
                      <w:rFonts w:ascii="Times New Roman" w:hAnsi="Times New Roman"/>
                      <w:sz w:val="21"/>
                      <w:szCs w:val="21"/>
                    </w:rPr>
                    <w:t>.00</w:t>
                  </w:r>
                </w:p>
              </w:tc>
              <w:tc>
                <w:tcPr>
                  <w:tcW w:w="364" w:type="pct"/>
                  <w:noWrap w:val="0"/>
                  <w:vAlign w:val="center"/>
                </w:tcPr>
                <w:p>
                  <w:pPr>
                    <w:spacing w:line="320" w:lineRule="exact"/>
                    <w:jc w:val="center"/>
                    <w:rPr>
                      <w:rFonts w:ascii="Times New Roman" w:hAnsi="Times New Roman"/>
                      <w:sz w:val="21"/>
                      <w:szCs w:val="21"/>
                    </w:rPr>
                  </w:pPr>
                  <w:r>
                    <w:rPr>
                      <w:rFonts w:hint="eastAsia" w:ascii="Times New Roman" w:hAnsi="Times New Roman"/>
                      <w:sz w:val="21"/>
                      <w:szCs w:val="21"/>
                      <w:lang w:val="en-US" w:eastAsia="zh-CN"/>
                    </w:rPr>
                    <w:t>30</w:t>
                  </w:r>
                  <w:r>
                    <w:rPr>
                      <w:rFonts w:ascii="Times New Roman" w:hAnsi="Times New Roman"/>
                      <w:sz w:val="21"/>
                      <w:szCs w:val="21"/>
                    </w:rPr>
                    <w:t>.00</w:t>
                  </w:r>
                </w:p>
              </w:tc>
              <w:tc>
                <w:tcPr>
                  <w:tcW w:w="312"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0.6</w:t>
                  </w:r>
                </w:p>
              </w:tc>
              <w:tc>
                <w:tcPr>
                  <w:tcW w:w="364" w:type="pct"/>
                  <w:noWrap w:val="0"/>
                  <w:vAlign w:val="center"/>
                </w:tcPr>
                <w:p>
                  <w:pPr>
                    <w:spacing w:line="320" w:lineRule="exact"/>
                    <w:jc w:val="center"/>
                    <w:rPr>
                      <w:rFonts w:ascii="Times New Roman" w:hAnsi="Times New Roman"/>
                      <w:sz w:val="21"/>
                      <w:szCs w:val="21"/>
                    </w:rPr>
                  </w:pPr>
                  <w:r>
                    <w:rPr>
                      <w:rFonts w:ascii="Times New Roman" w:hAnsi="Times New Roman"/>
                      <w:sz w:val="21"/>
                      <w:szCs w:val="21"/>
                    </w:rPr>
                    <w:t>25.00</w:t>
                  </w:r>
                </w:p>
              </w:tc>
              <w:tc>
                <w:tcPr>
                  <w:tcW w:w="365"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sz w:val="21"/>
                      <w:szCs w:val="21"/>
                      <w:lang w:val="en-US" w:eastAsia="zh-CN"/>
                    </w:rPr>
                    <w:t>40.26</w:t>
                  </w:r>
                </w:p>
              </w:tc>
              <w:tc>
                <w:tcPr>
                  <w:tcW w:w="415"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w:t>
                  </w:r>
                </w:p>
              </w:tc>
              <w:tc>
                <w:tcPr>
                  <w:tcW w:w="415"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w:t>
                  </w:r>
                </w:p>
              </w:tc>
              <w:tc>
                <w:tcPr>
                  <w:tcW w:w="833" w:type="pct"/>
                  <w:noWrap w:val="0"/>
                  <w:vAlign w:val="center"/>
                </w:tcPr>
                <w:p>
                  <w:pPr>
                    <w:spacing w:line="320" w:lineRule="exact"/>
                    <w:jc w:val="center"/>
                    <w:rPr>
                      <w:rFonts w:hint="default" w:ascii="Times New Roman" w:hAnsi="Times New Roman" w:eastAsia="宋体"/>
                      <w:sz w:val="21"/>
                      <w:szCs w:val="21"/>
                      <w:lang w:val="en-US" w:eastAsia="zh-CN"/>
                    </w:rPr>
                  </w:pPr>
                  <w:r>
                    <w:rPr>
                      <w:rFonts w:hint="eastAsia"/>
                      <w:sz w:val="21"/>
                      <w:szCs w:val="21"/>
                      <w:lang w:val="en-US" w:eastAsia="zh-CN"/>
                    </w:rPr>
                    <w:t>0.35</w:t>
                  </w:r>
                </w:p>
              </w:tc>
            </w:tr>
            <w:tr>
              <w:tblPrEx>
                <w:tblBorders>
                  <w:top w:val="single" w:color="auto" w:sz="2" w:space="0"/>
                  <w:left w:val="none" w:color="auto" w:sz="0" w:space="0"/>
                  <w:bottom w:val="single" w:color="auto" w:sz="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699" w:type="dxa"/>
                  <w:noWrap w:val="0"/>
                  <w:vAlign w:val="center"/>
                </w:tcPr>
                <w:p>
                  <w:pPr>
                    <w:spacing w:line="320" w:lineRule="exact"/>
                    <w:jc w:val="center"/>
                    <w:rPr>
                      <w:rFonts w:hint="eastAsia" w:ascii="Times New Roman" w:hAnsi="Times New Roman"/>
                      <w:sz w:val="21"/>
                      <w:szCs w:val="21"/>
                      <w:lang w:val="en-US" w:eastAsia="zh-CN"/>
                    </w:rPr>
                  </w:pPr>
                  <w:r>
                    <w:rPr>
                      <w:rFonts w:hint="eastAsia"/>
                      <w:sz w:val="21"/>
                      <w:szCs w:val="21"/>
                      <w:lang w:val="en-US" w:eastAsia="zh-CN"/>
                    </w:rPr>
                    <w:t>5</w:t>
                  </w:r>
                  <w:r>
                    <w:rPr>
                      <w:rFonts w:ascii="Times New Roman" w:hAnsi="Times New Roman"/>
                      <w:sz w:val="21"/>
                      <w:szCs w:val="21"/>
                    </w:rPr>
                    <w:t>#排气筒</w:t>
                  </w:r>
                </w:p>
              </w:tc>
              <w:tc>
                <w:tcPr>
                  <w:tcW w:w="1206" w:type="dxa"/>
                  <w:noWrap w:val="0"/>
                  <w:vAlign w:val="center"/>
                </w:tcPr>
                <w:p>
                  <w:pPr>
                    <w:spacing w:line="320" w:lineRule="exact"/>
                    <w:jc w:val="center"/>
                    <w:rPr>
                      <w:rFonts w:hint="eastAsia" w:ascii="Times New Roman" w:hAnsi="Times New Roman"/>
                      <w:sz w:val="21"/>
                      <w:szCs w:val="21"/>
                    </w:rPr>
                  </w:pPr>
                  <w:r>
                    <w:rPr>
                      <w:rFonts w:hint="eastAsia"/>
                    </w:rPr>
                    <w:t>118.384219</w:t>
                  </w:r>
                </w:p>
              </w:tc>
              <w:tc>
                <w:tcPr>
                  <w:tcW w:w="1109" w:type="dxa"/>
                  <w:noWrap w:val="0"/>
                  <w:vAlign w:val="center"/>
                </w:tcPr>
                <w:p>
                  <w:pPr>
                    <w:spacing w:line="320" w:lineRule="exact"/>
                    <w:jc w:val="center"/>
                    <w:rPr>
                      <w:rFonts w:hint="eastAsia" w:ascii="Times New Roman" w:hAnsi="Times New Roman"/>
                      <w:sz w:val="21"/>
                      <w:szCs w:val="21"/>
                    </w:rPr>
                  </w:pPr>
                  <w:r>
                    <w:rPr>
                      <w:rFonts w:hint="eastAsia" w:ascii="Times New Roman" w:hAnsi="Times New Roman"/>
                      <w:sz w:val="21"/>
                      <w:szCs w:val="21"/>
                    </w:rPr>
                    <w:t>31.225601</w:t>
                  </w:r>
                </w:p>
              </w:tc>
              <w:tc>
                <w:tcPr>
                  <w:tcW w:w="689" w:type="dxa"/>
                  <w:noWrap w:val="0"/>
                  <w:vAlign w:val="center"/>
                </w:tcPr>
                <w:p>
                  <w:pPr>
                    <w:spacing w:line="320" w:lineRule="exact"/>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28</w:t>
                  </w:r>
                  <w:r>
                    <w:rPr>
                      <w:rFonts w:ascii="Times New Roman" w:hAnsi="Times New Roman"/>
                      <w:sz w:val="21"/>
                      <w:szCs w:val="21"/>
                    </w:rPr>
                    <w:t>.00</w:t>
                  </w:r>
                </w:p>
              </w:tc>
              <w:tc>
                <w:tcPr>
                  <w:tcW w:w="689" w:type="dxa"/>
                  <w:noWrap w:val="0"/>
                  <w:vAlign w:val="center"/>
                </w:tcPr>
                <w:p>
                  <w:pPr>
                    <w:spacing w:line="320" w:lineRule="exact"/>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30</w:t>
                  </w:r>
                  <w:r>
                    <w:rPr>
                      <w:rFonts w:ascii="Times New Roman" w:hAnsi="Times New Roman"/>
                      <w:sz w:val="21"/>
                      <w:szCs w:val="21"/>
                    </w:rPr>
                    <w:t>.00</w:t>
                  </w:r>
                </w:p>
              </w:tc>
              <w:tc>
                <w:tcPr>
                  <w:tcW w:w="520" w:type="dxa"/>
                  <w:noWrap w:val="0"/>
                  <w:vAlign w:val="center"/>
                </w:tcPr>
                <w:p>
                  <w:pPr>
                    <w:spacing w:line="320" w:lineRule="exact"/>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0.6</w:t>
                  </w:r>
                </w:p>
              </w:tc>
              <w:tc>
                <w:tcPr>
                  <w:tcW w:w="689" w:type="dxa"/>
                  <w:noWrap w:val="0"/>
                  <w:vAlign w:val="center"/>
                </w:tcPr>
                <w:p>
                  <w:pPr>
                    <w:spacing w:line="320" w:lineRule="exact"/>
                    <w:jc w:val="center"/>
                    <w:rPr>
                      <w:rFonts w:ascii="Times New Roman" w:hAnsi="Times New Roman"/>
                      <w:sz w:val="21"/>
                      <w:szCs w:val="21"/>
                    </w:rPr>
                  </w:pPr>
                  <w:r>
                    <w:rPr>
                      <w:rFonts w:ascii="Times New Roman" w:hAnsi="Times New Roman"/>
                      <w:sz w:val="21"/>
                      <w:szCs w:val="21"/>
                    </w:rPr>
                    <w:t>25.00</w:t>
                  </w:r>
                </w:p>
              </w:tc>
              <w:tc>
                <w:tcPr>
                  <w:tcW w:w="689" w:type="dxa"/>
                  <w:noWrap w:val="0"/>
                  <w:vAlign w:val="center"/>
                </w:tcPr>
                <w:p>
                  <w:pPr>
                    <w:spacing w:line="320" w:lineRule="exact"/>
                    <w:jc w:val="center"/>
                    <w:rPr>
                      <w:rFonts w:hint="default" w:ascii="Times New Roman" w:hAnsi="Times New Roman" w:eastAsia="宋体"/>
                      <w:sz w:val="21"/>
                      <w:szCs w:val="21"/>
                      <w:lang w:val="en-US" w:eastAsia="zh-CN"/>
                    </w:rPr>
                  </w:pPr>
                  <w:r>
                    <w:rPr>
                      <w:rFonts w:hint="eastAsia"/>
                      <w:sz w:val="21"/>
                      <w:szCs w:val="21"/>
                      <w:lang w:val="en-US" w:eastAsia="zh-CN"/>
                    </w:rPr>
                    <w:t>33.55</w:t>
                  </w:r>
                </w:p>
              </w:tc>
              <w:tc>
                <w:tcPr>
                  <w:tcW w:w="553" w:type="dxa"/>
                  <w:noWrap w:val="0"/>
                  <w:vAlign w:val="center"/>
                </w:tcPr>
                <w:p>
                  <w:pPr>
                    <w:spacing w:line="320" w:lineRule="exact"/>
                    <w:jc w:val="center"/>
                    <w:rPr>
                      <w:rFonts w:hint="default"/>
                      <w:sz w:val="21"/>
                      <w:szCs w:val="21"/>
                      <w:lang w:val="en-US" w:eastAsia="zh-CN"/>
                    </w:rPr>
                  </w:pPr>
                  <w:r>
                    <w:rPr>
                      <w:rFonts w:hint="eastAsia"/>
                      <w:sz w:val="21"/>
                      <w:szCs w:val="21"/>
                      <w:lang w:val="en-US" w:eastAsia="zh-CN"/>
                    </w:rPr>
                    <w:t>0.8</w:t>
                  </w:r>
                </w:p>
              </w:tc>
              <w:tc>
                <w:tcPr>
                  <w:tcW w:w="625" w:type="dxa"/>
                  <w:noWrap w:val="0"/>
                  <w:vAlign w:val="center"/>
                </w:tcPr>
                <w:p>
                  <w:pPr>
                    <w:spacing w:line="320" w:lineRule="exact"/>
                    <w:jc w:val="center"/>
                    <w:rPr>
                      <w:rFonts w:hint="default"/>
                      <w:sz w:val="21"/>
                      <w:szCs w:val="21"/>
                      <w:lang w:val="en-US" w:eastAsia="zh-CN"/>
                    </w:rPr>
                  </w:pPr>
                  <w:r>
                    <w:rPr>
                      <w:rFonts w:hint="eastAsia"/>
                      <w:sz w:val="21"/>
                      <w:szCs w:val="21"/>
                      <w:lang w:val="en-US" w:eastAsia="zh-CN"/>
                    </w:rPr>
                    <w:t>2.6</w:t>
                  </w:r>
                </w:p>
              </w:tc>
              <w:tc>
                <w:tcPr>
                  <w:tcW w:w="835" w:type="dxa"/>
                  <w:noWrap w:val="0"/>
                  <w:vAlign w:val="center"/>
                </w:tcPr>
                <w:p>
                  <w:pPr>
                    <w:spacing w:line="320" w:lineRule="exact"/>
                    <w:jc w:val="center"/>
                    <w:rPr>
                      <w:rFonts w:hint="default"/>
                      <w:sz w:val="21"/>
                      <w:szCs w:val="21"/>
                      <w:lang w:val="en-US" w:eastAsia="zh-CN"/>
                    </w:rPr>
                  </w:pPr>
                  <w:r>
                    <w:rPr>
                      <w:rFonts w:hint="eastAsia"/>
                      <w:sz w:val="21"/>
                      <w:szCs w:val="21"/>
                      <w:lang w:val="en-US" w:eastAsia="zh-CN"/>
                    </w:rPr>
                    <w:t>0.71</w:t>
                  </w:r>
                </w:p>
              </w:tc>
            </w:tr>
            <w:tr>
              <w:tblPrEx>
                <w:tblBorders>
                  <w:top w:val="single" w:color="auto" w:sz="2" w:space="0"/>
                  <w:left w:val="none" w:color="auto" w:sz="0" w:space="0"/>
                  <w:bottom w:val="single" w:color="auto" w:sz="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699" w:type="dxa"/>
                  <w:noWrap w:val="0"/>
                  <w:vAlign w:val="center"/>
                </w:tcPr>
                <w:p>
                  <w:pPr>
                    <w:spacing w:line="320" w:lineRule="exact"/>
                    <w:jc w:val="center"/>
                    <w:rPr>
                      <w:rFonts w:hint="eastAsia" w:ascii="Times New Roman" w:hAnsi="Times New Roman"/>
                      <w:sz w:val="21"/>
                      <w:szCs w:val="21"/>
                      <w:lang w:val="en-US" w:eastAsia="zh-CN"/>
                    </w:rPr>
                  </w:pPr>
                  <w:r>
                    <w:rPr>
                      <w:rFonts w:hint="eastAsia"/>
                      <w:sz w:val="21"/>
                      <w:szCs w:val="21"/>
                      <w:lang w:val="en-US" w:eastAsia="zh-CN"/>
                    </w:rPr>
                    <w:t>6</w:t>
                  </w:r>
                  <w:r>
                    <w:rPr>
                      <w:rFonts w:ascii="Times New Roman" w:hAnsi="Times New Roman"/>
                      <w:sz w:val="21"/>
                      <w:szCs w:val="21"/>
                    </w:rPr>
                    <w:t>#排气筒</w:t>
                  </w:r>
                </w:p>
              </w:tc>
              <w:tc>
                <w:tcPr>
                  <w:tcW w:w="1206" w:type="dxa"/>
                  <w:noWrap w:val="0"/>
                  <w:vAlign w:val="center"/>
                </w:tcPr>
                <w:p>
                  <w:pPr>
                    <w:spacing w:line="320" w:lineRule="exact"/>
                    <w:jc w:val="center"/>
                    <w:rPr>
                      <w:rFonts w:hint="eastAsia" w:ascii="Times New Roman" w:hAnsi="Times New Roman"/>
                      <w:sz w:val="21"/>
                      <w:szCs w:val="21"/>
                    </w:rPr>
                  </w:pPr>
                  <w:r>
                    <w:rPr>
                      <w:rFonts w:hint="eastAsia"/>
                    </w:rPr>
                    <w:t>118.384504</w:t>
                  </w:r>
                </w:p>
              </w:tc>
              <w:tc>
                <w:tcPr>
                  <w:tcW w:w="1109" w:type="dxa"/>
                  <w:noWrap w:val="0"/>
                  <w:vAlign w:val="center"/>
                </w:tcPr>
                <w:p>
                  <w:pPr>
                    <w:spacing w:line="320" w:lineRule="exact"/>
                    <w:jc w:val="center"/>
                    <w:rPr>
                      <w:rFonts w:hint="eastAsia" w:ascii="Times New Roman" w:hAnsi="Times New Roman"/>
                      <w:sz w:val="21"/>
                      <w:szCs w:val="21"/>
                    </w:rPr>
                  </w:pPr>
                  <w:r>
                    <w:rPr>
                      <w:rFonts w:hint="eastAsia"/>
                    </w:rPr>
                    <w:t>31.225835</w:t>
                  </w:r>
                </w:p>
              </w:tc>
              <w:tc>
                <w:tcPr>
                  <w:tcW w:w="689" w:type="dxa"/>
                  <w:noWrap w:val="0"/>
                  <w:vAlign w:val="center"/>
                </w:tcPr>
                <w:p>
                  <w:pPr>
                    <w:spacing w:line="320" w:lineRule="exact"/>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28</w:t>
                  </w:r>
                  <w:r>
                    <w:rPr>
                      <w:rFonts w:ascii="Times New Roman" w:hAnsi="Times New Roman"/>
                      <w:sz w:val="21"/>
                      <w:szCs w:val="21"/>
                    </w:rPr>
                    <w:t>.00</w:t>
                  </w:r>
                </w:p>
              </w:tc>
              <w:tc>
                <w:tcPr>
                  <w:tcW w:w="689" w:type="dxa"/>
                  <w:noWrap w:val="0"/>
                  <w:vAlign w:val="center"/>
                </w:tcPr>
                <w:p>
                  <w:pPr>
                    <w:spacing w:line="320" w:lineRule="exact"/>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30</w:t>
                  </w:r>
                  <w:r>
                    <w:rPr>
                      <w:rFonts w:ascii="Times New Roman" w:hAnsi="Times New Roman"/>
                      <w:sz w:val="21"/>
                      <w:szCs w:val="21"/>
                    </w:rPr>
                    <w:t>.00</w:t>
                  </w:r>
                </w:p>
              </w:tc>
              <w:tc>
                <w:tcPr>
                  <w:tcW w:w="520" w:type="dxa"/>
                  <w:noWrap w:val="0"/>
                  <w:vAlign w:val="center"/>
                </w:tcPr>
                <w:p>
                  <w:pPr>
                    <w:spacing w:line="320" w:lineRule="exact"/>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0.6</w:t>
                  </w:r>
                </w:p>
              </w:tc>
              <w:tc>
                <w:tcPr>
                  <w:tcW w:w="689" w:type="dxa"/>
                  <w:noWrap w:val="0"/>
                  <w:vAlign w:val="center"/>
                </w:tcPr>
                <w:p>
                  <w:pPr>
                    <w:spacing w:line="320" w:lineRule="exact"/>
                    <w:jc w:val="center"/>
                    <w:rPr>
                      <w:rFonts w:ascii="Times New Roman" w:hAnsi="Times New Roman"/>
                      <w:sz w:val="21"/>
                      <w:szCs w:val="21"/>
                    </w:rPr>
                  </w:pPr>
                  <w:r>
                    <w:rPr>
                      <w:rFonts w:ascii="Times New Roman" w:hAnsi="Times New Roman"/>
                      <w:sz w:val="21"/>
                      <w:szCs w:val="21"/>
                    </w:rPr>
                    <w:t>25.00</w:t>
                  </w:r>
                </w:p>
              </w:tc>
              <w:tc>
                <w:tcPr>
                  <w:tcW w:w="689" w:type="dxa"/>
                  <w:noWrap w:val="0"/>
                  <w:vAlign w:val="center"/>
                </w:tcPr>
                <w:p>
                  <w:pPr>
                    <w:spacing w:line="320" w:lineRule="exact"/>
                    <w:jc w:val="center"/>
                    <w:rPr>
                      <w:rFonts w:hint="eastAsia" w:ascii="Times New Roman" w:hAnsi="Times New Roman"/>
                      <w:sz w:val="21"/>
                      <w:szCs w:val="21"/>
                    </w:rPr>
                  </w:pPr>
                  <w:r>
                    <w:rPr>
                      <w:rFonts w:hint="eastAsia"/>
                      <w:sz w:val="21"/>
                      <w:szCs w:val="21"/>
                      <w:lang w:val="en-US" w:eastAsia="zh-CN"/>
                    </w:rPr>
                    <w:t>40.26</w:t>
                  </w:r>
                </w:p>
              </w:tc>
              <w:tc>
                <w:tcPr>
                  <w:tcW w:w="553" w:type="dxa"/>
                  <w:noWrap w:val="0"/>
                  <w:vAlign w:val="center"/>
                </w:tcPr>
                <w:p>
                  <w:pPr>
                    <w:spacing w:line="320" w:lineRule="exact"/>
                    <w:jc w:val="center"/>
                    <w:rPr>
                      <w:rFonts w:hint="default"/>
                      <w:sz w:val="21"/>
                      <w:szCs w:val="21"/>
                      <w:lang w:val="en-US" w:eastAsia="zh-CN"/>
                    </w:rPr>
                  </w:pPr>
                  <w:r>
                    <w:rPr>
                      <w:rFonts w:hint="eastAsia"/>
                      <w:sz w:val="21"/>
                      <w:szCs w:val="21"/>
                      <w:lang w:val="en-US" w:eastAsia="zh-CN"/>
                    </w:rPr>
                    <w:t>0.8</w:t>
                  </w:r>
                </w:p>
              </w:tc>
              <w:tc>
                <w:tcPr>
                  <w:tcW w:w="625" w:type="dxa"/>
                  <w:noWrap w:val="0"/>
                  <w:vAlign w:val="center"/>
                </w:tcPr>
                <w:p>
                  <w:pPr>
                    <w:spacing w:line="320" w:lineRule="exact"/>
                    <w:jc w:val="center"/>
                    <w:rPr>
                      <w:rFonts w:hint="default"/>
                      <w:sz w:val="21"/>
                      <w:szCs w:val="21"/>
                      <w:lang w:val="en-US" w:eastAsia="zh-CN"/>
                    </w:rPr>
                  </w:pPr>
                  <w:r>
                    <w:rPr>
                      <w:rFonts w:hint="eastAsia"/>
                      <w:sz w:val="21"/>
                      <w:szCs w:val="21"/>
                      <w:lang w:val="en-US" w:eastAsia="zh-CN"/>
                    </w:rPr>
                    <w:t>2.6</w:t>
                  </w:r>
                </w:p>
              </w:tc>
              <w:tc>
                <w:tcPr>
                  <w:tcW w:w="835" w:type="dxa"/>
                  <w:noWrap w:val="0"/>
                  <w:vAlign w:val="center"/>
                </w:tcPr>
                <w:p>
                  <w:pPr>
                    <w:spacing w:line="320" w:lineRule="exact"/>
                    <w:jc w:val="center"/>
                    <w:rPr>
                      <w:rFonts w:hint="default"/>
                      <w:sz w:val="21"/>
                      <w:szCs w:val="21"/>
                      <w:lang w:val="en-US" w:eastAsia="zh-CN"/>
                    </w:rPr>
                  </w:pPr>
                  <w:r>
                    <w:rPr>
                      <w:rFonts w:hint="eastAsia"/>
                      <w:sz w:val="21"/>
                      <w:szCs w:val="21"/>
                      <w:lang w:val="en-US" w:eastAsia="zh-CN"/>
                    </w:rPr>
                    <w:t>0.71</w:t>
                  </w:r>
                </w:p>
              </w:tc>
            </w:tr>
          </w:tbl>
          <w:p>
            <w:pPr>
              <w:spacing w:line="480" w:lineRule="exact"/>
              <w:ind w:firstLine="480" w:firstLineChars="200"/>
              <w:rPr>
                <w:rFonts w:ascii="Times New Roman" w:hAnsi="Times New Roman" w:eastAsia="宋体"/>
                <w:color w:val="000000"/>
                <w:kern w:val="0"/>
                <w:sz w:val="24"/>
              </w:rPr>
            </w:pPr>
            <w:r>
              <w:rPr>
                <w:rFonts w:ascii="Times New Roman" w:hAnsi="Times New Roman" w:eastAsia="宋体"/>
                <w:color w:val="000000"/>
                <w:kern w:val="0"/>
                <w:sz w:val="24"/>
              </w:rPr>
              <w:t>无组织废气预测参数表见下表7-2。</w:t>
            </w:r>
          </w:p>
          <w:p>
            <w:pPr>
              <w:adjustRightInd w:val="0"/>
              <w:snapToGrid w:val="0"/>
              <w:spacing w:line="460" w:lineRule="exact"/>
              <w:jc w:val="center"/>
              <w:rPr>
                <w:rFonts w:ascii="Times New Roman" w:hAnsi="Times New Roman" w:eastAsia="宋体"/>
                <w:b/>
                <w:bCs/>
                <w:color w:val="000000"/>
                <w:sz w:val="24"/>
              </w:rPr>
            </w:pPr>
            <w:r>
              <w:rPr>
                <w:rFonts w:ascii="Times New Roman" w:hAnsi="Times New Roman" w:eastAsia="宋体"/>
                <w:b/>
                <w:bCs/>
                <w:color w:val="000000"/>
                <w:sz w:val="24"/>
              </w:rPr>
              <w:t>表7</w:t>
            </w:r>
            <w:r>
              <w:rPr>
                <w:rFonts w:hint="eastAsia" w:ascii="Times New Roman" w:hAnsi="Times New Roman" w:eastAsia="宋体"/>
                <w:b/>
                <w:bCs/>
                <w:color w:val="000000"/>
                <w:sz w:val="24"/>
              </w:rPr>
              <w:t>-2</w:t>
            </w:r>
            <w:r>
              <w:rPr>
                <w:rFonts w:ascii="Times New Roman" w:hAnsi="Times New Roman" w:eastAsia="宋体"/>
                <w:b/>
                <w:bCs/>
                <w:color w:val="000000"/>
                <w:sz w:val="24"/>
              </w:rPr>
              <w:t xml:space="preserve"> 无组织废气预测参数表</w:t>
            </w:r>
          </w:p>
          <w:tbl>
            <w:tblPr>
              <w:tblStyle w:val="28"/>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2"/>
              <w:gridCol w:w="1365"/>
              <w:gridCol w:w="1253"/>
              <w:gridCol w:w="778"/>
              <w:gridCol w:w="896"/>
              <w:gridCol w:w="896"/>
              <w:gridCol w:w="781"/>
              <w:gridCol w:w="185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800" w:hRule="atLeast"/>
              </w:trPr>
              <w:tc>
                <w:tcPr>
                  <w:tcW w:w="290" w:type="pct"/>
                  <w:vMerge w:val="restart"/>
                  <w:noWrap w:val="0"/>
                  <w:vAlign w:val="center"/>
                </w:tcPr>
                <w:p>
                  <w:pPr>
                    <w:jc w:val="center"/>
                    <w:rPr>
                      <w:rFonts w:ascii="Times New Roman" w:hAnsi="Times New Roman" w:eastAsia="宋体"/>
                      <w:sz w:val="21"/>
                      <w:szCs w:val="21"/>
                    </w:rPr>
                  </w:pPr>
                  <w:r>
                    <w:rPr>
                      <w:rFonts w:ascii="Times New Roman" w:hAnsi="Times New Roman" w:eastAsia="宋体"/>
                      <w:sz w:val="21"/>
                      <w:szCs w:val="21"/>
                    </w:rPr>
                    <w:t>污染源名称</w:t>
                  </w:r>
                </w:p>
              </w:tc>
              <w:tc>
                <w:tcPr>
                  <w:tcW w:w="1575" w:type="pct"/>
                  <w:gridSpan w:val="2"/>
                  <w:noWrap w:val="0"/>
                  <w:vAlign w:val="center"/>
                </w:tcPr>
                <w:p>
                  <w:pPr>
                    <w:jc w:val="center"/>
                    <w:rPr>
                      <w:rFonts w:ascii="Times New Roman" w:hAnsi="Times New Roman" w:eastAsia="宋体"/>
                      <w:sz w:val="21"/>
                      <w:szCs w:val="21"/>
                    </w:rPr>
                  </w:pPr>
                  <w:r>
                    <w:rPr>
                      <w:rFonts w:ascii="Times New Roman" w:hAnsi="Times New Roman" w:eastAsia="宋体"/>
                      <w:sz w:val="21"/>
                      <w:szCs w:val="21"/>
                    </w:rPr>
                    <w:t>坐标(°)</w:t>
                  </w:r>
                </w:p>
              </w:tc>
              <w:tc>
                <w:tcPr>
                  <w:tcW w:w="468" w:type="pct"/>
                  <w:vMerge w:val="restart"/>
                  <w:noWrap w:val="0"/>
                  <w:vAlign w:val="center"/>
                </w:tcPr>
                <w:p>
                  <w:pPr>
                    <w:jc w:val="center"/>
                    <w:rPr>
                      <w:rFonts w:ascii="Times New Roman" w:hAnsi="Times New Roman" w:eastAsia="宋体"/>
                      <w:sz w:val="21"/>
                      <w:szCs w:val="21"/>
                    </w:rPr>
                  </w:pPr>
                  <w:r>
                    <w:rPr>
                      <w:rFonts w:ascii="Times New Roman" w:hAnsi="Times New Roman" w:eastAsia="宋体"/>
                      <w:sz w:val="21"/>
                      <w:szCs w:val="21"/>
                    </w:rPr>
                    <w:t>海拔高度(m)</w:t>
                  </w:r>
                </w:p>
              </w:tc>
              <w:tc>
                <w:tcPr>
                  <w:tcW w:w="1548" w:type="pct"/>
                  <w:gridSpan w:val="3"/>
                  <w:noWrap w:val="0"/>
                  <w:vAlign w:val="center"/>
                </w:tcPr>
                <w:p>
                  <w:pPr>
                    <w:jc w:val="center"/>
                    <w:rPr>
                      <w:rFonts w:ascii="Times New Roman" w:hAnsi="Times New Roman" w:eastAsia="宋体"/>
                      <w:sz w:val="21"/>
                      <w:szCs w:val="21"/>
                    </w:rPr>
                  </w:pPr>
                  <w:r>
                    <w:rPr>
                      <w:rFonts w:ascii="Times New Roman" w:hAnsi="Times New Roman" w:eastAsia="宋体"/>
                      <w:sz w:val="21"/>
                      <w:szCs w:val="21"/>
                    </w:rPr>
                    <w:t>矩形面源</w:t>
                  </w:r>
                </w:p>
              </w:tc>
              <w:tc>
                <w:tcPr>
                  <w:tcW w:w="1116"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污染物排放速率(kg/h)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90" w:type="pct"/>
                  <w:vMerge w:val="continue"/>
                  <w:noWrap w:val="0"/>
                  <w:vAlign w:val="center"/>
                </w:tcPr>
                <w:p>
                  <w:pPr>
                    <w:jc w:val="center"/>
                    <w:rPr>
                      <w:rFonts w:ascii="Times New Roman" w:hAnsi="Times New Roman" w:eastAsia="宋体"/>
                      <w:sz w:val="21"/>
                      <w:szCs w:val="21"/>
                    </w:rPr>
                  </w:pPr>
                </w:p>
              </w:tc>
              <w:tc>
                <w:tcPr>
                  <w:tcW w:w="821"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经度</w:t>
                  </w:r>
                </w:p>
              </w:tc>
              <w:tc>
                <w:tcPr>
                  <w:tcW w:w="754"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纬度</w:t>
                  </w:r>
                </w:p>
              </w:tc>
              <w:tc>
                <w:tcPr>
                  <w:tcW w:w="468" w:type="pct"/>
                  <w:vMerge w:val="continue"/>
                  <w:noWrap w:val="0"/>
                  <w:vAlign w:val="center"/>
                </w:tcPr>
                <w:p>
                  <w:pPr>
                    <w:jc w:val="center"/>
                    <w:rPr>
                      <w:rFonts w:ascii="Times New Roman" w:hAnsi="Times New Roman" w:eastAsia="宋体"/>
                      <w:sz w:val="21"/>
                      <w:szCs w:val="21"/>
                    </w:rPr>
                  </w:pPr>
                </w:p>
              </w:tc>
              <w:tc>
                <w:tcPr>
                  <w:tcW w:w="539"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长度(m)</w:t>
                  </w:r>
                </w:p>
              </w:tc>
              <w:tc>
                <w:tcPr>
                  <w:tcW w:w="539"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宽度(m)</w:t>
                  </w:r>
                </w:p>
              </w:tc>
              <w:tc>
                <w:tcPr>
                  <w:tcW w:w="470"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有效高度(m)</w:t>
                  </w:r>
                </w:p>
              </w:tc>
              <w:tc>
                <w:tcPr>
                  <w:tcW w:w="1116"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TSP</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90"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厂房</w:t>
                  </w:r>
                </w:p>
              </w:tc>
              <w:tc>
                <w:tcPr>
                  <w:tcW w:w="821" w:type="pct"/>
                  <w:noWrap w:val="0"/>
                  <w:vAlign w:val="center"/>
                </w:tcPr>
                <w:p>
                  <w:pPr>
                    <w:jc w:val="center"/>
                    <w:rPr>
                      <w:rFonts w:ascii="Times New Roman" w:hAnsi="Times New Roman" w:eastAsia="宋体"/>
                      <w:sz w:val="21"/>
                      <w:szCs w:val="21"/>
                    </w:rPr>
                  </w:pPr>
                  <w:r>
                    <w:rPr>
                      <w:rFonts w:hint="eastAsia" w:ascii="Times New Roman" w:hAnsi="Times New Roman" w:eastAsia="宋体"/>
                      <w:sz w:val="21"/>
                      <w:szCs w:val="21"/>
                    </w:rPr>
                    <w:t>118.384643</w:t>
                  </w:r>
                </w:p>
              </w:tc>
              <w:tc>
                <w:tcPr>
                  <w:tcW w:w="754" w:type="pct"/>
                  <w:noWrap w:val="0"/>
                  <w:vAlign w:val="center"/>
                </w:tcPr>
                <w:p>
                  <w:pPr>
                    <w:jc w:val="center"/>
                    <w:rPr>
                      <w:rFonts w:ascii="Times New Roman" w:hAnsi="Times New Roman" w:eastAsia="宋体"/>
                      <w:sz w:val="21"/>
                      <w:szCs w:val="21"/>
                    </w:rPr>
                  </w:pPr>
                  <w:r>
                    <w:rPr>
                      <w:rFonts w:hint="eastAsia" w:ascii="Times New Roman" w:hAnsi="Times New Roman" w:eastAsia="宋体"/>
                      <w:sz w:val="21"/>
                      <w:szCs w:val="21"/>
                    </w:rPr>
                    <w:t>31.225954</w:t>
                  </w:r>
                </w:p>
              </w:tc>
              <w:tc>
                <w:tcPr>
                  <w:tcW w:w="468" w:type="pct"/>
                  <w:noWrap w:val="0"/>
                  <w:vAlign w:val="center"/>
                </w:tcPr>
                <w:p>
                  <w:pPr>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28.00</w:t>
                  </w:r>
                </w:p>
              </w:tc>
              <w:tc>
                <w:tcPr>
                  <w:tcW w:w="539" w:type="pct"/>
                  <w:noWrap w:val="0"/>
                  <w:vAlign w:val="center"/>
                </w:tcPr>
                <w:p>
                  <w:pPr>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250</w:t>
                  </w:r>
                </w:p>
              </w:tc>
              <w:tc>
                <w:tcPr>
                  <w:tcW w:w="539" w:type="pct"/>
                  <w:noWrap w:val="0"/>
                  <w:vAlign w:val="center"/>
                </w:tcPr>
                <w:p>
                  <w:pPr>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60</w:t>
                  </w:r>
                </w:p>
              </w:tc>
              <w:tc>
                <w:tcPr>
                  <w:tcW w:w="470" w:type="pct"/>
                  <w:noWrap w:val="0"/>
                  <w:vAlign w:val="center"/>
                </w:tcPr>
                <w:p>
                  <w:pPr>
                    <w:jc w:val="center"/>
                    <w:rPr>
                      <w:rFonts w:ascii="Times New Roman" w:hAnsi="Times New Roman" w:eastAsia="宋体"/>
                      <w:sz w:val="21"/>
                      <w:szCs w:val="21"/>
                    </w:rPr>
                  </w:pPr>
                  <w:r>
                    <w:rPr>
                      <w:rFonts w:ascii="Times New Roman" w:hAnsi="Times New Roman" w:eastAsia="宋体"/>
                      <w:sz w:val="21"/>
                      <w:szCs w:val="21"/>
                    </w:rPr>
                    <w:t>10.00</w:t>
                  </w:r>
                </w:p>
              </w:tc>
              <w:tc>
                <w:tcPr>
                  <w:tcW w:w="1116" w:type="pct"/>
                  <w:noWrap w:val="0"/>
                  <w:vAlign w:val="center"/>
                </w:tcPr>
                <w:p>
                  <w:pPr>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0.2</w:t>
                  </w:r>
                </w:p>
              </w:tc>
            </w:tr>
          </w:tbl>
          <w:p>
            <w:pPr>
              <w:spacing w:line="480" w:lineRule="exact"/>
              <w:ind w:firstLine="482" w:firstLineChars="200"/>
              <w:rPr>
                <w:rFonts w:ascii="Times New Roman" w:hAnsi="Times New Roman" w:eastAsia="宋体"/>
                <w:b/>
                <w:color w:val="000000"/>
                <w:sz w:val="24"/>
              </w:rPr>
            </w:pPr>
            <w:r>
              <w:rPr>
                <w:rFonts w:ascii="Times New Roman" w:hAnsi="Times New Roman" w:eastAsia="宋体"/>
                <w:b/>
                <w:color w:val="000000"/>
                <w:sz w:val="24"/>
              </w:rPr>
              <w:t>（1）大气环境影响预测</w:t>
            </w:r>
          </w:p>
          <w:p>
            <w:pPr>
              <w:spacing w:line="480" w:lineRule="exact"/>
              <w:ind w:firstLine="480" w:firstLineChars="200"/>
              <w:rPr>
                <w:rFonts w:ascii="Times New Roman" w:hAnsi="Times New Roman" w:eastAsia="宋体"/>
                <w:color w:val="000000"/>
                <w:sz w:val="24"/>
              </w:rPr>
            </w:pPr>
            <w:r>
              <w:rPr>
                <w:rFonts w:ascii="Times New Roman" w:hAnsi="Times New Roman" w:eastAsia="宋体"/>
                <w:color w:val="000000"/>
                <w:sz w:val="24"/>
              </w:rPr>
              <w:t>根据《环境影响评价技术导则  大气环境》（HJ2.2-2018）要求，可采用估算模型估算各污染源的小时最大落地浓度。本次预测采用导则推荐的估算模式AERSCREEN。评价基准年为2019年，最高、最低环境温度根据评价区域近20年气象资料统计所得，最小风速为0.5m/s，风速计算高度取10m。估算模型参数见表7-</w:t>
            </w:r>
            <w:r>
              <w:rPr>
                <w:rFonts w:hint="eastAsia" w:ascii="Times New Roman" w:hAnsi="Times New Roman" w:eastAsia="宋体"/>
                <w:color w:val="000000"/>
                <w:sz w:val="24"/>
              </w:rPr>
              <w:t>3</w:t>
            </w:r>
            <w:r>
              <w:rPr>
                <w:rFonts w:ascii="Times New Roman" w:hAnsi="Times New Roman" w:eastAsia="宋体"/>
                <w:color w:val="000000"/>
                <w:sz w:val="24"/>
              </w:rPr>
              <w:t>。</w:t>
            </w:r>
          </w:p>
          <w:p>
            <w:pPr>
              <w:spacing w:line="480" w:lineRule="exact"/>
              <w:jc w:val="center"/>
              <w:rPr>
                <w:rFonts w:ascii="Times New Roman" w:hAnsi="Times New Roman" w:eastAsia="宋体"/>
                <w:b/>
                <w:bCs/>
                <w:color w:val="000000"/>
                <w:szCs w:val="21"/>
              </w:rPr>
            </w:pPr>
            <w:r>
              <w:rPr>
                <w:rFonts w:ascii="Times New Roman" w:hAnsi="Times New Roman" w:eastAsia="宋体"/>
                <w:b/>
                <w:bCs/>
                <w:color w:val="000000"/>
                <w:sz w:val="24"/>
              </w:rPr>
              <w:t>表7-</w:t>
            </w:r>
            <w:r>
              <w:rPr>
                <w:rFonts w:hint="eastAsia" w:ascii="Times New Roman" w:hAnsi="Times New Roman" w:eastAsia="宋体"/>
                <w:b/>
                <w:bCs/>
                <w:color w:val="000000"/>
                <w:sz w:val="24"/>
              </w:rPr>
              <w:t>3</w:t>
            </w:r>
            <w:r>
              <w:rPr>
                <w:rFonts w:ascii="Times New Roman" w:hAnsi="Times New Roman" w:eastAsia="宋体"/>
                <w:b/>
                <w:bCs/>
                <w:color w:val="000000"/>
                <w:sz w:val="24"/>
              </w:rPr>
              <w:t xml:space="preserve">  估算模型参数表</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44"/>
              <w:gridCol w:w="103"/>
              <w:gridCol w:w="3145"/>
              <w:gridCol w:w="29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5761" w:type="dxa"/>
                  <w:gridSpan w:val="3"/>
                  <w:tcBorders>
                    <w:bottom w:val="single" w:color="auto" w:sz="4" w:space="0"/>
                  </w:tcBorders>
                  <w:noWrap w:val="0"/>
                  <w:vAlign w:val="center"/>
                </w:tcPr>
                <w:p>
                  <w:pPr>
                    <w:pStyle w:val="67"/>
                    <w:rPr>
                      <w:rFonts w:ascii="Times New Roman" w:hAnsi="Times New Roman" w:eastAsia="宋体"/>
                      <w:b/>
                      <w:bCs/>
                      <w:color w:val="000000"/>
                      <w:highlight w:val="none"/>
                    </w:rPr>
                  </w:pPr>
                  <w:r>
                    <w:rPr>
                      <w:rFonts w:ascii="Times New Roman" w:hAnsi="Times New Roman" w:eastAsia="宋体"/>
                      <w:b/>
                      <w:bCs/>
                      <w:color w:val="000000"/>
                      <w:highlight w:val="none"/>
                    </w:rPr>
                    <w:t>参数</w:t>
                  </w:r>
                </w:p>
              </w:tc>
              <w:tc>
                <w:tcPr>
                  <w:tcW w:w="3083" w:type="dxa"/>
                  <w:noWrap w:val="0"/>
                  <w:vAlign w:val="center"/>
                </w:tcPr>
                <w:p>
                  <w:pPr>
                    <w:pStyle w:val="67"/>
                    <w:rPr>
                      <w:rFonts w:ascii="Times New Roman" w:hAnsi="Times New Roman" w:eastAsia="宋体"/>
                      <w:b/>
                      <w:bCs/>
                      <w:color w:val="000000"/>
                      <w:highlight w:val="none"/>
                    </w:rPr>
                  </w:pPr>
                  <w:r>
                    <w:rPr>
                      <w:rFonts w:ascii="Times New Roman" w:hAnsi="Times New Roman" w:eastAsia="宋体"/>
                      <w:b/>
                      <w:bCs/>
                      <w:color w:val="000000"/>
                      <w:highlight w:val="none"/>
                    </w:rPr>
                    <w:t>取值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 w:hRule="atLeast"/>
                <w:jc w:val="center"/>
              </w:trPr>
              <w:tc>
                <w:tcPr>
                  <w:tcW w:w="2291" w:type="dxa"/>
                  <w:vMerge w:val="restart"/>
                  <w:tcBorders>
                    <w:top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城市/农村选项</w:t>
                  </w:r>
                </w:p>
              </w:tc>
              <w:tc>
                <w:tcPr>
                  <w:tcW w:w="3470" w:type="dxa"/>
                  <w:gridSpan w:val="2"/>
                  <w:tcBorders>
                    <w:top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城市/农村</w:t>
                  </w:r>
                </w:p>
              </w:tc>
              <w:tc>
                <w:tcPr>
                  <w:tcW w:w="3083" w:type="dxa"/>
                  <w:tcBorders>
                    <w:top w:val="single" w:color="auto" w:sz="4" w:space="0"/>
                    <w:bottom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291" w:type="dxa"/>
                  <w:vMerge w:val="continue"/>
                  <w:noWrap w:val="0"/>
                  <w:vAlign w:val="center"/>
                </w:tcPr>
                <w:p>
                  <w:pPr>
                    <w:pStyle w:val="67"/>
                    <w:rPr>
                      <w:rFonts w:ascii="Times New Roman" w:hAnsi="Times New Roman" w:eastAsia="宋体"/>
                      <w:color w:val="000000"/>
                      <w:highlight w:val="none"/>
                    </w:rPr>
                  </w:pPr>
                </w:p>
              </w:tc>
              <w:tc>
                <w:tcPr>
                  <w:tcW w:w="3470" w:type="dxa"/>
                  <w:gridSpan w:val="2"/>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人口数（城市选项时）</w:t>
                  </w:r>
                </w:p>
              </w:tc>
              <w:tc>
                <w:tcPr>
                  <w:tcW w:w="3083" w:type="dxa"/>
                  <w:tcBorders>
                    <w:top w:val="single" w:color="auto" w:sz="4" w:space="0"/>
                  </w:tcBorders>
                  <w:noWrap w:val="0"/>
                  <w:vAlign w:val="center"/>
                </w:tcPr>
                <w:p>
                  <w:pPr>
                    <w:pStyle w:val="2"/>
                    <w:rPr>
                      <w:rFonts w:ascii="Times New Roman" w:hAnsi="Times New Roman" w:eastAsia="宋体" w:cs="Times New Roman"/>
                      <w:highlight w:val="none"/>
                    </w:rPr>
                  </w:pPr>
                  <w:r>
                    <w:rPr>
                      <w:rFonts w:ascii="Times New Roman" w:hAnsi="Times New Roman" w:eastAsia="宋体" w:cs="Times New Roman"/>
                      <w:sz w:val="21"/>
                      <w:szCs w:val="21"/>
                      <w:highlight w:val="none"/>
                    </w:rPr>
                    <w:t>369.6万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761" w:type="dxa"/>
                  <w:gridSpan w:val="3"/>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最高环境温度</w:t>
                  </w:r>
                </w:p>
              </w:tc>
              <w:tc>
                <w:tcPr>
                  <w:tcW w:w="3083" w:type="dxa"/>
                  <w:noWrap w:val="0"/>
                  <w:vAlign w:val="center"/>
                </w:tcPr>
                <w:p>
                  <w:pPr>
                    <w:jc w:val="center"/>
                    <w:rPr>
                      <w:rFonts w:ascii="Times New Roman" w:hAnsi="Times New Roman" w:eastAsia="宋体"/>
                      <w:color w:val="000000"/>
                      <w:highlight w:val="none"/>
                    </w:rPr>
                  </w:pPr>
                  <w:r>
                    <w:rPr>
                      <w:rFonts w:ascii="Times New Roman" w:hAnsi="Times New Roman" w:eastAsia="宋体"/>
                      <w:color w:val="000000"/>
                      <w:szCs w:val="21"/>
                      <w:highlight w:val="none"/>
                    </w:rPr>
                    <w:t>41.4°C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761" w:type="dxa"/>
                  <w:gridSpan w:val="3"/>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最低环境温度</w:t>
                  </w:r>
                </w:p>
              </w:tc>
              <w:tc>
                <w:tcPr>
                  <w:tcW w:w="3083" w:type="dxa"/>
                  <w:noWrap w:val="0"/>
                  <w:vAlign w:val="center"/>
                </w:tcPr>
                <w:p>
                  <w:pPr>
                    <w:jc w:val="center"/>
                    <w:rPr>
                      <w:rFonts w:ascii="Times New Roman" w:hAnsi="Times New Roman" w:eastAsia="宋体"/>
                      <w:color w:val="000000"/>
                      <w:highlight w:val="none"/>
                    </w:rPr>
                  </w:pPr>
                  <w:r>
                    <w:rPr>
                      <w:rFonts w:ascii="Times New Roman" w:hAnsi="Times New Roman" w:eastAsia="宋体"/>
                      <w:color w:val="000000"/>
                      <w:szCs w:val="21"/>
                      <w:highlight w:val="none"/>
                    </w:rPr>
                    <w:t>-7 °C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761" w:type="dxa"/>
                  <w:gridSpan w:val="3"/>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土地利用类型</w:t>
                  </w:r>
                </w:p>
              </w:tc>
              <w:tc>
                <w:tcPr>
                  <w:tcW w:w="3083" w:type="dxa"/>
                  <w:noWrap w:val="0"/>
                  <w:vAlign w:val="center"/>
                </w:tcPr>
                <w:p>
                  <w:pPr>
                    <w:jc w:val="center"/>
                    <w:rPr>
                      <w:rFonts w:ascii="Times New Roman" w:hAnsi="Times New Roman" w:eastAsia="宋体"/>
                      <w:color w:val="000000"/>
                      <w:highlight w:val="none"/>
                    </w:rPr>
                  </w:pPr>
                  <w:r>
                    <w:rPr>
                      <w:rFonts w:ascii="Times New Roman" w:hAnsi="Times New Roman" w:eastAsia="宋体"/>
                      <w:color w:val="000000"/>
                      <w:szCs w:val="21"/>
                      <w:highlight w:val="none"/>
                    </w:rPr>
                    <w:t>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761" w:type="dxa"/>
                  <w:gridSpan w:val="3"/>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区域湿度条件</w:t>
                  </w:r>
                </w:p>
              </w:tc>
              <w:tc>
                <w:tcPr>
                  <w:tcW w:w="3083" w:type="dxa"/>
                  <w:noWrap w:val="0"/>
                  <w:vAlign w:val="center"/>
                </w:tcPr>
                <w:p>
                  <w:pPr>
                    <w:jc w:val="center"/>
                    <w:rPr>
                      <w:rFonts w:ascii="Times New Roman" w:hAnsi="Times New Roman" w:eastAsia="宋体"/>
                      <w:color w:val="000000"/>
                      <w:highlight w:val="none"/>
                    </w:rPr>
                  </w:pPr>
                  <w:r>
                    <w:rPr>
                      <w:rFonts w:ascii="Times New Roman" w:hAnsi="Times New Roman" w:eastAsia="宋体"/>
                      <w:color w:val="000000"/>
                      <w:szCs w:val="21"/>
                      <w:highlight w:val="none"/>
                    </w:rPr>
                    <w:t>中等湿度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restart"/>
                  <w:tcBorders>
                    <w:right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是否考虑地形</w:t>
                  </w:r>
                </w:p>
              </w:tc>
              <w:tc>
                <w:tcPr>
                  <w:tcW w:w="3359" w:type="dxa"/>
                  <w:tcBorders>
                    <w:left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考虑地形</w:t>
                  </w:r>
                </w:p>
              </w:tc>
              <w:tc>
                <w:tcPr>
                  <w:tcW w:w="3083" w:type="dxa"/>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continue"/>
                  <w:tcBorders>
                    <w:right w:val="single" w:color="auto" w:sz="4" w:space="0"/>
                  </w:tcBorders>
                  <w:noWrap w:val="0"/>
                  <w:vAlign w:val="center"/>
                </w:tcPr>
                <w:p>
                  <w:pPr>
                    <w:pStyle w:val="67"/>
                    <w:rPr>
                      <w:rFonts w:ascii="Times New Roman" w:hAnsi="Times New Roman" w:eastAsia="宋体"/>
                      <w:color w:val="000000"/>
                      <w:highlight w:val="none"/>
                    </w:rPr>
                  </w:pPr>
                </w:p>
              </w:tc>
              <w:tc>
                <w:tcPr>
                  <w:tcW w:w="3359" w:type="dxa"/>
                  <w:tcBorders>
                    <w:left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 xml:space="preserve">地形数据分辨率/m </w:t>
                  </w:r>
                </w:p>
              </w:tc>
              <w:tc>
                <w:tcPr>
                  <w:tcW w:w="3083" w:type="dxa"/>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restart"/>
                  <w:tcBorders>
                    <w:right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是否考虑岸线熏烟</w:t>
                  </w:r>
                </w:p>
              </w:tc>
              <w:tc>
                <w:tcPr>
                  <w:tcW w:w="3359" w:type="dxa"/>
                  <w:tcBorders>
                    <w:left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 xml:space="preserve">考虑岸线熏烟 </w:t>
                  </w:r>
                </w:p>
              </w:tc>
              <w:tc>
                <w:tcPr>
                  <w:tcW w:w="3083" w:type="dxa"/>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continue"/>
                  <w:tcBorders>
                    <w:right w:val="single" w:color="auto" w:sz="4" w:space="0"/>
                  </w:tcBorders>
                  <w:noWrap w:val="0"/>
                  <w:vAlign w:val="center"/>
                </w:tcPr>
                <w:p>
                  <w:pPr>
                    <w:pStyle w:val="67"/>
                    <w:rPr>
                      <w:rFonts w:ascii="Times New Roman" w:hAnsi="Times New Roman" w:eastAsia="宋体"/>
                      <w:color w:val="000000"/>
                      <w:highlight w:val="none"/>
                    </w:rPr>
                  </w:pPr>
                </w:p>
              </w:tc>
              <w:tc>
                <w:tcPr>
                  <w:tcW w:w="3359" w:type="dxa"/>
                  <w:tcBorders>
                    <w:left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 xml:space="preserve">岸线距离/km  </w:t>
                  </w:r>
                </w:p>
              </w:tc>
              <w:tc>
                <w:tcPr>
                  <w:tcW w:w="3083" w:type="dxa"/>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continue"/>
                  <w:tcBorders>
                    <w:right w:val="single" w:color="auto" w:sz="4" w:space="0"/>
                  </w:tcBorders>
                  <w:noWrap w:val="0"/>
                  <w:vAlign w:val="center"/>
                </w:tcPr>
                <w:p>
                  <w:pPr>
                    <w:pStyle w:val="67"/>
                    <w:rPr>
                      <w:rFonts w:ascii="Times New Roman" w:hAnsi="Times New Roman" w:eastAsia="宋体"/>
                      <w:color w:val="000000"/>
                      <w:highlight w:val="none"/>
                    </w:rPr>
                  </w:pPr>
                </w:p>
              </w:tc>
              <w:tc>
                <w:tcPr>
                  <w:tcW w:w="3359" w:type="dxa"/>
                  <w:tcBorders>
                    <w:left w:val="single" w:color="auto" w:sz="4" w:space="0"/>
                  </w:tcBorders>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 xml:space="preserve">岸线方向/° </w:t>
                  </w:r>
                </w:p>
              </w:tc>
              <w:tc>
                <w:tcPr>
                  <w:tcW w:w="3083" w:type="dxa"/>
                  <w:noWrap w:val="0"/>
                  <w:vAlign w:val="center"/>
                </w:tcPr>
                <w:p>
                  <w:pPr>
                    <w:pStyle w:val="67"/>
                    <w:rPr>
                      <w:rFonts w:ascii="Times New Roman" w:hAnsi="Times New Roman" w:eastAsia="宋体"/>
                      <w:color w:val="000000"/>
                      <w:highlight w:val="none"/>
                    </w:rPr>
                  </w:pPr>
                  <w:r>
                    <w:rPr>
                      <w:rFonts w:ascii="Times New Roman" w:hAnsi="Times New Roman" w:eastAsia="宋体"/>
                      <w:color w:val="000000"/>
                      <w:highlight w:val="none"/>
                    </w:rPr>
                    <w:t>/</w:t>
                  </w:r>
                </w:p>
              </w:tc>
            </w:tr>
          </w:tbl>
          <w:p>
            <w:pPr>
              <w:pStyle w:val="76"/>
              <w:adjustRightInd w:val="0"/>
              <w:ind w:firstLine="480"/>
              <w:rPr>
                <w:rFonts w:ascii="Times New Roman" w:hAnsi="Times New Roman" w:eastAsia="宋体"/>
                <w:color w:val="000000"/>
              </w:rPr>
            </w:pPr>
            <w:r>
              <w:rPr>
                <w:rFonts w:ascii="Times New Roman" w:hAnsi="Times New Roman" w:eastAsia="宋体"/>
                <w:color w:val="000000"/>
              </w:rPr>
              <w:t>项目正常排放的污染物</w:t>
            </w:r>
            <w:r>
              <w:rPr>
                <w:rFonts w:ascii="Times New Roman" w:hAnsi="Times New Roman" w:eastAsia="宋体"/>
                <w:color w:val="000000"/>
                <w:lang w:val="en-US"/>
              </w:rPr>
              <w:t>排放</w:t>
            </w:r>
            <w:r>
              <w:rPr>
                <w:rFonts w:ascii="Times New Roman" w:hAnsi="Times New Roman" w:eastAsia="宋体"/>
                <w:color w:val="000000"/>
              </w:rPr>
              <w:t>采用估算模式计算结果表见表</w:t>
            </w:r>
            <w:r>
              <w:rPr>
                <w:rFonts w:ascii="Times New Roman" w:hAnsi="Times New Roman" w:eastAsia="宋体"/>
                <w:color w:val="000000"/>
                <w:lang w:val="en-US"/>
              </w:rPr>
              <w:t>7</w:t>
            </w:r>
            <w:r>
              <w:rPr>
                <w:rFonts w:hint="eastAsia" w:ascii="Times New Roman" w:hAnsi="Times New Roman" w:eastAsia="宋体"/>
                <w:color w:val="000000"/>
                <w:lang w:val="en-US"/>
              </w:rPr>
              <w:t>-</w:t>
            </w:r>
            <w:r>
              <w:rPr>
                <w:rFonts w:ascii="Times New Roman" w:hAnsi="Times New Roman" w:eastAsia="宋体"/>
                <w:color w:val="000000"/>
                <w:lang w:val="en-US"/>
              </w:rPr>
              <w:t>4</w:t>
            </w:r>
            <w:r>
              <w:rPr>
                <w:rFonts w:ascii="Times New Roman" w:hAnsi="Times New Roman" w:eastAsia="宋体"/>
                <w:color w:val="000000"/>
              </w:rPr>
              <w:t>。</w:t>
            </w:r>
          </w:p>
          <w:p>
            <w:pPr>
              <w:spacing w:line="360" w:lineRule="auto"/>
              <w:jc w:val="center"/>
              <w:rPr>
                <w:rFonts w:ascii="Times New Roman" w:hAnsi="Times New Roman" w:eastAsia="宋体"/>
                <w:b/>
                <w:bCs/>
                <w:color w:val="000000"/>
                <w:sz w:val="24"/>
              </w:rPr>
            </w:pPr>
            <w:r>
              <w:rPr>
                <w:rFonts w:ascii="Times New Roman" w:hAnsi="Times New Roman" w:eastAsia="宋体"/>
                <w:b/>
                <w:bCs/>
                <w:color w:val="000000"/>
                <w:sz w:val="24"/>
              </w:rPr>
              <w:t>表7-4 工程大气环境影响评价估算模型计算结果</w:t>
            </w:r>
          </w:p>
          <w:tbl>
            <w:tblPr>
              <w:tblStyle w:val="28"/>
              <w:tblW w:w="4995"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42"/>
              <w:gridCol w:w="1262"/>
              <w:gridCol w:w="1167"/>
              <w:gridCol w:w="1576"/>
              <w:gridCol w:w="1226"/>
              <w:gridCol w:w="1121"/>
              <w:gridCol w:w="80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688"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污染源</w:t>
                  </w:r>
                </w:p>
              </w:tc>
              <w:tc>
                <w:tcPr>
                  <w:tcW w:w="760"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污染因子</w:t>
                  </w:r>
                </w:p>
              </w:tc>
              <w:tc>
                <w:tcPr>
                  <w:tcW w:w="703"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最大浓度</w:t>
                  </w:r>
                </w:p>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落地点(m)</w:t>
                  </w:r>
                </w:p>
              </w:tc>
              <w:tc>
                <w:tcPr>
                  <w:tcW w:w="949"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最大落地浓度(</w:t>
                  </w:r>
                  <w:r>
                    <w:rPr>
                      <w:rFonts w:hint="eastAsia" w:ascii="Times New Roman" w:hAnsi="Times New Roman" w:eastAsia="宋体"/>
                      <w:color w:val="000000"/>
                      <w:sz w:val="21"/>
                      <w:szCs w:val="21"/>
                      <w:lang w:val="en-US" w:eastAsia="zh-CN"/>
                    </w:rPr>
                    <w:t>m</w:t>
                  </w:r>
                  <w:r>
                    <w:rPr>
                      <w:rFonts w:ascii="Times New Roman" w:hAnsi="Times New Roman" w:eastAsia="宋体"/>
                      <w:color w:val="000000"/>
                      <w:sz w:val="21"/>
                      <w:szCs w:val="21"/>
                    </w:rPr>
                    <w:t>g/m</w:t>
                  </w:r>
                  <w:r>
                    <w:rPr>
                      <w:rFonts w:ascii="Times New Roman" w:hAnsi="Times New Roman" w:eastAsia="宋体"/>
                      <w:color w:val="000000"/>
                      <w:sz w:val="21"/>
                      <w:szCs w:val="21"/>
                      <w:vertAlign w:val="superscript"/>
                    </w:rPr>
                    <w:t>3</w:t>
                  </w:r>
                  <w:r>
                    <w:rPr>
                      <w:rFonts w:ascii="Times New Roman" w:hAnsi="Times New Roman" w:eastAsia="宋体"/>
                      <w:color w:val="000000"/>
                      <w:sz w:val="21"/>
                      <w:szCs w:val="21"/>
                    </w:rPr>
                    <w:t>)</w:t>
                  </w:r>
                </w:p>
              </w:tc>
              <w:tc>
                <w:tcPr>
                  <w:tcW w:w="738"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占标率(%)</w:t>
                  </w:r>
                </w:p>
              </w:tc>
              <w:tc>
                <w:tcPr>
                  <w:tcW w:w="675"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评价标准</w:t>
                  </w:r>
                  <w:r>
                    <w:rPr>
                      <w:rFonts w:ascii="Times New Roman" w:hAnsi="Times New Roman" w:eastAsia="宋体"/>
                      <w:color w:val="000000"/>
                      <w:sz w:val="21"/>
                      <w:szCs w:val="21"/>
                    </w:rPr>
                    <w:br w:type="textWrapping"/>
                  </w:r>
                  <w:r>
                    <w:rPr>
                      <w:rFonts w:ascii="Times New Roman" w:hAnsi="Times New Roman" w:eastAsia="宋体"/>
                      <w:color w:val="000000"/>
                      <w:sz w:val="21"/>
                      <w:szCs w:val="21"/>
                    </w:rPr>
                    <w:t>(µg/m</w:t>
                  </w:r>
                  <w:r>
                    <w:rPr>
                      <w:rFonts w:ascii="Times New Roman" w:hAnsi="Times New Roman" w:eastAsia="宋体"/>
                      <w:color w:val="000000"/>
                      <w:sz w:val="21"/>
                      <w:szCs w:val="21"/>
                      <w:vertAlign w:val="superscript"/>
                    </w:rPr>
                    <w:t>3</w:t>
                  </w:r>
                  <w:r>
                    <w:rPr>
                      <w:rFonts w:ascii="Times New Roman" w:hAnsi="Times New Roman" w:eastAsia="宋体"/>
                      <w:color w:val="000000"/>
                      <w:sz w:val="21"/>
                      <w:szCs w:val="21"/>
                    </w:rPr>
                    <w:t>)</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D</w:t>
                  </w:r>
                  <w:r>
                    <w:rPr>
                      <w:rFonts w:ascii="Times New Roman" w:hAnsi="Times New Roman" w:eastAsia="宋体"/>
                      <w:color w:val="000000"/>
                      <w:sz w:val="21"/>
                      <w:szCs w:val="21"/>
                      <w:vertAlign w:val="subscript"/>
                    </w:rPr>
                    <w:t>10%</w:t>
                  </w:r>
                  <w:r>
                    <w:rPr>
                      <w:rFonts w:ascii="Times New Roman" w:hAnsi="Times New Roman" w:eastAsia="宋体"/>
                      <w:color w:val="000000"/>
                      <w:sz w:val="21"/>
                      <w:szCs w:val="21"/>
                    </w:rPr>
                    <w:br w:type="textWrapping"/>
                  </w:r>
                  <w:r>
                    <w:rPr>
                      <w:rFonts w:ascii="Times New Roman" w:hAnsi="Times New Roman" w:eastAsia="宋体"/>
                      <w:color w:val="000000"/>
                      <w:sz w:val="21"/>
                      <w:szCs w:val="21"/>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厂房</w:t>
                  </w: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TSP</w:t>
                  </w:r>
                </w:p>
              </w:tc>
              <w:tc>
                <w:tcPr>
                  <w:tcW w:w="703" w:type="pct"/>
                  <w:shd w:val="clear" w:color="auto" w:fill="FFFFFF"/>
                  <w:noWrap w:val="0"/>
                  <w:vAlign w:val="center"/>
                </w:tcPr>
                <w:p>
                  <w:pPr>
                    <w:adjustRightInd w:val="0"/>
                    <w:snapToGrid w:val="0"/>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132</w:t>
                  </w:r>
                </w:p>
              </w:tc>
              <w:tc>
                <w:tcPr>
                  <w:tcW w:w="949" w:type="pct"/>
                  <w:shd w:val="clear" w:color="auto" w:fill="FFFFFF"/>
                  <w:noWrap w:val="0"/>
                  <w:vAlign w:val="center"/>
                </w:tcPr>
                <w:p>
                  <w:pPr>
                    <w:adjustRightInd w:val="0"/>
                    <w:snapToGrid w:val="0"/>
                    <w:spacing w:line="320" w:lineRule="exact"/>
                    <w:jc w:val="center"/>
                    <w:rPr>
                      <w:rFonts w:ascii="Times New Roman" w:hAnsi="Times New Roman" w:eastAsia="宋体"/>
                      <w:color w:val="000000"/>
                      <w:sz w:val="21"/>
                      <w:szCs w:val="21"/>
                    </w:rPr>
                  </w:pPr>
                  <w:r>
                    <w:rPr>
                      <w:rFonts w:hint="eastAsia" w:ascii="Times New Roman" w:hAnsi="Times New Roman"/>
                      <w:sz w:val="21"/>
                      <w:szCs w:val="21"/>
                    </w:rPr>
                    <w:t>6.47E-02</w:t>
                  </w:r>
                </w:p>
              </w:tc>
              <w:tc>
                <w:tcPr>
                  <w:tcW w:w="738" w:type="pct"/>
                  <w:shd w:val="clear" w:color="auto" w:fill="FFFFFF"/>
                  <w:noWrap w:val="0"/>
                  <w:vAlign w:val="center"/>
                </w:tcPr>
                <w:p>
                  <w:pPr>
                    <w:adjustRightInd w:val="0"/>
                    <w:snapToGrid w:val="0"/>
                    <w:spacing w:line="320" w:lineRule="exact"/>
                    <w:jc w:val="center"/>
                    <w:rPr>
                      <w:rFonts w:hint="default" w:ascii="Times New Roman" w:hAnsi="Times New Roman" w:eastAsia="宋体"/>
                      <w:color w:val="000000"/>
                      <w:sz w:val="21"/>
                      <w:szCs w:val="21"/>
                      <w:lang w:val="en-US" w:eastAsia="zh-CN"/>
                    </w:rPr>
                  </w:pPr>
                  <w:r>
                    <w:rPr>
                      <w:rFonts w:hint="eastAsia" w:ascii="Times New Roman" w:hAnsi="Times New Roman" w:eastAsia="宋体"/>
                      <w:sz w:val="21"/>
                      <w:szCs w:val="21"/>
                      <w:lang w:val="en-US" w:eastAsia="zh-CN"/>
                    </w:rPr>
                    <w:t>7.18</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shd w:val="clear" w:color="auto" w:fill="FFFFFF"/>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1</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TSP</w:t>
                  </w:r>
                </w:p>
              </w:tc>
              <w:tc>
                <w:tcPr>
                  <w:tcW w:w="703" w:type="pct"/>
                  <w:shd w:val="clear" w:color="auto" w:fill="FFFFFF"/>
                  <w:noWrap w:val="0"/>
                  <w:vAlign w:val="center"/>
                </w:tcPr>
                <w:p>
                  <w:pPr>
                    <w:adjustRightInd w:val="0"/>
                    <w:snapToGrid w:val="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123</w:t>
                  </w:r>
                </w:p>
              </w:tc>
              <w:tc>
                <w:tcPr>
                  <w:tcW w:w="949" w:type="pct"/>
                  <w:shd w:val="clear" w:color="auto" w:fill="FFFFFF"/>
                  <w:noWrap w:val="0"/>
                  <w:vAlign w:val="center"/>
                </w:tcPr>
                <w:p>
                  <w:pPr>
                    <w:adjustRightInd w:val="0"/>
                    <w:snapToGrid w:val="0"/>
                    <w:spacing w:line="320" w:lineRule="exact"/>
                    <w:jc w:val="center"/>
                    <w:rPr>
                      <w:rFonts w:ascii="Times New Roman" w:hAnsi="Times New Roman" w:eastAsia="宋体"/>
                      <w:color w:val="000000"/>
                      <w:sz w:val="21"/>
                      <w:szCs w:val="21"/>
                    </w:rPr>
                  </w:pPr>
                  <w:r>
                    <w:rPr>
                      <w:rFonts w:hint="eastAsia" w:ascii="Times New Roman" w:hAnsi="Times New Roman"/>
                      <w:sz w:val="21"/>
                      <w:szCs w:val="21"/>
                    </w:rPr>
                    <w:t>1.28E-03</w:t>
                  </w:r>
                </w:p>
              </w:tc>
              <w:tc>
                <w:tcPr>
                  <w:tcW w:w="738" w:type="pct"/>
                  <w:shd w:val="clear" w:color="auto" w:fill="FFFFFF"/>
                  <w:noWrap w:val="0"/>
                  <w:vAlign w:val="center"/>
                </w:tcPr>
                <w:p>
                  <w:pPr>
                    <w:adjustRightInd w:val="0"/>
                    <w:snapToGrid w:val="0"/>
                    <w:spacing w:line="320" w:lineRule="exact"/>
                    <w:jc w:val="center"/>
                    <w:rPr>
                      <w:rFonts w:hint="default" w:ascii="Times New Roman" w:hAnsi="Times New Roman" w:eastAsia="宋体"/>
                      <w:color w:val="000000"/>
                      <w:sz w:val="21"/>
                      <w:szCs w:val="21"/>
                      <w:lang w:val="en-US" w:eastAsia="zh-CN"/>
                    </w:rPr>
                  </w:pPr>
                  <w:r>
                    <w:rPr>
                      <w:rFonts w:hint="eastAsia"/>
                      <w:sz w:val="21"/>
                      <w:szCs w:val="21"/>
                      <w:lang w:val="en-US" w:eastAsia="zh-CN"/>
                    </w:rPr>
                    <w:t>0.14</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shd w:val="clear" w:color="auto" w:fill="FFFFFF"/>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2</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TSP</w:t>
                  </w:r>
                </w:p>
              </w:tc>
              <w:tc>
                <w:tcPr>
                  <w:tcW w:w="703" w:type="pct"/>
                  <w:shd w:val="clear" w:color="auto" w:fill="FFFFFF"/>
                  <w:noWrap w:val="0"/>
                  <w:vAlign w:val="center"/>
                </w:tcPr>
                <w:p>
                  <w:pPr>
                    <w:adjustRightInd w:val="0"/>
                    <w:snapToGrid w:val="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132</w:t>
                  </w:r>
                </w:p>
              </w:tc>
              <w:tc>
                <w:tcPr>
                  <w:tcW w:w="949" w:type="pct"/>
                  <w:shd w:val="clear" w:color="auto" w:fill="FFFFFF"/>
                  <w:noWrap w:val="0"/>
                  <w:vAlign w:val="center"/>
                </w:tcPr>
                <w:p>
                  <w:pPr>
                    <w:adjustRightInd w:val="0"/>
                    <w:snapToGrid w:val="0"/>
                    <w:spacing w:line="320" w:lineRule="exact"/>
                    <w:jc w:val="center"/>
                    <w:rPr>
                      <w:rFonts w:ascii="Times New Roman" w:hAnsi="Times New Roman" w:eastAsia="宋体"/>
                      <w:color w:val="000000"/>
                      <w:sz w:val="21"/>
                      <w:szCs w:val="21"/>
                    </w:rPr>
                  </w:pPr>
                  <w:r>
                    <w:rPr>
                      <w:rFonts w:hint="eastAsia" w:ascii="Times New Roman" w:hAnsi="Times New Roman"/>
                      <w:sz w:val="21"/>
                      <w:szCs w:val="21"/>
                    </w:rPr>
                    <w:t>1.54E-03</w:t>
                  </w:r>
                </w:p>
              </w:tc>
              <w:tc>
                <w:tcPr>
                  <w:tcW w:w="738" w:type="pct"/>
                  <w:shd w:val="clear" w:color="auto" w:fill="FFFFFF"/>
                  <w:noWrap w:val="0"/>
                  <w:vAlign w:val="center"/>
                </w:tcPr>
                <w:p>
                  <w:pPr>
                    <w:adjustRightInd w:val="0"/>
                    <w:snapToGrid w:val="0"/>
                    <w:spacing w:line="320" w:lineRule="exact"/>
                    <w:jc w:val="center"/>
                    <w:rPr>
                      <w:rFonts w:hint="default" w:ascii="Times New Roman" w:hAnsi="Times New Roman" w:eastAsia="宋体"/>
                      <w:color w:val="000000"/>
                      <w:sz w:val="21"/>
                      <w:szCs w:val="21"/>
                      <w:lang w:val="en-US" w:eastAsia="zh-CN"/>
                    </w:rPr>
                  </w:pPr>
                  <w:r>
                    <w:rPr>
                      <w:rFonts w:hint="eastAsia"/>
                      <w:sz w:val="21"/>
                      <w:szCs w:val="21"/>
                      <w:lang w:val="en-US" w:eastAsia="zh-CN"/>
                    </w:rPr>
                    <w:t>0.17</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shd w:val="clear" w:color="auto" w:fill="auto"/>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3</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TSP</w:t>
                  </w:r>
                </w:p>
              </w:tc>
              <w:tc>
                <w:tcPr>
                  <w:tcW w:w="703" w:type="pct"/>
                  <w:shd w:val="clear" w:color="auto" w:fill="FFFFFF"/>
                  <w:noWrap w:val="0"/>
                  <w:vAlign w:val="center"/>
                </w:tcPr>
                <w:p>
                  <w:pPr>
                    <w:adjustRightInd w:val="0"/>
                    <w:snapToGrid w:val="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43</w:t>
                  </w:r>
                </w:p>
              </w:tc>
              <w:tc>
                <w:tcPr>
                  <w:tcW w:w="949" w:type="pct"/>
                  <w:shd w:val="clear" w:color="auto" w:fill="FFFFFF"/>
                  <w:noWrap w:val="0"/>
                  <w:vAlign w:val="center"/>
                </w:tcPr>
                <w:p>
                  <w:pPr>
                    <w:adjustRightInd w:val="0"/>
                    <w:snapToGrid w:val="0"/>
                    <w:spacing w:line="320" w:lineRule="exact"/>
                    <w:jc w:val="center"/>
                    <w:rPr>
                      <w:rFonts w:ascii="Times New Roman" w:hAnsi="Times New Roman" w:eastAsia="宋体"/>
                      <w:color w:val="000000"/>
                      <w:sz w:val="21"/>
                      <w:szCs w:val="21"/>
                    </w:rPr>
                  </w:pPr>
                  <w:r>
                    <w:rPr>
                      <w:rFonts w:hint="eastAsia" w:ascii="Times New Roman" w:hAnsi="Times New Roman"/>
                      <w:sz w:val="21"/>
                      <w:szCs w:val="21"/>
                    </w:rPr>
                    <w:t>1.76E-03</w:t>
                  </w:r>
                </w:p>
              </w:tc>
              <w:tc>
                <w:tcPr>
                  <w:tcW w:w="738" w:type="pct"/>
                  <w:shd w:val="clear" w:color="auto" w:fill="FFFFFF"/>
                  <w:noWrap w:val="0"/>
                  <w:vAlign w:val="center"/>
                </w:tcPr>
                <w:p>
                  <w:pPr>
                    <w:adjustRightInd w:val="0"/>
                    <w:snapToGrid w:val="0"/>
                    <w:spacing w:line="320" w:lineRule="exact"/>
                    <w:jc w:val="center"/>
                    <w:rPr>
                      <w:rFonts w:hint="default" w:ascii="Times New Roman" w:hAnsi="Times New Roman" w:eastAsia="宋体"/>
                      <w:color w:val="000000"/>
                      <w:sz w:val="21"/>
                      <w:szCs w:val="21"/>
                      <w:lang w:val="en-US" w:eastAsia="zh-CN"/>
                    </w:rPr>
                  </w:pPr>
                  <w:r>
                    <w:rPr>
                      <w:rFonts w:hint="eastAsia"/>
                      <w:sz w:val="21"/>
                      <w:szCs w:val="21"/>
                      <w:lang w:val="en-US" w:eastAsia="zh-CN"/>
                    </w:rPr>
                    <w:t>0.20</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shd w:val="clear" w:color="auto" w:fill="auto"/>
                  <w:noWrap w:val="0"/>
                  <w:vAlign w:val="center"/>
                </w:tcPr>
                <w:p>
                  <w:pPr>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4</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TSP</w:t>
                  </w:r>
                </w:p>
              </w:tc>
              <w:tc>
                <w:tcPr>
                  <w:tcW w:w="703" w:type="pct"/>
                  <w:shd w:val="clear" w:color="auto" w:fill="FFFFFF"/>
                  <w:noWrap w:val="0"/>
                  <w:vAlign w:val="center"/>
                </w:tcPr>
                <w:p>
                  <w:pPr>
                    <w:adjustRightInd w:val="0"/>
                    <w:snapToGrid w:val="0"/>
                    <w:jc w:val="center"/>
                    <w:rPr>
                      <w:rFonts w:hint="default"/>
                      <w:color w:val="000000"/>
                      <w:sz w:val="21"/>
                      <w:szCs w:val="21"/>
                      <w:lang w:val="en-US" w:eastAsia="zh-CN"/>
                    </w:rPr>
                  </w:pPr>
                  <w:r>
                    <w:rPr>
                      <w:rFonts w:hint="eastAsia"/>
                      <w:color w:val="000000"/>
                      <w:sz w:val="21"/>
                      <w:szCs w:val="21"/>
                      <w:lang w:val="en-US" w:eastAsia="zh-CN"/>
                    </w:rPr>
                    <w:t>135</w:t>
                  </w:r>
                </w:p>
              </w:tc>
              <w:tc>
                <w:tcPr>
                  <w:tcW w:w="949" w:type="pct"/>
                  <w:shd w:val="clear" w:color="auto" w:fill="FFFFFF"/>
                  <w:noWrap w:val="0"/>
                  <w:vAlign w:val="center"/>
                </w:tcPr>
                <w:p>
                  <w:pPr>
                    <w:adjustRightInd w:val="0"/>
                    <w:snapToGrid w:val="0"/>
                    <w:spacing w:line="320" w:lineRule="exact"/>
                    <w:jc w:val="center"/>
                    <w:rPr>
                      <w:rFonts w:hint="eastAsia" w:ascii="Times New Roman" w:hAnsi="Times New Roman"/>
                      <w:sz w:val="21"/>
                      <w:szCs w:val="21"/>
                    </w:rPr>
                  </w:pPr>
                  <w:r>
                    <w:rPr>
                      <w:rFonts w:hint="eastAsia" w:ascii="Times New Roman" w:hAnsi="Times New Roman"/>
                      <w:sz w:val="21"/>
                      <w:szCs w:val="21"/>
                    </w:rPr>
                    <w:t>1.63E-03</w:t>
                  </w:r>
                </w:p>
              </w:tc>
              <w:tc>
                <w:tcPr>
                  <w:tcW w:w="738" w:type="pct"/>
                  <w:shd w:val="clear" w:color="auto" w:fill="FFFFFF"/>
                  <w:noWrap w:val="0"/>
                  <w:vAlign w:val="center"/>
                </w:tcPr>
                <w:p>
                  <w:pPr>
                    <w:adjustRightInd w:val="0"/>
                    <w:snapToGrid w:val="0"/>
                    <w:spacing w:line="320" w:lineRule="exact"/>
                    <w:jc w:val="center"/>
                    <w:rPr>
                      <w:rFonts w:hint="default"/>
                      <w:sz w:val="21"/>
                      <w:szCs w:val="21"/>
                      <w:lang w:val="en-US" w:eastAsia="zh-CN"/>
                    </w:rPr>
                  </w:pPr>
                  <w:r>
                    <w:rPr>
                      <w:rFonts w:hint="eastAsia"/>
                      <w:sz w:val="21"/>
                      <w:szCs w:val="21"/>
                      <w:lang w:val="en-US" w:eastAsia="zh-CN"/>
                    </w:rPr>
                    <w:t>0.18</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restart"/>
                  <w:shd w:val="clear" w:color="auto" w:fill="auto"/>
                  <w:noWrap w:val="0"/>
                  <w:vAlign w:val="center"/>
                </w:tcPr>
                <w:p>
                  <w:pPr>
                    <w:jc w:val="center"/>
                    <w:rPr>
                      <w:rFonts w:ascii="Times New Roman" w:hAnsi="Times New Roman" w:eastAsia="宋体"/>
                      <w:color w:val="000000"/>
                      <w:sz w:val="21"/>
                      <w:szCs w:val="21"/>
                    </w:rPr>
                  </w:pPr>
                  <w:r>
                    <w:rPr>
                      <w:rFonts w:hint="eastAsia"/>
                      <w:color w:val="000000"/>
                      <w:sz w:val="21"/>
                      <w:szCs w:val="21"/>
                      <w:lang w:val="en-US" w:eastAsia="zh-CN"/>
                    </w:rPr>
                    <w:t>5</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60" w:type="pct"/>
                  <w:shd w:val="clear" w:color="auto" w:fill="FFFFFF"/>
                  <w:noWrap w:val="0"/>
                  <w:vAlign w:val="center"/>
                </w:tcPr>
                <w:p>
                  <w:pPr>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SO</w:t>
                  </w:r>
                  <w:r>
                    <w:rPr>
                      <w:rFonts w:hint="eastAsia" w:ascii="Times New Roman" w:hAnsi="Times New Roman" w:eastAsia="宋体"/>
                      <w:color w:val="000000"/>
                      <w:sz w:val="21"/>
                      <w:szCs w:val="21"/>
                      <w:vertAlign w:val="subscript"/>
                      <w:lang w:val="en-US" w:eastAsia="zh-CN"/>
                    </w:rPr>
                    <w:t>2</w:t>
                  </w:r>
                </w:p>
              </w:tc>
              <w:tc>
                <w:tcPr>
                  <w:tcW w:w="703" w:type="pct"/>
                  <w:vMerge w:val="restart"/>
                  <w:shd w:val="clear" w:color="auto" w:fill="FFFFFF"/>
                  <w:noWrap w:val="0"/>
                  <w:vAlign w:val="center"/>
                </w:tcPr>
                <w:p>
                  <w:pPr>
                    <w:adjustRightInd w:val="0"/>
                    <w:snapToGrid w:val="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130</w:t>
                  </w:r>
                </w:p>
              </w:tc>
              <w:tc>
                <w:tcPr>
                  <w:tcW w:w="949" w:type="pct"/>
                  <w:shd w:val="clear" w:color="auto" w:fill="FFFFFF"/>
                  <w:noWrap w:val="0"/>
                  <w:vAlign w:val="center"/>
                </w:tcPr>
                <w:p>
                  <w:pPr>
                    <w:adjustRightInd w:val="0"/>
                    <w:snapToGrid w:val="0"/>
                    <w:spacing w:line="320" w:lineRule="exact"/>
                    <w:jc w:val="center"/>
                    <w:rPr>
                      <w:rFonts w:ascii="Times New Roman" w:hAnsi="Times New Roman" w:eastAsia="宋体"/>
                      <w:color w:val="000000"/>
                      <w:sz w:val="21"/>
                      <w:szCs w:val="21"/>
                    </w:rPr>
                  </w:pPr>
                  <w:r>
                    <w:rPr>
                      <w:rFonts w:hint="eastAsia" w:ascii="Times New Roman" w:hAnsi="Times New Roman"/>
                      <w:sz w:val="21"/>
                      <w:szCs w:val="21"/>
                    </w:rPr>
                    <w:t>4.12E-03</w:t>
                  </w:r>
                </w:p>
              </w:tc>
              <w:tc>
                <w:tcPr>
                  <w:tcW w:w="738" w:type="pct"/>
                  <w:shd w:val="clear" w:color="auto" w:fill="FFFFFF"/>
                  <w:noWrap w:val="0"/>
                  <w:vAlign w:val="center"/>
                </w:tcPr>
                <w:p>
                  <w:pPr>
                    <w:adjustRightInd w:val="0"/>
                    <w:snapToGrid w:val="0"/>
                    <w:spacing w:line="320" w:lineRule="exact"/>
                    <w:jc w:val="center"/>
                    <w:rPr>
                      <w:rFonts w:hint="default" w:ascii="Times New Roman" w:hAnsi="Times New Roman" w:eastAsia="宋体"/>
                      <w:color w:val="000000"/>
                      <w:sz w:val="21"/>
                      <w:szCs w:val="21"/>
                      <w:lang w:val="en-US" w:eastAsia="zh-CN"/>
                    </w:rPr>
                  </w:pPr>
                  <w:r>
                    <w:rPr>
                      <w:rFonts w:hint="eastAsia"/>
                    </w:rPr>
                    <w:t>0.83</w:t>
                  </w:r>
                </w:p>
              </w:tc>
              <w:tc>
                <w:tcPr>
                  <w:tcW w:w="675" w:type="pct"/>
                  <w:shd w:val="clear" w:color="auto" w:fill="FFFFFF"/>
                  <w:noWrap w:val="0"/>
                  <w:vAlign w:val="center"/>
                </w:tcPr>
                <w:p>
                  <w:pPr>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500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continue"/>
                  <w:shd w:val="clear" w:color="auto" w:fill="auto"/>
                  <w:noWrap w:val="0"/>
                  <w:vAlign w:val="center"/>
                </w:tcPr>
                <w:p>
                  <w:pPr>
                    <w:jc w:val="center"/>
                    <w:rPr>
                      <w:rFonts w:ascii="Times New Roman" w:hAnsi="Times New Roman" w:eastAsia="宋体"/>
                      <w:color w:val="000000"/>
                      <w:sz w:val="21"/>
                      <w:szCs w:val="21"/>
                    </w:rPr>
                  </w:pPr>
                </w:p>
              </w:tc>
              <w:tc>
                <w:tcPr>
                  <w:tcW w:w="760" w:type="pct"/>
                  <w:shd w:val="clear" w:color="auto" w:fill="FFFFFF"/>
                  <w:noWrap w:val="0"/>
                  <w:vAlign w:val="center"/>
                </w:tcPr>
                <w:p>
                  <w:pPr>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NOx</w:t>
                  </w:r>
                </w:p>
              </w:tc>
              <w:tc>
                <w:tcPr>
                  <w:tcW w:w="703" w:type="pct"/>
                  <w:vMerge w:val="continue"/>
                  <w:shd w:val="clear" w:color="auto" w:fill="FFFFFF"/>
                  <w:noWrap w:val="0"/>
                  <w:vAlign w:val="center"/>
                </w:tcPr>
                <w:p>
                  <w:pPr>
                    <w:adjustRightInd w:val="0"/>
                    <w:snapToGrid w:val="0"/>
                    <w:jc w:val="center"/>
                    <w:rPr>
                      <w:rFonts w:ascii="Times New Roman" w:hAnsi="Times New Roman" w:eastAsia="宋体"/>
                      <w:color w:val="000000"/>
                      <w:sz w:val="21"/>
                      <w:szCs w:val="21"/>
                    </w:rPr>
                  </w:pPr>
                </w:p>
              </w:tc>
              <w:tc>
                <w:tcPr>
                  <w:tcW w:w="949" w:type="pct"/>
                  <w:shd w:val="clear" w:color="auto" w:fill="FFFFFF"/>
                  <w:noWrap w:val="0"/>
                  <w:vAlign w:val="center"/>
                </w:tcPr>
                <w:p>
                  <w:pPr>
                    <w:adjustRightInd w:val="0"/>
                    <w:snapToGrid w:val="0"/>
                    <w:spacing w:line="32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1.34E-02</w:t>
                  </w:r>
                </w:p>
              </w:tc>
              <w:tc>
                <w:tcPr>
                  <w:tcW w:w="738" w:type="pct"/>
                  <w:shd w:val="clear" w:color="auto" w:fill="FFFFFF"/>
                  <w:noWrap w:val="0"/>
                  <w:vAlign w:val="center"/>
                </w:tcPr>
                <w:p>
                  <w:pPr>
                    <w:adjustRightInd w:val="0"/>
                    <w:snapToGrid w:val="0"/>
                    <w:spacing w:line="320" w:lineRule="exact"/>
                    <w:jc w:val="center"/>
                    <w:rPr>
                      <w:rFonts w:hint="default" w:ascii="Times New Roman" w:hAnsi="Times New Roman" w:eastAsia="宋体"/>
                      <w:color w:val="000000"/>
                      <w:sz w:val="21"/>
                      <w:szCs w:val="21"/>
                      <w:lang w:val="en-US" w:eastAsia="zh-CN"/>
                    </w:rPr>
                  </w:pPr>
                  <w:r>
                    <w:rPr>
                      <w:rFonts w:hint="eastAsia"/>
                    </w:rPr>
                    <w:t>6.71</w:t>
                  </w:r>
                </w:p>
              </w:tc>
              <w:tc>
                <w:tcPr>
                  <w:tcW w:w="675" w:type="pct"/>
                  <w:shd w:val="clear" w:color="auto" w:fill="FFFFFF"/>
                  <w:noWrap w:val="0"/>
                  <w:vAlign w:val="center"/>
                </w:tcPr>
                <w:p>
                  <w:pPr>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200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continue"/>
                  <w:shd w:val="clear" w:color="auto" w:fill="auto"/>
                  <w:noWrap w:val="0"/>
                  <w:vAlign w:val="center"/>
                </w:tcPr>
                <w:p>
                  <w:pPr>
                    <w:jc w:val="center"/>
                    <w:rPr>
                      <w:rFonts w:ascii="Times New Roman" w:hAnsi="Times New Roman" w:eastAsia="宋体"/>
                      <w:color w:val="000000"/>
                      <w:sz w:val="21"/>
                      <w:szCs w:val="21"/>
                    </w:rPr>
                  </w:pP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TSP</w:t>
                  </w:r>
                </w:p>
              </w:tc>
              <w:tc>
                <w:tcPr>
                  <w:tcW w:w="703" w:type="pct"/>
                  <w:vMerge w:val="continue"/>
                  <w:shd w:val="clear" w:color="auto" w:fill="FFFFFF"/>
                  <w:noWrap w:val="0"/>
                  <w:vAlign w:val="center"/>
                </w:tcPr>
                <w:p>
                  <w:pPr>
                    <w:adjustRightInd w:val="0"/>
                    <w:snapToGrid w:val="0"/>
                    <w:jc w:val="center"/>
                    <w:rPr>
                      <w:rFonts w:ascii="Times New Roman" w:hAnsi="Times New Roman" w:eastAsia="宋体"/>
                      <w:color w:val="000000"/>
                      <w:sz w:val="21"/>
                      <w:szCs w:val="21"/>
                    </w:rPr>
                  </w:pPr>
                </w:p>
              </w:tc>
              <w:tc>
                <w:tcPr>
                  <w:tcW w:w="949" w:type="pct"/>
                  <w:shd w:val="clear" w:color="auto" w:fill="FFFFFF"/>
                  <w:noWrap w:val="0"/>
                  <w:vAlign w:val="center"/>
                </w:tcPr>
                <w:p>
                  <w:pPr>
                    <w:adjustRightInd w:val="0"/>
                    <w:snapToGrid w:val="0"/>
                    <w:spacing w:line="320" w:lineRule="exact"/>
                    <w:jc w:val="center"/>
                    <w:rPr>
                      <w:rFonts w:ascii="Times New Roman" w:hAnsi="Times New Roman" w:eastAsia="宋体"/>
                      <w:color w:val="000000"/>
                      <w:sz w:val="21"/>
                      <w:szCs w:val="21"/>
                    </w:rPr>
                  </w:pPr>
                  <w:r>
                    <w:rPr>
                      <w:rFonts w:hint="eastAsia" w:ascii="Times New Roman" w:hAnsi="Times New Roman"/>
                      <w:sz w:val="21"/>
                      <w:szCs w:val="21"/>
                    </w:rPr>
                    <w:t>3.65E-03</w:t>
                  </w:r>
                </w:p>
              </w:tc>
              <w:tc>
                <w:tcPr>
                  <w:tcW w:w="738" w:type="pct"/>
                  <w:shd w:val="clear" w:color="auto" w:fill="FFFFFF"/>
                  <w:noWrap w:val="0"/>
                  <w:vAlign w:val="center"/>
                </w:tcPr>
                <w:p>
                  <w:pPr>
                    <w:adjustRightInd w:val="0"/>
                    <w:snapToGrid w:val="0"/>
                    <w:spacing w:line="320" w:lineRule="exact"/>
                    <w:jc w:val="center"/>
                    <w:rPr>
                      <w:rFonts w:hint="default" w:ascii="Times New Roman" w:hAnsi="Times New Roman" w:eastAsia="宋体"/>
                      <w:color w:val="000000"/>
                      <w:sz w:val="21"/>
                      <w:szCs w:val="21"/>
                      <w:lang w:val="en-US" w:eastAsia="zh-CN"/>
                    </w:rPr>
                  </w:pPr>
                  <w:r>
                    <w:rPr>
                      <w:rFonts w:hint="eastAsia"/>
                      <w:lang w:val="en-US" w:eastAsia="zh-CN"/>
                    </w:rPr>
                    <w:t>0.41</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restart"/>
                  <w:shd w:val="clear" w:color="auto" w:fill="auto"/>
                  <w:noWrap w:val="0"/>
                  <w:vAlign w:val="center"/>
                </w:tcPr>
                <w:p>
                  <w:pPr>
                    <w:jc w:val="center"/>
                    <w:rPr>
                      <w:rFonts w:ascii="Times New Roman" w:hAnsi="Times New Roman" w:eastAsia="宋体"/>
                      <w:color w:val="000000"/>
                      <w:sz w:val="21"/>
                      <w:szCs w:val="21"/>
                    </w:rPr>
                  </w:pPr>
                  <w:r>
                    <w:rPr>
                      <w:rFonts w:hint="eastAsia"/>
                      <w:color w:val="000000"/>
                      <w:sz w:val="21"/>
                      <w:szCs w:val="21"/>
                      <w:lang w:val="en-US" w:eastAsia="zh-CN"/>
                    </w:rPr>
                    <w:t>6</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SO</w:t>
                  </w:r>
                  <w:r>
                    <w:rPr>
                      <w:rFonts w:hint="eastAsia" w:ascii="Times New Roman" w:hAnsi="Times New Roman" w:eastAsia="宋体"/>
                      <w:color w:val="000000"/>
                      <w:sz w:val="21"/>
                      <w:szCs w:val="21"/>
                      <w:vertAlign w:val="subscript"/>
                      <w:lang w:val="en-US" w:eastAsia="zh-CN"/>
                    </w:rPr>
                    <w:t>2</w:t>
                  </w:r>
                </w:p>
              </w:tc>
              <w:tc>
                <w:tcPr>
                  <w:tcW w:w="703" w:type="pct"/>
                  <w:vMerge w:val="restart"/>
                  <w:shd w:val="clear" w:color="auto" w:fill="FFFFFF"/>
                  <w:noWrap w:val="0"/>
                  <w:vAlign w:val="center"/>
                </w:tcPr>
                <w:p>
                  <w:pPr>
                    <w:adjustRightInd w:val="0"/>
                    <w:snapToGrid w:val="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135</w:t>
                  </w:r>
                </w:p>
              </w:tc>
              <w:tc>
                <w:tcPr>
                  <w:tcW w:w="949" w:type="pct"/>
                  <w:shd w:val="clear" w:color="auto" w:fill="FFFFFF"/>
                  <w:noWrap w:val="0"/>
                  <w:vAlign w:val="center"/>
                </w:tcPr>
                <w:p>
                  <w:pPr>
                    <w:adjustRightInd w:val="0"/>
                    <w:snapToGrid w:val="0"/>
                    <w:spacing w:line="320" w:lineRule="exact"/>
                    <w:jc w:val="center"/>
                    <w:rPr>
                      <w:rFonts w:hint="eastAsia" w:ascii="Times New Roman" w:hAnsi="Times New Roman"/>
                      <w:sz w:val="21"/>
                      <w:szCs w:val="21"/>
                    </w:rPr>
                  </w:pPr>
                  <w:r>
                    <w:rPr>
                      <w:rFonts w:hint="eastAsia" w:ascii="Times New Roman" w:hAnsi="Times New Roman"/>
                      <w:sz w:val="21"/>
                      <w:szCs w:val="21"/>
                    </w:rPr>
                    <w:t>3.72E-03</w:t>
                  </w:r>
                </w:p>
              </w:tc>
              <w:tc>
                <w:tcPr>
                  <w:tcW w:w="738" w:type="pct"/>
                  <w:shd w:val="clear" w:color="auto" w:fill="FFFFFF"/>
                  <w:noWrap w:val="0"/>
                  <w:vAlign w:val="center"/>
                </w:tcPr>
                <w:p>
                  <w:pPr>
                    <w:adjustRightInd w:val="0"/>
                    <w:snapToGrid w:val="0"/>
                    <w:spacing w:line="320" w:lineRule="exact"/>
                    <w:jc w:val="center"/>
                    <w:rPr>
                      <w:rFonts w:hint="eastAsia"/>
                      <w:lang w:val="en-US" w:eastAsia="zh-CN"/>
                    </w:rPr>
                  </w:pPr>
                  <w:r>
                    <w:rPr>
                      <w:rFonts w:hint="eastAsia"/>
                      <w:lang w:val="en-US" w:eastAsia="zh-CN"/>
                    </w:rPr>
                    <w:t>0.74</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500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continue"/>
                  <w:shd w:val="clear" w:color="auto" w:fill="auto"/>
                  <w:noWrap w:val="0"/>
                  <w:vAlign w:val="center"/>
                </w:tcPr>
                <w:p>
                  <w:pPr>
                    <w:jc w:val="center"/>
                    <w:rPr>
                      <w:rFonts w:ascii="Times New Roman" w:hAnsi="Times New Roman" w:eastAsia="宋体"/>
                      <w:color w:val="000000"/>
                      <w:sz w:val="21"/>
                      <w:szCs w:val="21"/>
                    </w:rPr>
                  </w:pP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NOx</w:t>
                  </w:r>
                </w:p>
              </w:tc>
              <w:tc>
                <w:tcPr>
                  <w:tcW w:w="703" w:type="pct"/>
                  <w:vMerge w:val="continue"/>
                  <w:shd w:val="clear" w:color="auto" w:fill="FFFFFF"/>
                  <w:noWrap w:val="0"/>
                  <w:vAlign w:val="center"/>
                </w:tcPr>
                <w:p>
                  <w:pPr>
                    <w:adjustRightInd w:val="0"/>
                    <w:snapToGrid w:val="0"/>
                    <w:jc w:val="center"/>
                    <w:rPr>
                      <w:rFonts w:ascii="Times New Roman" w:hAnsi="Times New Roman" w:eastAsia="宋体"/>
                      <w:color w:val="000000"/>
                      <w:sz w:val="21"/>
                      <w:szCs w:val="21"/>
                    </w:rPr>
                  </w:pPr>
                </w:p>
              </w:tc>
              <w:tc>
                <w:tcPr>
                  <w:tcW w:w="949" w:type="pct"/>
                  <w:shd w:val="clear" w:color="auto" w:fill="FFFFFF"/>
                  <w:noWrap w:val="0"/>
                  <w:vAlign w:val="center"/>
                </w:tcPr>
                <w:p>
                  <w:pPr>
                    <w:adjustRightInd w:val="0"/>
                    <w:snapToGrid w:val="0"/>
                    <w:spacing w:line="320" w:lineRule="exact"/>
                    <w:jc w:val="center"/>
                    <w:rPr>
                      <w:rFonts w:hint="eastAsia" w:ascii="Times New Roman" w:hAnsi="Times New Roman"/>
                      <w:sz w:val="21"/>
                      <w:szCs w:val="21"/>
                    </w:rPr>
                  </w:pPr>
                  <w:r>
                    <w:rPr>
                      <w:rFonts w:hint="eastAsia" w:ascii="Times New Roman" w:hAnsi="Times New Roman"/>
                      <w:sz w:val="21"/>
                      <w:szCs w:val="21"/>
                    </w:rPr>
                    <w:t>1.21E-02</w:t>
                  </w:r>
                </w:p>
              </w:tc>
              <w:tc>
                <w:tcPr>
                  <w:tcW w:w="738" w:type="pct"/>
                  <w:shd w:val="clear" w:color="auto" w:fill="FFFFFF"/>
                  <w:noWrap w:val="0"/>
                  <w:vAlign w:val="center"/>
                </w:tcPr>
                <w:p>
                  <w:pPr>
                    <w:adjustRightInd w:val="0"/>
                    <w:snapToGrid w:val="0"/>
                    <w:spacing w:line="320" w:lineRule="exact"/>
                    <w:jc w:val="center"/>
                    <w:rPr>
                      <w:rFonts w:hint="eastAsia"/>
                      <w:lang w:val="en-US" w:eastAsia="zh-CN"/>
                    </w:rPr>
                  </w:pPr>
                  <w:r>
                    <w:rPr>
                      <w:rFonts w:hint="eastAsia"/>
                      <w:lang w:val="en-US" w:eastAsia="zh-CN"/>
                    </w:rPr>
                    <w:t>6.04</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200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continue"/>
                  <w:shd w:val="clear" w:color="auto" w:fill="auto"/>
                  <w:noWrap w:val="0"/>
                  <w:vAlign w:val="center"/>
                </w:tcPr>
                <w:p>
                  <w:pPr>
                    <w:jc w:val="center"/>
                    <w:rPr>
                      <w:rFonts w:ascii="Times New Roman" w:hAnsi="Times New Roman" w:eastAsia="宋体"/>
                      <w:color w:val="000000"/>
                      <w:sz w:val="21"/>
                      <w:szCs w:val="21"/>
                    </w:rPr>
                  </w:pPr>
                </w:p>
              </w:tc>
              <w:tc>
                <w:tcPr>
                  <w:tcW w:w="760"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TSP</w:t>
                  </w:r>
                </w:p>
              </w:tc>
              <w:tc>
                <w:tcPr>
                  <w:tcW w:w="703" w:type="pct"/>
                  <w:vMerge w:val="continue"/>
                  <w:shd w:val="clear" w:color="auto" w:fill="FFFFFF"/>
                  <w:noWrap w:val="0"/>
                  <w:vAlign w:val="center"/>
                </w:tcPr>
                <w:p>
                  <w:pPr>
                    <w:adjustRightInd w:val="0"/>
                    <w:snapToGrid w:val="0"/>
                    <w:jc w:val="center"/>
                    <w:rPr>
                      <w:rFonts w:ascii="Times New Roman" w:hAnsi="Times New Roman" w:eastAsia="宋体"/>
                      <w:color w:val="000000"/>
                      <w:sz w:val="21"/>
                      <w:szCs w:val="21"/>
                    </w:rPr>
                  </w:pPr>
                </w:p>
              </w:tc>
              <w:tc>
                <w:tcPr>
                  <w:tcW w:w="949" w:type="pct"/>
                  <w:shd w:val="clear" w:color="auto" w:fill="FFFFFF"/>
                  <w:noWrap w:val="0"/>
                  <w:vAlign w:val="center"/>
                </w:tcPr>
                <w:p>
                  <w:pPr>
                    <w:adjustRightInd w:val="0"/>
                    <w:snapToGrid w:val="0"/>
                    <w:spacing w:line="320" w:lineRule="exact"/>
                    <w:jc w:val="center"/>
                    <w:rPr>
                      <w:rFonts w:hint="eastAsia" w:ascii="Times New Roman" w:hAnsi="Times New Roman"/>
                      <w:sz w:val="21"/>
                      <w:szCs w:val="21"/>
                    </w:rPr>
                  </w:pPr>
                  <w:r>
                    <w:rPr>
                      <w:rFonts w:hint="eastAsia" w:ascii="Times New Roman" w:hAnsi="Times New Roman"/>
                      <w:sz w:val="21"/>
                      <w:szCs w:val="21"/>
                    </w:rPr>
                    <w:t>3.30E-03</w:t>
                  </w:r>
                </w:p>
              </w:tc>
              <w:tc>
                <w:tcPr>
                  <w:tcW w:w="738" w:type="pct"/>
                  <w:shd w:val="clear" w:color="auto" w:fill="FFFFFF"/>
                  <w:noWrap w:val="0"/>
                  <w:vAlign w:val="center"/>
                </w:tcPr>
                <w:p>
                  <w:pPr>
                    <w:adjustRightInd w:val="0"/>
                    <w:snapToGrid w:val="0"/>
                    <w:spacing w:line="320" w:lineRule="exact"/>
                    <w:jc w:val="center"/>
                    <w:rPr>
                      <w:rFonts w:hint="eastAsia"/>
                      <w:lang w:val="en-US" w:eastAsia="zh-CN"/>
                    </w:rPr>
                  </w:pPr>
                  <w:r>
                    <w:rPr>
                      <w:rFonts w:hint="eastAsia"/>
                      <w:lang w:val="en-US" w:eastAsia="zh-CN"/>
                    </w:rPr>
                    <w:t>0.37</w:t>
                  </w:r>
                </w:p>
              </w:tc>
              <w:tc>
                <w:tcPr>
                  <w:tcW w:w="675" w:type="pct"/>
                  <w:shd w:val="clear" w:color="auto" w:fill="FFFFFF"/>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900</w:t>
                  </w:r>
                </w:p>
              </w:tc>
              <w:tc>
                <w:tcPr>
                  <w:tcW w:w="484" w:type="pct"/>
                  <w:shd w:val="clear" w:color="auto" w:fill="FFFFFF"/>
                  <w:noWrap w:val="0"/>
                  <w:vAlign w:val="center"/>
                </w:tcPr>
                <w:p>
                  <w:pPr>
                    <w:adjustRightInd w:val="0"/>
                    <w:snapToGrid w:val="0"/>
                    <w:jc w:val="center"/>
                    <w:rPr>
                      <w:rFonts w:ascii="Times New Roman" w:hAnsi="Times New Roman" w:eastAsia="宋体"/>
                      <w:color w:val="000000"/>
                      <w:sz w:val="21"/>
                      <w:szCs w:val="21"/>
                    </w:rPr>
                  </w:pPr>
                  <w:r>
                    <w:rPr>
                      <w:rFonts w:ascii="Times New Roman" w:hAnsi="Times New Roman" w:eastAsia="宋体"/>
                      <w:color w:val="000000"/>
                      <w:sz w:val="21"/>
                      <w:szCs w:val="21"/>
                    </w:rPr>
                    <w:t>未出现</w:t>
                  </w:r>
                </w:p>
              </w:tc>
            </w:tr>
          </w:tbl>
          <w:p>
            <w:pPr>
              <w:pStyle w:val="76"/>
              <w:adjustRightInd w:val="0"/>
              <w:ind w:firstLine="480"/>
              <w:rPr>
                <w:rFonts w:ascii="Times New Roman" w:hAnsi="Times New Roman" w:eastAsia="宋体"/>
                <w:color w:val="000000"/>
                <w:szCs w:val="24"/>
              </w:rPr>
            </w:pPr>
            <w:r>
              <w:rPr>
                <w:rFonts w:ascii="Times New Roman" w:hAnsi="Times New Roman" w:eastAsia="宋体"/>
                <w:color w:val="000000"/>
                <w:szCs w:val="24"/>
              </w:rPr>
              <w:t>计算结果分析：</w:t>
            </w:r>
          </w:p>
          <w:p>
            <w:pPr>
              <w:pStyle w:val="76"/>
              <w:adjustRightInd w:val="0"/>
              <w:ind w:firstLine="480"/>
              <w:rPr>
                <w:rFonts w:ascii="Times New Roman" w:hAnsi="Times New Roman" w:eastAsia="宋体"/>
                <w:color w:val="000000"/>
                <w:szCs w:val="24"/>
              </w:rPr>
            </w:pPr>
            <w:r>
              <w:rPr>
                <w:rFonts w:ascii="Times New Roman" w:hAnsi="Times New Roman" w:eastAsia="宋体"/>
                <w:color w:val="000000"/>
                <w:szCs w:val="24"/>
              </w:rPr>
              <w:t>项目Pmax最大值为厂房排放的TSP</w:t>
            </w:r>
            <w:r>
              <w:rPr>
                <w:rFonts w:hint="eastAsia" w:ascii="Times New Roman" w:hAnsi="Times New Roman" w:eastAsia="宋体"/>
                <w:color w:val="000000"/>
                <w:szCs w:val="24"/>
              </w:rPr>
              <w:t>，</w:t>
            </w:r>
            <w:r>
              <w:rPr>
                <w:rFonts w:ascii="Times New Roman" w:hAnsi="Times New Roman" w:eastAsia="宋体"/>
                <w:color w:val="000000"/>
                <w:szCs w:val="24"/>
              </w:rPr>
              <w:t>Pmax值为</w:t>
            </w:r>
            <w:r>
              <w:rPr>
                <w:rFonts w:hint="eastAsia"/>
                <w:color w:val="000000"/>
                <w:szCs w:val="24"/>
                <w:lang w:val="en-US" w:eastAsia="zh-CN"/>
              </w:rPr>
              <w:t>7.18</w:t>
            </w:r>
            <w:r>
              <w:rPr>
                <w:rFonts w:ascii="Times New Roman" w:hAnsi="Times New Roman" w:eastAsia="宋体"/>
                <w:color w:val="000000"/>
                <w:szCs w:val="24"/>
              </w:rPr>
              <w:t>%，根据《环境影响评价技术导则 大气环境》（HJ2.2-2018）分级判据，确定本项目大气环境影响评价工作等级为二级。二级评价项目不进行进一步预测和评价，只需对污染物排放量进行核算。</w:t>
            </w:r>
          </w:p>
          <w:p>
            <w:pPr>
              <w:spacing w:line="360" w:lineRule="auto"/>
              <w:jc w:val="center"/>
              <w:rPr>
                <w:rFonts w:ascii="Times New Roman" w:hAnsi="Times New Roman" w:eastAsia="宋体"/>
                <w:b/>
                <w:color w:val="000000"/>
                <w:sz w:val="24"/>
              </w:rPr>
            </w:pPr>
            <w:r>
              <w:rPr>
                <w:rFonts w:ascii="Times New Roman" w:hAnsi="Times New Roman" w:eastAsia="宋体"/>
                <w:b/>
                <w:color w:val="000000"/>
                <w:sz w:val="24"/>
              </w:rPr>
              <w:t>表7-</w:t>
            </w:r>
            <w:r>
              <w:rPr>
                <w:rFonts w:hint="eastAsia" w:ascii="Times New Roman" w:hAnsi="Times New Roman" w:eastAsia="宋体"/>
                <w:b/>
                <w:color w:val="000000"/>
                <w:sz w:val="24"/>
              </w:rPr>
              <w:t>5</w:t>
            </w:r>
            <w:r>
              <w:rPr>
                <w:rFonts w:ascii="Times New Roman" w:hAnsi="Times New Roman" w:eastAsia="宋体"/>
                <w:b/>
                <w:color w:val="000000"/>
                <w:sz w:val="24"/>
              </w:rPr>
              <w:t xml:space="preserve">  大气污染物有组织排放量核算表</w:t>
            </w:r>
          </w:p>
          <w:tbl>
            <w:tblPr>
              <w:tblStyle w:val="2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2"/>
              <w:gridCol w:w="1326"/>
              <w:gridCol w:w="1198"/>
              <w:gridCol w:w="1102"/>
              <w:gridCol w:w="1195"/>
              <w:gridCol w:w="1766"/>
              <w:gridCol w:w="113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350"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序号</w:t>
                  </w:r>
                </w:p>
              </w:tc>
              <w:tc>
                <w:tcPr>
                  <w:tcW w:w="798"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排放口编号</w:t>
                  </w:r>
                </w:p>
              </w:tc>
              <w:tc>
                <w:tcPr>
                  <w:tcW w:w="721"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产污环节</w:t>
                  </w:r>
                </w:p>
              </w:tc>
              <w:tc>
                <w:tcPr>
                  <w:tcW w:w="663"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污染物</w:t>
                  </w:r>
                </w:p>
              </w:tc>
              <w:tc>
                <w:tcPr>
                  <w:tcW w:w="719"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排放浓度（mg/m</w:t>
                  </w:r>
                  <w:r>
                    <w:rPr>
                      <w:rFonts w:ascii="Times New Roman" w:hAnsi="Times New Roman" w:eastAsia="宋体"/>
                      <w:color w:val="000000"/>
                      <w:sz w:val="21"/>
                      <w:szCs w:val="21"/>
                      <w:vertAlign w:val="superscript"/>
                    </w:rPr>
                    <w:t>3</w:t>
                  </w:r>
                  <w:r>
                    <w:rPr>
                      <w:rFonts w:ascii="Times New Roman" w:hAnsi="Times New Roman" w:eastAsia="宋体"/>
                      <w:color w:val="000000"/>
                      <w:sz w:val="21"/>
                      <w:szCs w:val="21"/>
                    </w:rPr>
                    <w:t>）</w:t>
                  </w:r>
                </w:p>
              </w:tc>
              <w:tc>
                <w:tcPr>
                  <w:tcW w:w="1063"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排放速率（kg/h）</w:t>
                  </w:r>
                </w:p>
              </w:tc>
              <w:tc>
                <w:tcPr>
                  <w:tcW w:w="684"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年排放量(t/a)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350"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798" w:type="pct"/>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1</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21" w:type="pct"/>
                  <w:noWrap w:val="0"/>
                  <w:vAlign w:val="center"/>
                </w:tcPr>
                <w:p>
                  <w:pPr>
                    <w:ind w:left="-105" w:leftChars="-50" w:right="-105" w:rightChars="-50"/>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上料配料及缓冲仓</w:t>
                  </w:r>
                </w:p>
              </w:tc>
              <w:tc>
                <w:tcPr>
                  <w:tcW w:w="663" w:type="pct"/>
                  <w:noWrap w:val="0"/>
                  <w:vAlign w:val="center"/>
                </w:tcPr>
                <w:p>
                  <w:pPr>
                    <w:ind w:left="-105" w:leftChars="-50" w:right="-105" w:rightChars="-50"/>
                    <w:jc w:val="center"/>
                    <w:rPr>
                      <w:rFonts w:ascii="Times New Roman" w:hAnsi="Times New Roman" w:eastAsia="宋体"/>
                      <w:color w:val="000000"/>
                      <w:sz w:val="21"/>
                      <w:szCs w:val="21"/>
                    </w:rPr>
                  </w:pPr>
                  <w:r>
                    <w:rPr>
                      <w:rFonts w:ascii="Times New Roman" w:hAnsi="Times New Roman" w:eastAsia="宋体"/>
                      <w:color w:val="000000"/>
                      <w:kern w:val="0"/>
                      <w:sz w:val="21"/>
                      <w:szCs w:val="21"/>
                    </w:rPr>
                    <w:t>颗粒物</w:t>
                  </w:r>
                </w:p>
              </w:tc>
              <w:tc>
                <w:tcPr>
                  <w:tcW w:w="719"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12</w:t>
                  </w:r>
                </w:p>
              </w:tc>
              <w:tc>
                <w:tcPr>
                  <w:tcW w:w="1063"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0.21</w:t>
                  </w:r>
                </w:p>
              </w:tc>
              <w:tc>
                <w:tcPr>
                  <w:tcW w:w="684"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50"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3</w:t>
                  </w:r>
                </w:p>
              </w:tc>
              <w:tc>
                <w:tcPr>
                  <w:tcW w:w="798" w:type="pct"/>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2</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21" w:type="pct"/>
                  <w:noWrap w:val="0"/>
                  <w:vAlign w:val="center"/>
                </w:tcPr>
                <w:p>
                  <w:pPr>
                    <w:ind w:left="-105" w:leftChars="-50" w:right="-105" w:rightChars="-50"/>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废砖破碎</w:t>
                  </w:r>
                </w:p>
              </w:tc>
              <w:tc>
                <w:tcPr>
                  <w:tcW w:w="663" w:type="pct"/>
                  <w:noWrap w:val="0"/>
                  <w:vAlign w:val="center"/>
                </w:tcPr>
                <w:p>
                  <w:pPr>
                    <w:ind w:left="-105" w:leftChars="-50" w:right="-105" w:rightChars="-50"/>
                    <w:jc w:val="center"/>
                    <w:rPr>
                      <w:rFonts w:ascii="Times New Roman" w:hAnsi="Times New Roman" w:eastAsia="宋体"/>
                      <w:color w:val="000000"/>
                      <w:sz w:val="21"/>
                      <w:szCs w:val="21"/>
                      <w:lang w:val="en-GB"/>
                    </w:rPr>
                  </w:pPr>
                  <w:r>
                    <w:rPr>
                      <w:rFonts w:ascii="Times New Roman" w:hAnsi="Times New Roman" w:eastAsia="宋体"/>
                      <w:color w:val="000000"/>
                      <w:kern w:val="0"/>
                      <w:sz w:val="21"/>
                      <w:szCs w:val="21"/>
                    </w:rPr>
                    <w:t>颗粒物</w:t>
                  </w:r>
                </w:p>
              </w:tc>
              <w:tc>
                <w:tcPr>
                  <w:tcW w:w="719"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13</w:t>
                  </w:r>
                </w:p>
              </w:tc>
              <w:tc>
                <w:tcPr>
                  <w:tcW w:w="1063"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0.3</w:t>
                  </w:r>
                </w:p>
              </w:tc>
              <w:tc>
                <w:tcPr>
                  <w:tcW w:w="684"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2.38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50"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4</w:t>
                  </w:r>
                </w:p>
              </w:tc>
              <w:tc>
                <w:tcPr>
                  <w:tcW w:w="798" w:type="pct"/>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lang w:val="en-US" w:eastAsia="zh-CN"/>
                    </w:rPr>
                    <w:t>3</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21" w:type="pct"/>
                  <w:noWrap w:val="0"/>
                  <w:vAlign w:val="center"/>
                </w:tcPr>
                <w:p>
                  <w:pPr>
                    <w:ind w:left="-105" w:leftChars="-50" w:right="-105" w:rightChars="-50"/>
                    <w:jc w:val="center"/>
                    <w:rPr>
                      <w:rFonts w:hint="eastAsia" w:ascii="Times New Roman" w:hAnsi="Times New Roman" w:eastAsia="宋体"/>
                      <w:color w:val="000000"/>
                      <w:sz w:val="21"/>
                      <w:szCs w:val="21"/>
                      <w:lang w:eastAsia="zh-CN"/>
                    </w:rPr>
                  </w:pPr>
                  <w:r>
                    <w:rPr>
                      <w:rFonts w:hint="eastAsia" w:ascii="Times New Roman" w:hAnsi="Times New Roman" w:eastAsia="宋体"/>
                      <w:color w:val="000000"/>
                      <w:sz w:val="21"/>
                      <w:szCs w:val="21"/>
                      <w:lang w:val="en-US" w:eastAsia="zh-CN"/>
                    </w:rPr>
                    <w:t>压砖机</w:t>
                  </w:r>
                </w:p>
              </w:tc>
              <w:tc>
                <w:tcPr>
                  <w:tcW w:w="663" w:type="pct"/>
                  <w:noWrap w:val="0"/>
                  <w:vAlign w:val="center"/>
                </w:tcPr>
                <w:p>
                  <w:pPr>
                    <w:ind w:left="-105" w:leftChars="-50" w:right="-105" w:rightChars="-50"/>
                    <w:jc w:val="center"/>
                    <w:rPr>
                      <w:rFonts w:ascii="Times New Roman" w:hAnsi="Times New Roman" w:eastAsia="宋体"/>
                      <w:color w:val="000000"/>
                      <w:sz w:val="21"/>
                      <w:szCs w:val="21"/>
                      <w:lang w:val="en-GB"/>
                    </w:rPr>
                  </w:pPr>
                  <w:r>
                    <w:rPr>
                      <w:rFonts w:ascii="Times New Roman" w:hAnsi="Times New Roman" w:eastAsia="宋体"/>
                      <w:color w:val="000000"/>
                      <w:kern w:val="0"/>
                      <w:sz w:val="21"/>
                      <w:szCs w:val="21"/>
                    </w:rPr>
                    <w:t>颗粒物</w:t>
                  </w:r>
                </w:p>
              </w:tc>
              <w:tc>
                <w:tcPr>
                  <w:tcW w:w="719"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24</w:t>
                  </w:r>
                </w:p>
              </w:tc>
              <w:tc>
                <w:tcPr>
                  <w:tcW w:w="1063"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0.18</w:t>
                  </w:r>
                </w:p>
              </w:tc>
              <w:tc>
                <w:tcPr>
                  <w:tcW w:w="684"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1.43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67" w:hRule="atLeast"/>
                <w:jc w:val="center"/>
              </w:trPr>
              <w:tc>
                <w:tcPr>
                  <w:tcW w:w="350" w:type="pct"/>
                  <w:noWrap w:val="0"/>
                  <w:vAlign w:val="center"/>
                </w:tcPr>
                <w:p>
                  <w:pPr>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5</w:t>
                  </w:r>
                </w:p>
              </w:tc>
              <w:tc>
                <w:tcPr>
                  <w:tcW w:w="798" w:type="pct"/>
                  <w:noWrap w:val="0"/>
                  <w:vAlign w:val="center"/>
                </w:tcPr>
                <w:p>
                  <w:pPr>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4</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21" w:type="pct"/>
                  <w:noWrap w:val="0"/>
                  <w:vAlign w:val="center"/>
                </w:tcPr>
                <w:p>
                  <w:pPr>
                    <w:ind w:left="-105" w:leftChars="-50" w:right="-105" w:rightChars="-5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干燥窑</w:t>
                  </w:r>
                </w:p>
              </w:tc>
              <w:tc>
                <w:tcPr>
                  <w:tcW w:w="663" w:type="pct"/>
                  <w:noWrap w:val="0"/>
                  <w:vAlign w:val="center"/>
                </w:tcPr>
                <w:p>
                  <w:pPr>
                    <w:ind w:left="-105" w:leftChars="-50" w:right="-105" w:rightChars="-50"/>
                    <w:jc w:val="center"/>
                    <w:rPr>
                      <w:rFonts w:hint="eastAsia" w:ascii="Times New Roman" w:hAnsi="Times New Roman" w:eastAsia="宋体"/>
                      <w:color w:val="000000"/>
                      <w:kern w:val="0"/>
                      <w:sz w:val="21"/>
                      <w:szCs w:val="21"/>
                      <w:lang w:val="en-US" w:eastAsia="zh-CN"/>
                    </w:rPr>
                  </w:pPr>
                  <w:r>
                    <w:rPr>
                      <w:rFonts w:hint="eastAsia"/>
                      <w:color w:val="000000"/>
                      <w:kern w:val="0"/>
                      <w:sz w:val="21"/>
                      <w:szCs w:val="21"/>
                      <w:lang w:val="en-US" w:eastAsia="zh-CN"/>
                    </w:rPr>
                    <w:t>颗粒物</w:t>
                  </w:r>
                </w:p>
              </w:tc>
              <w:tc>
                <w:tcPr>
                  <w:tcW w:w="719"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11.67</w:t>
                  </w:r>
                </w:p>
              </w:tc>
              <w:tc>
                <w:tcPr>
                  <w:tcW w:w="1063"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0.35</w:t>
                  </w:r>
                </w:p>
              </w:tc>
              <w:tc>
                <w:tcPr>
                  <w:tcW w:w="684"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3.066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50" w:type="pct"/>
                  <w:noWrap w:val="0"/>
                  <w:vAlign w:val="center"/>
                </w:tcPr>
                <w:p>
                  <w:pPr>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6</w:t>
                  </w:r>
                </w:p>
              </w:tc>
              <w:tc>
                <w:tcPr>
                  <w:tcW w:w="798" w:type="pct"/>
                  <w:vMerge w:val="restart"/>
                  <w:noWrap w:val="0"/>
                  <w:vAlign w:val="center"/>
                </w:tcPr>
                <w:p>
                  <w:pPr>
                    <w:jc w:val="center"/>
                    <w:rPr>
                      <w:rFonts w:ascii="Times New Roman" w:hAnsi="Times New Roman" w:eastAsia="宋体"/>
                      <w:color w:val="000000"/>
                      <w:sz w:val="21"/>
                      <w:szCs w:val="21"/>
                    </w:rPr>
                  </w:pPr>
                  <w:r>
                    <w:rPr>
                      <w:rFonts w:hint="eastAsia"/>
                      <w:color w:val="000000"/>
                      <w:sz w:val="21"/>
                      <w:szCs w:val="21"/>
                      <w:lang w:val="en-US" w:eastAsia="zh-CN"/>
                    </w:rPr>
                    <w:t>5</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21" w:type="pct"/>
                  <w:vMerge w:val="restart"/>
                  <w:noWrap w:val="0"/>
                  <w:vAlign w:val="center"/>
                </w:tcPr>
                <w:p>
                  <w:pPr>
                    <w:ind w:left="-105" w:leftChars="-50" w:right="-105" w:rightChars="-50"/>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1#</w:t>
                  </w:r>
                  <w:r>
                    <w:rPr>
                      <w:rFonts w:hint="eastAsia" w:ascii="Times New Roman" w:hAnsi="Times New Roman" w:eastAsia="宋体"/>
                      <w:color w:val="000000"/>
                      <w:sz w:val="21"/>
                      <w:szCs w:val="21"/>
                      <w:lang w:val="en-US" w:eastAsia="zh-CN"/>
                    </w:rPr>
                    <w:t>隧道窑</w:t>
                  </w:r>
                </w:p>
              </w:tc>
              <w:tc>
                <w:tcPr>
                  <w:tcW w:w="663" w:type="pct"/>
                  <w:noWrap w:val="0"/>
                  <w:vAlign w:val="center"/>
                </w:tcPr>
                <w:p>
                  <w:pPr>
                    <w:ind w:left="-105" w:leftChars="-50" w:right="-105" w:rightChars="-50"/>
                    <w:jc w:val="center"/>
                    <w:rPr>
                      <w:rFonts w:hint="eastAsia" w:ascii="Times New Roman" w:hAnsi="Times New Roman" w:eastAsia="宋体"/>
                      <w:color w:val="000000"/>
                      <w:sz w:val="21"/>
                      <w:szCs w:val="21"/>
                      <w:lang w:val="en-GB" w:eastAsia="zh-CN"/>
                    </w:rPr>
                  </w:pPr>
                  <w:r>
                    <w:rPr>
                      <w:rFonts w:hint="eastAsia" w:ascii="Times New Roman" w:hAnsi="Times New Roman" w:eastAsia="宋体"/>
                      <w:color w:val="000000"/>
                      <w:kern w:val="0"/>
                      <w:sz w:val="21"/>
                      <w:szCs w:val="21"/>
                      <w:lang w:val="en-US" w:eastAsia="zh-CN"/>
                    </w:rPr>
                    <w:t>二氧化硫</w:t>
                  </w:r>
                </w:p>
              </w:tc>
              <w:tc>
                <w:tcPr>
                  <w:tcW w:w="719"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32</w:t>
                  </w:r>
                </w:p>
              </w:tc>
              <w:tc>
                <w:tcPr>
                  <w:tcW w:w="1063" w:type="pct"/>
                  <w:noWrap w:val="0"/>
                  <w:vAlign w:val="center"/>
                </w:tcPr>
                <w:p>
                  <w:pPr>
                    <w:jc w:val="center"/>
                    <w:rPr>
                      <w:rFonts w:hint="default" w:ascii="Times New Roman" w:hAnsi="Times New Roman" w:eastAsia="宋体"/>
                      <w:color w:val="000000"/>
                      <w:sz w:val="21"/>
                      <w:szCs w:val="21"/>
                      <w:lang w:val="en-US" w:eastAsia="zh-CN"/>
                    </w:rPr>
                  </w:pPr>
                  <w:r>
                    <w:rPr>
                      <w:rFonts w:hint="eastAsia" w:eastAsia="等线"/>
                      <w:color w:val="000000"/>
                      <w:kern w:val="0"/>
                      <w:sz w:val="22"/>
                      <w:szCs w:val="22"/>
                      <w:lang w:val="en-US" w:eastAsia="zh-CN"/>
                    </w:rPr>
                    <w:t>0.8</w:t>
                  </w:r>
                </w:p>
              </w:tc>
              <w:tc>
                <w:tcPr>
                  <w:tcW w:w="684" w:type="pct"/>
                  <w:noWrap w:val="0"/>
                  <w:vAlign w:val="center"/>
                </w:tcPr>
                <w:p>
                  <w:pPr>
                    <w:jc w:val="center"/>
                    <w:rPr>
                      <w:rFonts w:hint="default" w:ascii="Times New Roman" w:hAnsi="Times New Roman" w:eastAsia="宋体"/>
                      <w:color w:val="000000"/>
                      <w:sz w:val="21"/>
                      <w:szCs w:val="21"/>
                      <w:lang w:val="en-US" w:eastAsia="zh-CN"/>
                    </w:rPr>
                  </w:pPr>
                  <w:r>
                    <w:rPr>
                      <w:rFonts w:hint="eastAsia" w:eastAsia="等线"/>
                      <w:color w:val="000000"/>
                      <w:kern w:val="0"/>
                      <w:sz w:val="22"/>
                      <w:szCs w:val="22"/>
                      <w:lang w:val="en-US" w:eastAsia="zh-CN"/>
                    </w:rPr>
                    <w:t>7.01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50" w:type="pct"/>
                  <w:noWrap w:val="0"/>
                  <w:vAlign w:val="center"/>
                </w:tcPr>
                <w:p>
                  <w:pPr>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7</w:t>
                  </w:r>
                </w:p>
              </w:tc>
              <w:tc>
                <w:tcPr>
                  <w:tcW w:w="798" w:type="pct"/>
                  <w:vMerge w:val="continue"/>
                  <w:noWrap w:val="0"/>
                  <w:vAlign w:val="center"/>
                </w:tcPr>
                <w:p>
                  <w:pPr>
                    <w:jc w:val="center"/>
                    <w:rPr>
                      <w:rFonts w:ascii="Times New Roman" w:hAnsi="Times New Roman" w:eastAsia="宋体"/>
                      <w:color w:val="000000"/>
                      <w:sz w:val="21"/>
                      <w:szCs w:val="21"/>
                    </w:rPr>
                  </w:pPr>
                </w:p>
              </w:tc>
              <w:tc>
                <w:tcPr>
                  <w:tcW w:w="721" w:type="pct"/>
                  <w:vMerge w:val="continue"/>
                  <w:noWrap w:val="0"/>
                  <w:vAlign w:val="center"/>
                </w:tcPr>
                <w:p>
                  <w:pPr>
                    <w:ind w:left="-105" w:leftChars="-50" w:right="-105" w:rightChars="-50"/>
                    <w:jc w:val="center"/>
                    <w:rPr>
                      <w:rFonts w:ascii="Times New Roman" w:hAnsi="Times New Roman" w:eastAsia="宋体"/>
                      <w:color w:val="000000"/>
                      <w:sz w:val="21"/>
                      <w:szCs w:val="21"/>
                    </w:rPr>
                  </w:pPr>
                </w:p>
              </w:tc>
              <w:tc>
                <w:tcPr>
                  <w:tcW w:w="663" w:type="pct"/>
                  <w:noWrap w:val="0"/>
                  <w:vAlign w:val="center"/>
                </w:tcPr>
                <w:p>
                  <w:pPr>
                    <w:ind w:left="-105" w:leftChars="-50" w:right="-105" w:rightChars="-50"/>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氮氧化物</w:t>
                  </w:r>
                </w:p>
              </w:tc>
              <w:tc>
                <w:tcPr>
                  <w:tcW w:w="719"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104</w:t>
                  </w:r>
                </w:p>
              </w:tc>
              <w:tc>
                <w:tcPr>
                  <w:tcW w:w="1063" w:type="pct"/>
                  <w:noWrap w:val="0"/>
                  <w:vAlign w:val="center"/>
                </w:tcPr>
                <w:p>
                  <w:pPr>
                    <w:jc w:val="center"/>
                    <w:rPr>
                      <w:rFonts w:hint="default" w:ascii="Times New Roman" w:hAnsi="Times New Roman" w:eastAsia="宋体"/>
                      <w:color w:val="000000"/>
                      <w:sz w:val="21"/>
                      <w:szCs w:val="21"/>
                      <w:lang w:val="en-US" w:eastAsia="zh-CN"/>
                    </w:rPr>
                  </w:pPr>
                  <w:r>
                    <w:rPr>
                      <w:rFonts w:hint="eastAsia" w:eastAsia="等线"/>
                      <w:color w:val="000000"/>
                      <w:kern w:val="0"/>
                      <w:sz w:val="22"/>
                      <w:szCs w:val="22"/>
                      <w:lang w:val="en-US" w:eastAsia="zh-CN"/>
                    </w:rPr>
                    <w:t>2.6</w:t>
                  </w:r>
                </w:p>
              </w:tc>
              <w:tc>
                <w:tcPr>
                  <w:tcW w:w="684" w:type="pct"/>
                  <w:noWrap w:val="0"/>
                  <w:vAlign w:val="center"/>
                </w:tcPr>
                <w:p>
                  <w:pPr>
                    <w:jc w:val="center"/>
                    <w:rPr>
                      <w:rFonts w:hint="default" w:ascii="Times New Roman" w:hAnsi="Times New Roman" w:eastAsia="宋体"/>
                      <w:color w:val="000000"/>
                      <w:sz w:val="21"/>
                      <w:szCs w:val="21"/>
                      <w:lang w:val="en-US" w:eastAsia="zh-CN"/>
                    </w:rPr>
                  </w:pPr>
                  <w:r>
                    <w:rPr>
                      <w:rFonts w:hint="eastAsia" w:eastAsia="等线"/>
                      <w:color w:val="000000"/>
                      <w:kern w:val="0"/>
                      <w:sz w:val="22"/>
                      <w:szCs w:val="22"/>
                      <w:lang w:val="en-US" w:eastAsia="zh-CN"/>
                    </w:rPr>
                    <w:t>22.78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50" w:type="pct"/>
                  <w:noWrap w:val="0"/>
                  <w:vAlign w:val="center"/>
                </w:tcPr>
                <w:p>
                  <w:pPr>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8</w:t>
                  </w:r>
                </w:p>
              </w:tc>
              <w:tc>
                <w:tcPr>
                  <w:tcW w:w="798" w:type="pct"/>
                  <w:vMerge w:val="continue"/>
                  <w:noWrap w:val="0"/>
                  <w:vAlign w:val="center"/>
                </w:tcPr>
                <w:p>
                  <w:pPr>
                    <w:jc w:val="center"/>
                    <w:rPr>
                      <w:rFonts w:ascii="Times New Roman" w:hAnsi="Times New Roman" w:eastAsia="宋体"/>
                      <w:color w:val="000000"/>
                      <w:sz w:val="21"/>
                      <w:szCs w:val="21"/>
                    </w:rPr>
                  </w:pPr>
                </w:p>
              </w:tc>
              <w:tc>
                <w:tcPr>
                  <w:tcW w:w="721" w:type="pct"/>
                  <w:vMerge w:val="continue"/>
                  <w:noWrap w:val="0"/>
                  <w:vAlign w:val="center"/>
                </w:tcPr>
                <w:p>
                  <w:pPr>
                    <w:ind w:left="-105" w:leftChars="-50" w:right="-105" w:rightChars="-50"/>
                    <w:jc w:val="center"/>
                    <w:rPr>
                      <w:rFonts w:ascii="Times New Roman" w:hAnsi="Times New Roman" w:eastAsia="宋体"/>
                      <w:color w:val="000000"/>
                      <w:sz w:val="21"/>
                      <w:szCs w:val="21"/>
                    </w:rPr>
                  </w:pPr>
                </w:p>
              </w:tc>
              <w:tc>
                <w:tcPr>
                  <w:tcW w:w="663" w:type="pct"/>
                  <w:noWrap w:val="0"/>
                  <w:vAlign w:val="center"/>
                </w:tcPr>
                <w:p>
                  <w:pPr>
                    <w:ind w:left="-105" w:leftChars="-50" w:right="-105" w:rightChars="-50"/>
                    <w:jc w:val="center"/>
                    <w:rPr>
                      <w:rFonts w:ascii="Times New Roman" w:hAnsi="Times New Roman" w:eastAsia="宋体"/>
                      <w:color w:val="000000"/>
                      <w:sz w:val="21"/>
                      <w:szCs w:val="21"/>
                      <w:lang w:val="en-GB"/>
                    </w:rPr>
                  </w:pPr>
                  <w:r>
                    <w:rPr>
                      <w:rFonts w:ascii="Times New Roman" w:hAnsi="Times New Roman" w:eastAsia="宋体"/>
                      <w:color w:val="000000"/>
                      <w:kern w:val="0"/>
                      <w:sz w:val="21"/>
                      <w:szCs w:val="21"/>
                    </w:rPr>
                    <w:t>颗粒物</w:t>
                  </w:r>
                </w:p>
              </w:tc>
              <w:tc>
                <w:tcPr>
                  <w:tcW w:w="719" w:type="pct"/>
                  <w:noWrap w:val="0"/>
                  <w:vAlign w:val="center"/>
                </w:tcPr>
                <w:p>
                  <w:pPr>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28.4</w:t>
                  </w:r>
                </w:p>
              </w:tc>
              <w:tc>
                <w:tcPr>
                  <w:tcW w:w="1063" w:type="pct"/>
                  <w:noWrap w:val="0"/>
                  <w:vAlign w:val="center"/>
                </w:tcPr>
                <w:p>
                  <w:pPr>
                    <w:jc w:val="center"/>
                    <w:rPr>
                      <w:rFonts w:hint="default" w:ascii="Times New Roman" w:hAnsi="Times New Roman" w:eastAsia="宋体"/>
                      <w:color w:val="000000"/>
                      <w:sz w:val="21"/>
                      <w:szCs w:val="21"/>
                      <w:lang w:val="en-US" w:eastAsia="zh-CN"/>
                    </w:rPr>
                  </w:pPr>
                  <w:r>
                    <w:rPr>
                      <w:rFonts w:hint="eastAsia" w:eastAsia="等线"/>
                      <w:color w:val="000000"/>
                      <w:kern w:val="0"/>
                      <w:sz w:val="22"/>
                      <w:szCs w:val="22"/>
                      <w:lang w:val="en-US" w:eastAsia="zh-CN"/>
                    </w:rPr>
                    <w:t>0.71</w:t>
                  </w:r>
                </w:p>
              </w:tc>
              <w:tc>
                <w:tcPr>
                  <w:tcW w:w="684" w:type="pct"/>
                  <w:noWrap w:val="0"/>
                  <w:vAlign w:val="center"/>
                </w:tcPr>
                <w:p>
                  <w:pPr>
                    <w:jc w:val="center"/>
                    <w:rPr>
                      <w:rFonts w:hint="default" w:ascii="Times New Roman" w:hAnsi="Times New Roman" w:eastAsia="宋体"/>
                      <w:color w:val="000000"/>
                      <w:sz w:val="21"/>
                      <w:szCs w:val="21"/>
                      <w:lang w:val="en-US" w:eastAsia="zh-CN"/>
                    </w:rPr>
                  </w:pPr>
                  <w:r>
                    <w:rPr>
                      <w:rFonts w:hint="eastAsia" w:eastAsia="等线"/>
                      <w:color w:val="000000"/>
                      <w:kern w:val="0"/>
                      <w:sz w:val="22"/>
                      <w:szCs w:val="22"/>
                      <w:lang w:val="en-US" w:eastAsia="zh-CN"/>
                    </w:rPr>
                    <w:t>6.2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50"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9</w:t>
                  </w:r>
                </w:p>
              </w:tc>
              <w:tc>
                <w:tcPr>
                  <w:tcW w:w="798" w:type="pct"/>
                  <w:vMerge w:val="restart"/>
                  <w:noWrap w:val="0"/>
                  <w:vAlign w:val="center"/>
                </w:tcPr>
                <w:p>
                  <w:pPr>
                    <w:jc w:val="center"/>
                    <w:rPr>
                      <w:rFonts w:ascii="Times New Roman" w:hAnsi="Times New Roman" w:eastAsia="宋体"/>
                      <w:color w:val="000000"/>
                      <w:sz w:val="21"/>
                      <w:szCs w:val="21"/>
                    </w:rPr>
                  </w:pPr>
                  <w:r>
                    <w:rPr>
                      <w:rFonts w:hint="eastAsia"/>
                      <w:color w:val="000000"/>
                      <w:sz w:val="21"/>
                      <w:szCs w:val="21"/>
                      <w:lang w:val="en-US" w:eastAsia="zh-CN"/>
                    </w:rPr>
                    <w:t>6</w:t>
                  </w:r>
                  <w:r>
                    <w:rPr>
                      <w:rFonts w:hint="eastAsia" w:ascii="Times New Roman" w:hAnsi="Times New Roman" w:eastAsia="宋体"/>
                      <w:color w:val="000000"/>
                      <w:sz w:val="21"/>
                      <w:szCs w:val="21"/>
                    </w:rPr>
                    <w:t>#</w:t>
                  </w:r>
                  <w:r>
                    <w:rPr>
                      <w:rFonts w:ascii="Times New Roman" w:hAnsi="Times New Roman" w:eastAsia="宋体"/>
                      <w:color w:val="000000"/>
                      <w:sz w:val="21"/>
                      <w:szCs w:val="21"/>
                    </w:rPr>
                    <w:t>排气筒</w:t>
                  </w:r>
                </w:p>
              </w:tc>
              <w:tc>
                <w:tcPr>
                  <w:tcW w:w="721" w:type="pct"/>
                  <w:vMerge w:val="restart"/>
                  <w:noWrap w:val="0"/>
                  <w:vAlign w:val="center"/>
                </w:tcPr>
                <w:p>
                  <w:pPr>
                    <w:ind w:left="-105" w:leftChars="-50" w:right="-105" w:rightChars="-50"/>
                    <w:jc w:val="center"/>
                    <w:rPr>
                      <w:rFonts w:ascii="Times New Roman" w:hAnsi="Times New Roman" w:eastAsia="宋体"/>
                      <w:color w:val="000000"/>
                      <w:sz w:val="21"/>
                      <w:szCs w:val="21"/>
                    </w:rPr>
                  </w:pPr>
                  <w:r>
                    <w:rPr>
                      <w:rFonts w:hint="eastAsia"/>
                      <w:color w:val="000000"/>
                      <w:sz w:val="21"/>
                      <w:szCs w:val="21"/>
                      <w:lang w:val="en-US" w:eastAsia="zh-CN"/>
                    </w:rPr>
                    <w:t>2#</w:t>
                  </w:r>
                  <w:r>
                    <w:rPr>
                      <w:rFonts w:hint="eastAsia" w:ascii="Times New Roman" w:hAnsi="Times New Roman" w:eastAsia="宋体"/>
                      <w:color w:val="000000"/>
                      <w:sz w:val="21"/>
                      <w:szCs w:val="21"/>
                      <w:lang w:val="en-US" w:eastAsia="zh-CN"/>
                    </w:rPr>
                    <w:t>隧道窑</w:t>
                  </w:r>
                </w:p>
              </w:tc>
              <w:tc>
                <w:tcPr>
                  <w:tcW w:w="1102" w:type="dxa"/>
                  <w:noWrap w:val="0"/>
                  <w:vAlign w:val="center"/>
                </w:tcPr>
                <w:p>
                  <w:pPr>
                    <w:ind w:left="-105" w:leftChars="-50" w:right="-105" w:rightChars="-50"/>
                    <w:jc w:val="center"/>
                    <w:rPr>
                      <w:rFonts w:ascii="Times New Roman" w:hAnsi="Times New Roman" w:eastAsia="宋体"/>
                      <w:color w:val="000000"/>
                      <w:kern w:val="0"/>
                      <w:sz w:val="21"/>
                      <w:szCs w:val="21"/>
                    </w:rPr>
                  </w:pPr>
                  <w:r>
                    <w:rPr>
                      <w:rFonts w:hint="eastAsia" w:ascii="Times New Roman" w:hAnsi="Times New Roman" w:eastAsia="宋体"/>
                      <w:color w:val="000000"/>
                      <w:kern w:val="0"/>
                      <w:sz w:val="21"/>
                      <w:szCs w:val="21"/>
                      <w:lang w:val="en-US" w:eastAsia="zh-CN"/>
                    </w:rPr>
                    <w:t>二氧化硫</w:t>
                  </w:r>
                </w:p>
              </w:tc>
              <w:tc>
                <w:tcPr>
                  <w:tcW w:w="719"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26.7</w:t>
                  </w:r>
                </w:p>
              </w:tc>
              <w:tc>
                <w:tcPr>
                  <w:tcW w:w="1063" w:type="pct"/>
                  <w:noWrap w:val="0"/>
                  <w:vAlign w:val="center"/>
                </w:tcPr>
                <w:p>
                  <w:pPr>
                    <w:jc w:val="center"/>
                    <w:rPr>
                      <w:rFonts w:hint="default" w:eastAsia="等线"/>
                      <w:color w:val="000000"/>
                      <w:kern w:val="0"/>
                      <w:sz w:val="22"/>
                      <w:szCs w:val="22"/>
                      <w:lang w:val="en-US" w:eastAsia="zh-CN"/>
                    </w:rPr>
                  </w:pPr>
                  <w:r>
                    <w:rPr>
                      <w:rFonts w:hint="eastAsia" w:eastAsia="等线"/>
                      <w:color w:val="000000"/>
                      <w:kern w:val="0"/>
                      <w:sz w:val="22"/>
                      <w:szCs w:val="22"/>
                      <w:lang w:val="en-US" w:eastAsia="zh-CN"/>
                    </w:rPr>
                    <w:t>0.8</w:t>
                  </w:r>
                </w:p>
              </w:tc>
              <w:tc>
                <w:tcPr>
                  <w:tcW w:w="684" w:type="pct"/>
                  <w:noWrap w:val="0"/>
                  <w:vAlign w:val="center"/>
                </w:tcPr>
                <w:p>
                  <w:pPr>
                    <w:jc w:val="center"/>
                    <w:rPr>
                      <w:rFonts w:hint="default" w:eastAsia="等线"/>
                      <w:color w:val="000000"/>
                      <w:kern w:val="0"/>
                      <w:sz w:val="22"/>
                      <w:szCs w:val="22"/>
                      <w:lang w:val="en-US" w:eastAsia="zh-CN"/>
                    </w:rPr>
                  </w:pPr>
                  <w:r>
                    <w:rPr>
                      <w:rFonts w:hint="eastAsia" w:eastAsia="等线"/>
                      <w:color w:val="000000"/>
                      <w:kern w:val="0"/>
                      <w:sz w:val="22"/>
                      <w:szCs w:val="22"/>
                      <w:lang w:val="en-US" w:eastAsia="zh-CN"/>
                    </w:rPr>
                    <w:t>7.01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67" w:hRule="atLeast"/>
                <w:jc w:val="center"/>
              </w:trPr>
              <w:tc>
                <w:tcPr>
                  <w:tcW w:w="350"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10</w:t>
                  </w:r>
                </w:p>
              </w:tc>
              <w:tc>
                <w:tcPr>
                  <w:tcW w:w="798" w:type="pct"/>
                  <w:vMerge w:val="continue"/>
                  <w:noWrap w:val="0"/>
                  <w:vAlign w:val="center"/>
                </w:tcPr>
                <w:p>
                  <w:pPr>
                    <w:jc w:val="center"/>
                    <w:rPr>
                      <w:rFonts w:ascii="Times New Roman" w:hAnsi="Times New Roman" w:eastAsia="宋体"/>
                      <w:color w:val="000000"/>
                      <w:sz w:val="21"/>
                      <w:szCs w:val="21"/>
                    </w:rPr>
                  </w:pPr>
                </w:p>
              </w:tc>
              <w:tc>
                <w:tcPr>
                  <w:tcW w:w="721" w:type="pct"/>
                  <w:vMerge w:val="continue"/>
                  <w:noWrap w:val="0"/>
                  <w:vAlign w:val="center"/>
                </w:tcPr>
                <w:p>
                  <w:pPr>
                    <w:ind w:left="-105" w:leftChars="-50" w:right="-105" w:rightChars="-50"/>
                    <w:jc w:val="center"/>
                    <w:rPr>
                      <w:rFonts w:ascii="Times New Roman" w:hAnsi="Times New Roman" w:eastAsia="宋体"/>
                      <w:color w:val="000000"/>
                      <w:sz w:val="21"/>
                      <w:szCs w:val="21"/>
                    </w:rPr>
                  </w:pPr>
                </w:p>
              </w:tc>
              <w:tc>
                <w:tcPr>
                  <w:tcW w:w="1102" w:type="dxa"/>
                  <w:noWrap w:val="0"/>
                  <w:vAlign w:val="center"/>
                </w:tcPr>
                <w:p>
                  <w:pPr>
                    <w:ind w:left="-105" w:leftChars="-50" w:right="-105" w:rightChars="-50"/>
                    <w:jc w:val="center"/>
                    <w:rPr>
                      <w:rFonts w:ascii="Times New Roman" w:hAnsi="Times New Roman" w:eastAsia="宋体"/>
                      <w:color w:val="000000"/>
                      <w:kern w:val="0"/>
                      <w:sz w:val="21"/>
                      <w:szCs w:val="21"/>
                    </w:rPr>
                  </w:pPr>
                  <w:r>
                    <w:rPr>
                      <w:rFonts w:hint="eastAsia" w:ascii="Times New Roman" w:hAnsi="Times New Roman" w:eastAsia="宋体"/>
                      <w:color w:val="000000"/>
                      <w:sz w:val="21"/>
                      <w:szCs w:val="21"/>
                      <w:lang w:val="en-US" w:eastAsia="zh-CN"/>
                    </w:rPr>
                    <w:t>氮氧化物</w:t>
                  </w:r>
                </w:p>
              </w:tc>
              <w:tc>
                <w:tcPr>
                  <w:tcW w:w="719"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86.7</w:t>
                  </w:r>
                </w:p>
              </w:tc>
              <w:tc>
                <w:tcPr>
                  <w:tcW w:w="1063" w:type="pct"/>
                  <w:noWrap w:val="0"/>
                  <w:vAlign w:val="center"/>
                </w:tcPr>
                <w:p>
                  <w:pPr>
                    <w:jc w:val="center"/>
                    <w:rPr>
                      <w:rFonts w:hint="default" w:eastAsia="等线"/>
                      <w:color w:val="000000"/>
                      <w:kern w:val="0"/>
                      <w:sz w:val="22"/>
                      <w:szCs w:val="22"/>
                      <w:lang w:val="en-US" w:eastAsia="zh-CN"/>
                    </w:rPr>
                  </w:pPr>
                  <w:r>
                    <w:rPr>
                      <w:rFonts w:hint="eastAsia" w:eastAsia="等线"/>
                      <w:color w:val="000000"/>
                      <w:kern w:val="0"/>
                      <w:sz w:val="22"/>
                      <w:szCs w:val="22"/>
                      <w:lang w:val="en-US" w:eastAsia="zh-CN"/>
                    </w:rPr>
                    <w:t>2.6</w:t>
                  </w:r>
                </w:p>
              </w:tc>
              <w:tc>
                <w:tcPr>
                  <w:tcW w:w="684" w:type="pct"/>
                  <w:noWrap w:val="0"/>
                  <w:vAlign w:val="center"/>
                </w:tcPr>
                <w:p>
                  <w:pPr>
                    <w:jc w:val="center"/>
                    <w:rPr>
                      <w:rFonts w:hint="default" w:eastAsia="等线"/>
                      <w:color w:val="000000"/>
                      <w:kern w:val="0"/>
                      <w:sz w:val="22"/>
                      <w:szCs w:val="22"/>
                      <w:lang w:val="en-US" w:eastAsia="zh-CN"/>
                    </w:rPr>
                  </w:pPr>
                  <w:r>
                    <w:rPr>
                      <w:rFonts w:hint="eastAsia" w:eastAsia="等线"/>
                      <w:color w:val="000000"/>
                      <w:kern w:val="0"/>
                      <w:sz w:val="22"/>
                      <w:szCs w:val="22"/>
                      <w:lang w:val="en-US" w:eastAsia="zh-CN"/>
                    </w:rPr>
                    <w:t>22.78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50"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11</w:t>
                  </w:r>
                </w:p>
              </w:tc>
              <w:tc>
                <w:tcPr>
                  <w:tcW w:w="798" w:type="pct"/>
                  <w:vMerge w:val="continue"/>
                  <w:noWrap w:val="0"/>
                  <w:vAlign w:val="center"/>
                </w:tcPr>
                <w:p>
                  <w:pPr>
                    <w:jc w:val="center"/>
                    <w:rPr>
                      <w:rFonts w:ascii="Times New Roman" w:hAnsi="Times New Roman" w:eastAsia="宋体"/>
                      <w:color w:val="000000"/>
                      <w:sz w:val="21"/>
                      <w:szCs w:val="21"/>
                    </w:rPr>
                  </w:pPr>
                </w:p>
              </w:tc>
              <w:tc>
                <w:tcPr>
                  <w:tcW w:w="721" w:type="pct"/>
                  <w:vMerge w:val="continue"/>
                  <w:noWrap w:val="0"/>
                  <w:vAlign w:val="center"/>
                </w:tcPr>
                <w:p>
                  <w:pPr>
                    <w:ind w:left="-105" w:leftChars="-50" w:right="-105" w:rightChars="-50"/>
                    <w:jc w:val="center"/>
                    <w:rPr>
                      <w:rFonts w:ascii="Times New Roman" w:hAnsi="Times New Roman" w:eastAsia="宋体"/>
                      <w:color w:val="000000"/>
                      <w:sz w:val="21"/>
                      <w:szCs w:val="21"/>
                    </w:rPr>
                  </w:pPr>
                </w:p>
              </w:tc>
              <w:tc>
                <w:tcPr>
                  <w:tcW w:w="1102" w:type="dxa"/>
                  <w:noWrap w:val="0"/>
                  <w:vAlign w:val="center"/>
                </w:tcPr>
                <w:p>
                  <w:pPr>
                    <w:ind w:left="-105" w:leftChars="-50" w:right="-105" w:rightChars="-50"/>
                    <w:jc w:val="center"/>
                    <w:rPr>
                      <w:rFonts w:ascii="Times New Roman" w:hAnsi="Times New Roman" w:eastAsia="宋体"/>
                      <w:color w:val="000000"/>
                      <w:kern w:val="0"/>
                      <w:sz w:val="21"/>
                      <w:szCs w:val="21"/>
                    </w:rPr>
                  </w:pPr>
                  <w:r>
                    <w:rPr>
                      <w:rFonts w:ascii="Times New Roman" w:hAnsi="Times New Roman" w:eastAsia="宋体"/>
                      <w:color w:val="000000"/>
                      <w:kern w:val="0"/>
                      <w:sz w:val="21"/>
                      <w:szCs w:val="21"/>
                    </w:rPr>
                    <w:t>颗粒物</w:t>
                  </w:r>
                </w:p>
              </w:tc>
              <w:tc>
                <w:tcPr>
                  <w:tcW w:w="719" w:type="pct"/>
                  <w:noWrap w:val="0"/>
                  <w:vAlign w:val="center"/>
                </w:tcPr>
                <w:p>
                  <w:pPr>
                    <w:jc w:val="center"/>
                    <w:rPr>
                      <w:rFonts w:hint="default"/>
                      <w:color w:val="000000"/>
                      <w:sz w:val="21"/>
                      <w:szCs w:val="21"/>
                      <w:lang w:val="en-US" w:eastAsia="zh-CN"/>
                    </w:rPr>
                  </w:pPr>
                  <w:r>
                    <w:rPr>
                      <w:rFonts w:hint="eastAsia"/>
                      <w:color w:val="000000"/>
                      <w:sz w:val="21"/>
                      <w:szCs w:val="21"/>
                      <w:lang w:val="en-US" w:eastAsia="zh-CN"/>
                    </w:rPr>
                    <w:t>23.6</w:t>
                  </w:r>
                </w:p>
              </w:tc>
              <w:tc>
                <w:tcPr>
                  <w:tcW w:w="1063" w:type="pct"/>
                  <w:noWrap w:val="0"/>
                  <w:vAlign w:val="center"/>
                </w:tcPr>
                <w:p>
                  <w:pPr>
                    <w:jc w:val="center"/>
                    <w:rPr>
                      <w:rFonts w:hint="default" w:eastAsia="等线"/>
                      <w:color w:val="000000"/>
                      <w:kern w:val="0"/>
                      <w:sz w:val="22"/>
                      <w:szCs w:val="22"/>
                      <w:lang w:val="en-US" w:eastAsia="zh-CN"/>
                    </w:rPr>
                  </w:pPr>
                  <w:r>
                    <w:rPr>
                      <w:rFonts w:hint="eastAsia" w:eastAsia="等线"/>
                      <w:color w:val="000000"/>
                      <w:kern w:val="0"/>
                      <w:sz w:val="22"/>
                      <w:szCs w:val="22"/>
                      <w:lang w:val="en-US" w:eastAsia="zh-CN"/>
                    </w:rPr>
                    <w:t>0.71</w:t>
                  </w:r>
                </w:p>
              </w:tc>
              <w:tc>
                <w:tcPr>
                  <w:tcW w:w="684" w:type="pct"/>
                  <w:noWrap w:val="0"/>
                  <w:vAlign w:val="center"/>
                </w:tcPr>
                <w:p>
                  <w:pPr>
                    <w:jc w:val="center"/>
                    <w:rPr>
                      <w:rFonts w:hint="default" w:eastAsia="等线"/>
                      <w:color w:val="000000"/>
                      <w:kern w:val="0"/>
                      <w:sz w:val="22"/>
                      <w:szCs w:val="22"/>
                      <w:lang w:val="en-US" w:eastAsia="zh-CN"/>
                    </w:rPr>
                  </w:pPr>
                  <w:r>
                    <w:rPr>
                      <w:rFonts w:hint="eastAsia" w:eastAsia="等线"/>
                      <w:color w:val="000000"/>
                      <w:kern w:val="0"/>
                      <w:sz w:val="22"/>
                      <w:szCs w:val="22"/>
                      <w:lang w:val="en-US" w:eastAsia="zh-CN"/>
                    </w:rPr>
                    <w:t>6.2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69" w:type="pct"/>
                  <w:gridSpan w:val="3"/>
                  <w:vMerge w:val="restart"/>
                  <w:noWrap w:val="0"/>
                  <w:vAlign w:val="center"/>
                </w:tcPr>
                <w:p>
                  <w:pPr>
                    <w:ind w:left="-105" w:leftChars="-50" w:right="-105" w:rightChars="-50"/>
                    <w:jc w:val="center"/>
                    <w:rPr>
                      <w:rFonts w:ascii="Times New Roman" w:hAnsi="Times New Roman" w:eastAsia="宋体"/>
                      <w:color w:val="000000"/>
                      <w:sz w:val="21"/>
                      <w:szCs w:val="21"/>
                      <w:lang w:val="en-GB"/>
                    </w:rPr>
                  </w:pPr>
                  <w:r>
                    <w:rPr>
                      <w:rFonts w:ascii="Times New Roman" w:hAnsi="Times New Roman" w:eastAsia="宋体"/>
                      <w:color w:val="000000"/>
                      <w:sz w:val="21"/>
                      <w:szCs w:val="21"/>
                    </w:rPr>
                    <w:t>有组织排放总计</w:t>
                  </w:r>
                </w:p>
              </w:tc>
              <w:tc>
                <w:tcPr>
                  <w:tcW w:w="2445" w:type="pct"/>
                  <w:gridSpan w:val="3"/>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颗粒物</w:t>
                  </w:r>
                </w:p>
              </w:tc>
              <w:tc>
                <w:tcPr>
                  <w:tcW w:w="684" w:type="pct"/>
                  <w:noWrap w:val="0"/>
                  <w:vAlign w:val="center"/>
                </w:tcPr>
                <w:p>
                  <w:pPr>
                    <w:snapToGrid w:val="0"/>
                    <w:jc w:val="center"/>
                    <w:rPr>
                      <w:rFonts w:hint="default" w:ascii="Times New Roman" w:hAnsi="Times New Roman" w:eastAsia="宋体"/>
                      <w:color w:val="000000"/>
                      <w:sz w:val="21"/>
                      <w:szCs w:val="21"/>
                      <w:lang w:val="en-US" w:eastAsia="zh-CN"/>
                    </w:rPr>
                  </w:pPr>
                  <w:r>
                    <w:rPr>
                      <w:rFonts w:hint="eastAsia" w:eastAsia="等线"/>
                      <w:color w:val="000000"/>
                      <w:sz w:val="22"/>
                      <w:szCs w:val="22"/>
                      <w:lang w:val="en-US" w:eastAsia="zh-CN"/>
                    </w:rPr>
                    <w:t>20.936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1869" w:type="pct"/>
                  <w:gridSpan w:val="3"/>
                  <w:vMerge w:val="continue"/>
                  <w:noWrap w:val="0"/>
                  <w:vAlign w:val="center"/>
                </w:tcPr>
                <w:p>
                  <w:pPr>
                    <w:ind w:left="-105" w:leftChars="-50" w:right="-105" w:rightChars="-50"/>
                    <w:jc w:val="center"/>
                    <w:rPr>
                      <w:rFonts w:ascii="Times New Roman" w:hAnsi="Times New Roman" w:eastAsia="宋体"/>
                      <w:color w:val="000000"/>
                      <w:sz w:val="21"/>
                      <w:szCs w:val="21"/>
                      <w:lang w:val="en-GB"/>
                    </w:rPr>
                  </w:pPr>
                </w:p>
              </w:tc>
              <w:tc>
                <w:tcPr>
                  <w:tcW w:w="2445" w:type="pct"/>
                  <w:gridSpan w:val="3"/>
                  <w:noWrap w:val="0"/>
                  <w:vAlign w:val="center"/>
                </w:tcPr>
                <w:p>
                  <w:pPr>
                    <w:ind w:left="-105" w:leftChars="-50" w:right="-105" w:rightChars="-50"/>
                    <w:jc w:val="center"/>
                    <w:rPr>
                      <w:rFonts w:ascii="Times New Roman" w:hAnsi="Times New Roman" w:eastAsia="宋体"/>
                      <w:color w:val="000000"/>
                      <w:sz w:val="21"/>
                      <w:szCs w:val="21"/>
                    </w:rPr>
                  </w:pPr>
                  <w:r>
                    <w:rPr>
                      <w:rFonts w:hint="eastAsia" w:ascii="Times New Roman" w:hAnsi="Times New Roman" w:eastAsia="宋体"/>
                      <w:color w:val="000000"/>
                      <w:kern w:val="0"/>
                      <w:sz w:val="21"/>
                      <w:szCs w:val="21"/>
                      <w:lang w:val="en-US" w:eastAsia="zh-CN"/>
                    </w:rPr>
                    <w:t>二氧化硫</w:t>
                  </w:r>
                </w:p>
              </w:tc>
              <w:tc>
                <w:tcPr>
                  <w:tcW w:w="684" w:type="pct"/>
                  <w:noWrap w:val="0"/>
                  <w:vAlign w:val="center"/>
                </w:tcPr>
                <w:p>
                  <w:pPr>
                    <w:jc w:val="center"/>
                    <w:rPr>
                      <w:rFonts w:hint="default" w:ascii="Times New Roman" w:hAnsi="Times New Roman" w:eastAsia="宋体"/>
                      <w:color w:val="000000"/>
                      <w:sz w:val="21"/>
                      <w:szCs w:val="21"/>
                      <w:lang w:val="en-US"/>
                    </w:rPr>
                  </w:pPr>
                  <w:r>
                    <w:rPr>
                      <w:rFonts w:hint="eastAsia" w:eastAsia="等线"/>
                      <w:color w:val="000000"/>
                      <w:kern w:val="0"/>
                      <w:sz w:val="22"/>
                      <w:szCs w:val="22"/>
                      <w:lang w:val="en-US" w:eastAsia="zh-CN"/>
                    </w:rPr>
                    <w:t>14.2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69" w:type="pct"/>
                  <w:gridSpan w:val="3"/>
                  <w:vMerge w:val="continue"/>
                  <w:noWrap w:val="0"/>
                  <w:vAlign w:val="center"/>
                </w:tcPr>
                <w:p>
                  <w:pPr>
                    <w:ind w:left="-105" w:leftChars="-50" w:right="-105" w:rightChars="-50"/>
                    <w:jc w:val="center"/>
                    <w:rPr>
                      <w:rFonts w:ascii="Times New Roman" w:hAnsi="Times New Roman" w:eastAsia="宋体"/>
                      <w:color w:val="000000"/>
                      <w:sz w:val="21"/>
                      <w:szCs w:val="21"/>
                      <w:lang w:val="en-GB"/>
                    </w:rPr>
                  </w:pPr>
                </w:p>
              </w:tc>
              <w:tc>
                <w:tcPr>
                  <w:tcW w:w="2445" w:type="pct"/>
                  <w:gridSpan w:val="3"/>
                  <w:noWrap w:val="0"/>
                  <w:vAlign w:val="center"/>
                </w:tcPr>
                <w:p>
                  <w:pPr>
                    <w:ind w:left="-105" w:leftChars="-50" w:right="-105" w:rightChars="-50"/>
                    <w:jc w:val="center"/>
                    <w:rPr>
                      <w:rFonts w:ascii="Times New Roman" w:hAnsi="Times New Roman" w:eastAsia="宋体"/>
                      <w:bCs/>
                      <w:color w:val="000000"/>
                      <w:sz w:val="21"/>
                      <w:szCs w:val="21"/>
                    </w:rPr>
                  </w:pPr>
                  <w:r>
                    <w:rPr>
                      <w:rFonts w:hint="eastAsia" w:ascii="Times New Roman" w:hAnsi="Times New Roman" w:eastAsia="宋体"/>
                      <w:color w:val="000000"/>
                      <w:sz w:val="21"/>
                      <w:szCs w:val="21"/>
                      <w:lang w:val="en-US" w:eastAsia="zh-CN"/>
                    </w:rPr>
                    <w:t>氮氧化物</w:t>
                  </w:r>
                </w:p>
              </w:tc>
              <w:tc>
                <w:tcPr>
                  <w:tcW w:w="684" w:type="pct"/>
                  <w:noWrap w:val="0"/>
                  <w:vAlign w:val="center"/>
                </w:tcPr>
                <w:p>
                  <w:pPr>
                    <w:jc w:val="center"/>
                    <w:rPr>
                      <w:rFonts w:hint="default" w:ascii="Times New Roman" w:hAnsi="Times New Roman" w:eastAsia="等线"/>
                      <w:color w:val="000000"/>
                      <w:sz w:val="22"/>
                      <w:szCs w:val="22"/>
                      <w:lang w:val="en-US"/>
                    </w:rPr>
                  </w:pPr>
                  <w:r>
                    <w:rPr>
                      <w:rFonts w:hint="eastAsia" w:eastAsia="等线"/>
                      <w:color w:val="000000"/>
                      <w:kern w:val="0"/>
                      <w:sz w:val="22"/>
                      <w:szCs w:val="22"/>
                      <w:lang w:val="en-US" w:eastAsia="zh-CN"/>
                    </w:rPr>
                    <w:t>45.56</w:t>
                  </w:r>
                </w:p>
              </w:tc>
            </w:tr>
          </w:tbl>
          <w:p>
            <w:pPr>
              <w:spacing w:line="360" w:lineRule="auto"/>
              <w:jc w:val="center"/>
              <w:rPr>
                <w:rFonts w:ascii="Times New Roman" w:hAnsi="Times New Roman" w:eastAsia="宋体"/>
                <w:b/>
                <w:color w:val="000000"/>
                <w:sz w:val="24"/>
              </w:rPr>
            </w:pPr>
            <w:r>
              <w:rPr>
                <w:rFonts w:ascii="Times New Roman" w:hAnsi="Times New Roman" w:eastAsia="宋体"/>
                <w:b/>
                <w:color w:val="000000"/>
                <w:sz w:val="24"/>
              </w:rPr>
              <w:t>表7-6  大气污染物无组织排放量核算表</w:t>
            </w:r>
          </w:p>
          <w:tbl>
            <w:tblPr>
              <w:tblStyle w:val="2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655"/>
              <w:gridCol w:w="894"/>
              <w:gridCol w:w="1015"/>
              <w:gridCol w:w="1012"/>
              <w:gridCol w:w="1942"/>
              <w:gridCol w:w="1201"/>
              <w:gridCol w:w="104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restar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序号</w:t>
                  </w:r>
                </w:p>
              </w:tc>
              <w:tc>
                <w:tcPr>
                  <w:tcW w:w="394" w:type="pct"/>
                  <w:vMerge w:val="restar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污染面源</w:t>
                  </w:r>
                </w:p>
              </w:tc>
              <w:tc>
                <w:tcPr>
                  <w:tcW w:w="537" w:type="pct"/>
                  <w:vMerge w:val="restar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产污环节</w:t>
                  </w:r>
                </w:p>
              </w:tc>
              <w:tc>
                <w:tcPr>
                  <w:tcW w:w="611" w:type="pct"/>
                  <w:vMerge w:val="restar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污染物</w:t>
                  </w:r>
                </w:p>
              </w:tc>
              <w:tc>
                <w:tcPr>
                  <w:tcW w:w="609" w:type="pct"/>
                  <w:vMerge w:val="restar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主要污染防治措施</w:t>
                  </w:r>
                </w:p>
              </w:tc>
              <w:tc>
                <w:tcPr>
                  <w:tcW w:w="1891" w:type="pct"/>
                  <w:gridSpan w:val="2"/>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排放标准</w:t>
                  </w:r>
                </w:p>
              </w:tc>
              <w:tc>
                <w:tcPr>
                  <w:tcW w:w="627" w:type="pct"/>
                  <w:vMerge w:val="restar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年排放量(t/a)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vMerge w:val="continue"/>
                  <w:noWrap w:val="0"/>
                  <w:vAlign w:val="center"/>
                </w:tcPr>
                <w:p>
                  <w:pPr>
                    <w:jc w:val="center"/>
                    <w:rPr>
                      <w:rFonts w:ascii="Times New Roman" w:hAnsi="Times New Roman" w:eastAsia="宋体"/>
                      <w:color w:val="000000"/>
                      <w:sz w:val="21"/>
                      <w:szCs w:val="21"/>
                    </w:rPr>
                  </w:pPr>
                </w:p>
              </w:tc>
              <w:tc>
                <w:tcPr>
                  <w:tcW w:w="394" w:type="pct"/>
                  <w:vMerge w:val="continue"/>
                  <w:noWrap w:val="0"/>
                  <w:vAlign w:val="center"/>
                </w:tcPr>
                <w:p>
                  <w:pPr>
                    <w:jc w:val="center"/>
                    <w:rPr>
                      <w:rFonts w:ascii="Times New Roman" w:hAnsi="Times New Roman" w:eastAsia="宋体"/>
                      <w:color w:val="000000"/>
                      <w:sz w:val="21"/>
                      <w:szCs w:val="21"/>
                    </w:rPr>
                  </w:pPr>
                </w:p>
              </w:tc>
              <w:tc>
                <w:tcPr>
                  <w:tcW w:w="537" w:type="pct"/>
                  <w:vMerge w:val="continue"/>
                  <w:noWrap w:val="0"/>
                  <w:vAlign w:val="center"/>
                </w:tcPr>
                <w:p>
                  <w:pPr>
                    <w:jc w:val="center"/>
                    <w:rPr>
                      <w:rFonts w:ascii="Times New Roman" w:hAnsi="Times New Roman" w:eastAsia="宋体"/>
                      <w:color w:val="000000"/>
                      <w:sz w:val="21"/>
                      <w:szCs w:val="21"/>
                    </w:rPr>
                  </w:pPr>
                </w:p>
              </w:tc>
              <w:tc>
                <w:tcPr>
                  <w:tcW w:w="611" w:type="pct"/>
                  <w:vMerge w:val="continue"/>
                  <w:noWrap w:val="0"/>
                  <w:vAlign w:val="center"/>
                </w:tcPr>
                <w:p>
                  <w:pPr>
                    <w:jc w:val="center"/>
                    <w:rPr>
                      <w:rFonts w:ascii="Times New Roman" w:hAnsi="Times New Roman" w:eastAsia="宋体"/>
                      <w:color w:val="000000"/>
                      <w:sz w:val="21"/>
                      <w:szCs w:val="21"/>
                    </w:rPr>
                  </w:pPr>
                </w:p>
              </w:tc>
              <w:tc>
                <w:tcPr>
                  <w:tcW w:w="609" w:type="pct"/>
                  <w:vMerge w:val="continue"/>
                  <w:noWrap w:val="0"/>
                  <w:vAlign w:val="center"/>
                </w:tcPr>
                <w:p>
                  <w:pPr>
                    <w:jc w:val="center"/>
                    <w:rPr>
                      <w:rFonts w:ascii="Times New Roman" w:hAnsi="Times New Roman" w:eastAsia="宋体"/>
                      <w:color w:val="000000"/>
                      <w:sz w:val="21"/>
                      <w:szCs w:val="21"/>
                    </w:rPr>
                  </w:pPr>
                </w:p>
              </w:tc>
              <w:tc>
                <w:tcPr>
                  <w:tcW w:w="1169"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标准名称</w:t>
                  </w:r>
                </w:p>
              </w:tc>
              <w:tc>
                <w:tcPr>
                  <w:tcW w:w="722"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浓度限值（mg/m</w:t>
                  </w:r>
                  <w:r>
                    <w:rPr>
                      <w:rFonts w:ascii="Times New Roman" w:hAnsi="Times New Roman" w:eastAsia="宋体"/>
                      <w:color w:val="000000"/>
                      <w:sz w:val="21"/>
                      <w:szCs w:val="21"/>
                      <w:vertAlign w:val="superscript"/>
                    </w:rPr>
                    <w:t>3</w:t>
                  </w:r>
                  <w:r>
                    <w:rPr>
                      <w:rFonts w:ascii="Times New Roman" w:hAnsi="Times New Roman" w:eastAsia="宋体"/>
                      <w:color w:val="000000"/>
                      <w:sz w:val="21"/>
                      <w:szCs w:val="21"/>
                    </w:rPr>
                    <w:t>）</w:t>
                  </w:r>
                </w:p>
              </w:tc>
              <w:tc>
                <w:tcPr>
                  <w:tcW w:w="627" w:type="pct"/>
                  <w:vMerge w:val="continue"/>
                  <w:noWrap w:val="0"/>
                  <w:vAlign w:val="center"/>
                </w:tcPr>
                <w:p>
                  <w:pPr>
                    <w:jc w:val="center"/>
                    <w:rPr>
                      <w:rFonts w:ascii="Times New Roman" w:hAnsi="Times New Roman" w:eastAsia="宋体"/>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8"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1</w:t>
                  </w:r>
                </w:p>
              </w:tc>
              <w:tc>
                <w:tcPr>
                  <w:tcW w:w="394"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厂房</w:t>
                  </w:r>
                </w:p>
              </w:tc>
              <w:tc>
                <w:tcPr>
                  <w:tcW w:w="537" w:type="pct"/>
                  <w:noWrap w:val="0"/>
                  <w:vAlign w:val="center"/>
                </w:tcPr>
                <w:p>
                  <w:pPr>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kern w:val="0"/>
                      <w:sz w:val="21"/>
                      <w:szCs w:val="21"/>
                      <w:lang w:val="en-US" w:eastAsia="zh-CN"/>
                    </w:rPr>
                    <w:t>除尘粉仓、混合机退料仓、废砖仓</w:t>
                  </w:r>
                </w:p>
              </w:tc>
              <w:tc>
                <w:tcPr>
                  <w:tcW w:w="611" w:type="pct"/>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kern w:val="0"/>
                      <w:sz w:val="21"/>
                      <w:szCs w:val="21"/>
                    </w:rPr>
                    <w:t>颗粒物</w:t>
                  </w:r>
                </w:p>
              </w:tc>
              <w:tc>
                <w:tcPr>
                  <w:tcW w:w="609" w:type="pct"/>
                  <w:noWrap w:val="0"/>
                  <w:vAlign w:val="center"/>
                </w:tcPr>
                <w:p>
                  <w:pPr>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仓顶滤筒收尘器</w:t>
                  </w:r>
                </w:p>
              </w:tc>
              <w:tc>
                <w:tcPr>
                  <w:tcW w:w="1169" w:type="pct"/>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上海市《大气污染物综合排放标准》（DB 31/933-2015）</w:t>
                  </w:r>
                </w:p>
              </w:tc>
              <w:tc>
                <w:tcPr>
                  <w:tcW w:w="722" w:type="pct"/>
                  <w:noWrap w:val="0"/>
                  <w:vAlign w:val="center"/>
                </w:tcPr>
                <w:p>
                  <w:pPr>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0.5</w:t>
                  </w:r>
                </w:p>
              </w:tc>
              <w:tc>
                <w:tcPr>
                  <w:tcW w:w="627" w:type="pct"/>
                  <w:noWrap w:val="0"/>
                  <w:vAlign w:val="center"/>
                </w:tcPr>
                <w:p>
                  <w:pPr>
                    <w:snapToGrid w:val="0"/>
                    <w:jc w:val="center"/>
                    <w:rPr>
                      <w:rFonts w:hint="default" w:ascii="Times New Roman" w:hAnsi="Times New Roman" w:eastAsia="宋体"/>
                      <w:bCs/>
                      <w:color w:val="000000"/>
                      <w:sz w:val="21"/>
                      <w:szCs w:val="21"/>
                      <w:lang w:val="en-US" w:eastAsia="zh-CN"/>
                    </w:rPr>
                  </w:pPr>
                  <w:r>
                    <w:rPr>
                      <w:rFonts w:hint="eastAsia" w:ascii="Times New Roman" w:hAnsi="Times New Roman" w:eastAsia="宋体"/>
                      <w:color w:val="000000"/>
                      <w:kern w:val="0"/>
                      <w:sz w:val="21"/>
                      <w:szCs w:val="21"/>
                      <w:lang w:val="en-US" w:eastAsia="zh-CN"/>
                    </w:rPr>
                    <w:t>1.584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260" w:type="pct"/>
                  <w:gridSpan w:val="3"/>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无组织排放总计</w:t>
                  </w:r>
                </w:p>
              </w:tc>
              <w:tc>
                <w:tcPr>
                  <w:tcW w:w="3112" w:type="pct"/>
                  <w:gridSpan w:val="4"/>
                  <w:noWrap w:val="0"/>
                  <w:vAlign w:val="center"/>
                </w:tcPr>
                <w:p>
                  <w:pPr>
                    <w:jc w:val="center"/>
                    <w:rPr>
                      <w:rFonts w:ascii="Times New Roman" w:hAnsi="Times New Roman" w:eastAsia="宋体"/>
                      <w:color w:val="000000"/>
                      <w:sz w:val="21"/>
                      <w:szCs w:val="21"/>
                    </w:rPr>
                  </w:pPr>
                  <w:r>
                    <w:rPr>
                      <w:rFonts w:ascii="Times New Roman" w:hAnsi="Times New Roman" w:eastAsia="宋体"/>
                      <w:color w:val="000000"/>
                      <w:sz w:val="21"/>
                      <w:szCs w:val="21"/>
                    </w:rPr>
                    <w:t>颗粒物</w:t>
                  </w:r>
                </w:p>
              </w:tc>
              <w:tc>
                <w:tcPr>
                  <w:tcW w:w="627" w:type="pct"/>
                  <w:noWrap w:val="0"/>
                  <w:vAlign w:val="center"/>
                </w:tcPr>
                <w:p>
                  <w:pPr>
                    <w:snapToGrid w:val="0"/>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kern w:val="0"/>
                      <w:sz w:val="21"/>
                      <w:szCs w:val="21"/>
                      <w:lang w:val="en-US" w:eastAsia="zh-CN"/>
                    </w:rPr>
                    <w:t>1.584</w:t>
                  </w:r>
                </w:p>
              </w:tc>
            </w:tr>
          </w:tbl>
          <w:p>
            <w:pPr>
              <w:pStyle w:val="76"/>
              <w:adjustRightInd w:val="0"/>
              <w:ind w:firstLine="482"/>
              <w:rPr>
                <w:rFonts w:ascii="Times New Roman" w:hAnsi="Times New Roman" w:eastAsia="宋体"/>
                <w:b/>
                <w:bCs/>
                <w:color w:val="000000"/>
                <w:lang w:val="en-US"/>
              </w:rPr>
            </w:pPr>
            <w:r>
              <w:rPr>
                <w:rFonts w:ascii="Times New Roman" w:hAnsi="Times New Roman" w:eastAsia="宋体"/>
                <w:b/>
                <w:bCs/>
                <w:color w:val="000000"/>
                <w:lang w:val="en-US"/>
              </w:rPr>
              <w:t>（2）大气环境防护距离的设置</w:t>
            </w:r>
          </w:p>
          <w:p>
            <w:pPr>
              <w:spacing w:line="360" w:lineRule="auto"/>
              <w:ind w:firstLine="480" w:firstLineChars="200"/>
              <w:rPr>
                <w:rFonts w:ascii="Times New Roman" w:hAnsi="Times New Roman" w:eastAsia="宋体"/>
                <w:color w:val="000000"/>
                <w:sz w:val="24"/>
                <w:highlight w:val="none"/>
                <w:lang w:val="zh-CN"/>
              </w:rPr>
            </w:pPr>
            <w:r>
              <w:rPr>
                <w:rFonts w:hint="eastAsia"/>
                <w:color w:val="000000"/>
                <w:sz w:val="24"/>
                <w:highlight w:val="none"/>
                <w:lang w:val="en-US" w:eastAsia="zh-CN"/>
              </w:rPr>
              <w:t>①</w:t>
            </w:r>
            <w:r>
              <w:rPr>
                <w:rFonts w:ascii="Times New Roman" w:hAnsi="Times New Roman" w:eastAsia="宋体"/>
                <w:color w:val="000000"/>
                <w:sz w:val="24"/>
                <w:highlight w:val="none"/>
                <w:lang w:val="zh-CN"/>
              </w:rPr>
              <w:t>大气环境防护距离是为了保护人群健康，减少正常排放条件下大气污染源对居住区的环境影响，在建设项目厂界以外所设置的</w:t>
            </w:r>
            <w:r>
              <w:rPr>
                <w:rFonts w:ascii="Times New Roman" w:hAnsi="Times New Roman" w:eastAsia="宋体"/>
                <w:color w:val="000000"/>
                <w:sz w:val="24"/>
                <w:highlight w:val="none"/>
              </w:rPr>
              <w:t>大气</w:t>
            </w:r>
            <w:r>
              <w:rPr>
                <w:rFonts w:ascii="Times New Roman" w:hAnsi="Times New Roman" w:eastAsia="宋体"/>
                <w:color w:val="000000"/>
                <w:sz w:val="24"/>
                <w:highlight w:val="none"/>
                <w:lang w:val="zh-CN"/>
              </w:rPr>
              <w:t>环境防护区域。根据工程分析，项目产生的大气污染物主要是以</w:t>
            </w:r>
            <w:r>
              <w:rPr>
                <w:rFonts w:hint="eastAsia"/>
                <w:color w:val="000000"/>
                <w:sz w:val="24"/>
                <w:szCs w:val="24"/>
                <w:highlight w:val="none"/>
                <w:lang w:val="en-US" w:eastAsia="zh-CN" w:bidi="ar"/>
              </w:rPr>
              <w:t>颗粒物</w:t>
            </w:r>
            <w:r>
              <w:rPr>
                <w:rFonts w:ascii="Times New Roman" w:hAnsi="Times New Roman" w:eastAsia="宋体"/>
                <w:color w:val="000000"/>
                <w:sz w:val="24"/>
                <w:highlight w:val="none"/>
                <w:lang w:val="zh-CN"/>
              </w:rPr>
              <w:t>为主。根据《环境影响评价技术导则—大气环境》(HJ2.2-2018)推荐的估算模式计算，项目无组织排放的</w:t>
            </w:r>
            <w:r>
              <w:rPr>
                <w:rFonts w:hint="eastAsia"/>
                <w:color w:val="000000"/>
                <w:sz w:val="24"/>
                <w:highlight w:val="none"/>
                <w:lang w:val="en-US" w:eastAsia="zh-CN"/>
              </w:rPr>
              <w:t>颗粒物</w:t>
            </w:r>
            <w:r>
              <w:rPr>
                <w:rFonts w:ascii="Times New Roman" w:hAnsi="Times New Roman" w:eastAsia="宋体"/>
                <w:color w:val="000000"/>
                <w:sz w:val="24"/>
                <w:highlight w:val="none"/>
                <w:lang w:val="zh-CN"/>
              </w:rPr>
              <w:t>在评价范围内无超标点，本项目厂界外大气污染物贡献浓度不会超过环境质量浓度限值，故本项目不设置大气环境防护距离。</w:t>
            </w:r>
          </w:p>
          <w:p>
            <w:pPr>
              <w:spacing w:line="360" w:lineRule="auto"/>
              <w:ind w:firstLine="480" w:firstLineChars="200"/>
              <w:rPr>
                <w:rFonts w:ascii="Times New Roman" w:hAnsi="Times New Roman" w:eastAsia="宋体"/>
                <w:color w:val="000000"/>
                <w:sz w:val="24"/>
                <w:szCs w:val="22"/>
                <w:highlight w:val="none"/>
              </w:rPr>
            </w:pPr>
            <w:r>
              <w:rPr>
                <w:rFonts w:hint="eastAsia"/>
                <w:color w:val="000000"/>
                <w:sz w:val="24"/>
                <w:szCs w:val="22"/>
                <w:highlight w:val="none"/>
                <w:lang w:val="en-US" w:eastAsia="zh-CN"/>
              </w:rPr>
              <w:t>②</w:t>
            </w:r>
            <w:r>
              <w:rPr>
                <w:rFonts w:ascii="Times New Roman" w:hAnsi="Times New Roman" w:eastAsia="宋体"/>
                <w:color w:val="000000"/>
                <w:sz w:val="24"/>
                <w:szCs w:val="22"/>
                <w:highlight w:val="none"/>
              </w:rPr>
              <w:t>卫生防护距离</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szCs w:val="22"/>
                <w:highlight w:val="none"/>
              </w:rPr>
              <w:t>项目无组织排放卫生防</w:t>
            </w:r>
            <w:r>
              <w:rPr>
                <w:rFonts w:ascii="Times New Roman" w:hAnsi="Times New Roman" w:eastAsia="宋体"/>
                <w:color w:val="000000"/>
                <w:sz w:val="24"/>
                <w:highlight w:val="none"/>
              </w:rPr>
              <w:t>护距离计算公式如下：</w:t>
            </w:r>
          </w:p>
          <w:p>
            <w:pPr>
              <w:adjustRightInd w:val="0"/>
              <w:snapToGrid w:val="0"/>
              <w:spacing w:before="156" w:beforeLines="50" w:line="520" w:lineRule="exact"/>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pict>
                <v:shape id="对象 9" o:spid="_x0000_s2050" o:spt="75" alt="1610862221369793946156" type="#_x0000_t75" style="position:absolute;left:0pt;margin-left:127.8pt;margin-top:4.9pt;height:24.3pt;width:219.9pt;z-index:-251568128;mso-width-relative:page;mso-height-relative:page;" o:ole="t" filled="f" o:preferrelative="t" stroked="f" coordsize="21600,21600">
                  <v:path/>
                  <v:fill on="f" focussize="0,0"/>
                  <v:stroke on="f"/>
                  <v:imagedata r:id="rId9" o:title="1610862221369793946156"/>
                  <o:lock v:ext="edit" aspectratio="t"/>
                </v:shape>
                <o:OLEObject Type="Embed" ProgID="" ShapeID="对象 9" DrawAspect="Content" ObjectID="_1468075725" r:id="rId8">
                  <o:LockedField>false</o:LockedField>
                </o:OLEObject>
              </w:pict>
            </w:r>
          </w:p>
          <w:p>
            <w:pPr>
              <w:adjustRightInd w:val="0"/>
              <w:snapToGrid w:val="0"/>
              <w:spacing w:before="156" w:beforeLines="50" w:line="520" w:lineRule="exact"/>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式中，Qc——工业企业有害气体无组织排放量可以达到的控制水平；</w:t>
            </w:r>
          </w:p>
          <w:p>
            <w:pPr>
              <w:adjustRightInd w:val="0"/>
              <w:snapToGrid w:val="0"/>
              <w:spacing w:line="520" w:lineRule="exact"/>
              <w:ind w:firstLine="1191"/>
              <w:rPr>
                <w:rFonts w:ascii="Times New Roman" w:hAnsi="Times New Roman" w:eastAsia="宋体"/>
                <w:color w:val="000000"/>
                <w:sz w:val="24"/>
                <w:highlight w:val="none"/>
              </w:rPr>
            </w:pPr>
            <w:r>
              <w:rPr>
                <w:rFonts w:ascii="Times New Roman" w:hAnsi="Times New Roman" w:eastAsia="宋体"/>
                <w:color w:val="000000"/>
                <w:sz w:val="24"/>
                <w:highlight w:val="none"/>
              </w:rPr>
              <w:t>Cm——标准浓度限值；</w:t>
            </w:r>
          </w:p>
          <w:p>
            <w:pPr>
              <w:adjustRightInd w:val="0"/>
              <w:snapToGrid w:val="0"/>
              <w:spacing w:line="520" w:lineRule="exact"/>
              <w:ind w:firstLine="1191"/>
              <w:rPr>
                <w:rFonts w:ascii="Times New Roman" w:hAnsi="Times New Roman" w:eastAsia="宋体"/>
                <w:color w:val="000000"/>
                <w:sz w:val="24"/>
                <w:highlight w:val="none"/>
              </w:rPr>
            </w:pPr>
            <w:r>
              <w:rPr>
                <w:rFonts w:ascii="Times New Roman" w:hAnsi="Times New Roman" w:eastAsia="宋体"/>
                <w:color w:val="000000"/>
                <w:sz w:val="24"/>
                <w:highlight w:val="none"/>
              </w:rPr>
              <w:t>L—— 工业企业所需卫生防护距离，m；</w:t>
            </w:r>
          </w:p>
          <w:p>
            <w:pPr>
              <w:adjustRightInd w:val="0"/>
              <w:snapToGrid w:val="0"/>
              <w:spacing w:line="520" w:lineRule="exact"/>
              <w:ind w:firstLine="1191"/>
              <w:rPr>
                <w:rFonts w:ascii="Times New Roman" w:hAnsi="Times New Roman" w:eastAsia="宋体"/>
                <w:color w:val="000000"/>
                <w:sz w:val="24"/>
                <w:highlight w:val="none"/>
              </w:rPr>
            </w:pPr>
            <w:r>
              <w:rPr>
                <w:rFonts w:ascii="Times New Roman" w:hAnsi="Times New Roman" w:eastAsia="宋体"/>
                <w:color w:val="000000"/>
                <w:sz w:val="24"/>
                <w:highlight w:val="none"/>
              </w:rPr>
              <w:t>r——有害气体无组织排放源所在生产单位的等效半径，m，根据该生产单元面积S（m</w:t>
            </w:r>
            <w:r>
              <w:rPr>
                <w:rFonts w:ascii="Times New Roman" w:hAnsi="Times New Roman" w:eastAsia="宋体"/>
                <w:color w:val="000000"/>
                <w:sz w:val="24"/>
                <w:highlight w:val="none"/>
                <w:vertAlign w:val="superscript"/>
              </w:rPr>
              <w:t>2</w:t>
            </w:r>
            <w:r>
              <w:rPr>
                <w:rFonts w:ascii="Times New Roman" w:hAnsi="Times New Roman" w:eastAsia="宋体"/>
                <w:color w:val="000000"/>
                <w:sz w:val="24"/>
                <w:highlight w:val="none"/>
              </w:rPr>
              <w:t>）计算，r=（S/π）</w:t>
            </w:r>
            <w:r>
              <w:rPr>
                <w:rFonts w:ascii="Times New Roman" w:hAnsi="Times New Roman" w:eastAsia="宋体"/>
                <w:color w:val="000000"/>
                <w:sz w:val="24"/>
                <w:highlight w:val="none"/>
                <w:vertAlign w:val="superscript"/>
              </w:rPr>
              <w:t>1/2</w:t>
            </w:r>
            <w:r>
              <w:rPr>
                <w:rFonts w:ascii="Times New Roman" w:hAnsi="Times New Roman" w:eastAsia="宋体"/>
                <w:color w:val="000000"/>
                <w:sz w:val="24"/>
                <w:highlight w:val="none"/>
              </w:rPr>
              <w:t>；</w:t>
            </w:r>
          </w:p>
          <w:p>
            <w:pPr>
              <w:adjustRightInd w:val="0"/>
              <w:snapToGrid w:val="0"/>
              <w:spacing w:line="520" w:lineRule="exact"/>
              <w:ind w:firstLine="1191"/>
              <w:rPr>
                <w:rFonts w:ascii="Times New Roman" w:hAnsi="Times New Roman" w:eastAsia="宋体"/>
                <w:color w:val="000000"/>
                <w:sz w:val="24"/>
                <w:highlight w:val="none"/>
              </w:rPr>
            </w:pPr>
            <w:r>
              <w:rPr>
                <w:rFonts w:ascii="Times New Roman" w:hAnsi="Times New Roman" w:eastAsia="宋体"/>
                <w:color w:val="000000"/>
                <w:sz w:val="24"/>
                <w:highlight w:val="none"/>
              </w:rPr>
              <w:t>A，B，C，D——卫生防护距离系数，分别取700，0.021，1.85和0.84。</w:t>
            </w:r>
          </w:p>
          <w:p>
            <w:pPr>
              <w:spacing w:line="360" w:lineRule="auto"/>
              <w:jc w:val="center"/>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表7-</w:t>
            </w:r>
            <w:r>
              <w:rPr>
                <w:rFonts w:hint="eastAsia" w:ascii="Times New Roman" w:hAnsi="Times New Roman" w:eastAsia="宋体"/>
                <w:b/>
                <w:bCs/>
                <w:color w:val="000000"/>
                <w:sz w:val="24"/>
                <w:szCs w:val="24"/>
                <w:highlight w:val="none"/>
                <w:lang w:val="en-US" w:eastAsia="zh-CN"/>
              </w:rPr>
              <w:t>7</w:t>
            </w:r>
            <w:r>
              <w:rPr>
                <w:rFonts w:ascii="Times New Roman" w:hAnsi="Times New Roman" w:eastAsia="宋体"/>
                <w:b/>
                <w:bCs/>
                <w:color w:val="000000"/>
                <w:sz w:val="24"/>
                <w:szCs w:val="24"/>
                <w:highlight w:val="none"/>
              </w:rPr>
              <w:t xml:space="preserve">  卫生防护距离计算系数表</w:t>
            </w:r>
          </w:p>
          <w:tbl>
            <w:tblPr>
              <w:tblStyle w:val="28"/>
              <w:tblW w:w="0" w:type="auto"/>
              <w:jc w:val="center"/>
              <w:tblLayout w:type="autofit"/>
              <w:tblCellMar>
                <w:top w:w="0" w:type="dxa"/>
                <w:left w:w="108" w:type="dxa"/>
                <w:bottom w:w="0" w:type="dxa"/>
                <w:right w:w="108" w:type="dxa"/>
              </w:tblCellMar>
            </w:tblPr>
            <w:tblGrid>
              <w:gridCol w:w="659"/>
              <w:gridCol w:w="1469"/>
              <w:gridCol w:w="737"/>
              <w:gridCol w:w="684"/>
              <w:gridCol w:w="688"/>
              <w:gridCol w:w="684"/>
              <w:gridCol w:w="684"/>
              <w:gridCol w:w="686"/>
              <w:gridCol w:w="684"/>
              <w:gridCol w:w="684"/>
              <w:gridCol w:w="647"/>
            </w:tblGrid>
            <w:tr>
              <w:tblPrEx>
                <w:tblCellMar>
                  <w:top w:w="0" w:type="dxa"/>
                  <w:left w:w="108" w:type="dxa"/>
                  <w:bottom w:w="0" w:type="dxa"/>
                  <w:right w:w="108" w:type="dxa"/>
                </w:tblCellMar>
              </w:tblPrEx>
              <w:trPr>
                <w:cantSplit/>
                <w:jc w:val="center"/>
              </w:trPr>
              <w:tc>
                <w:tcPr>
                  <w:tcW w:w="71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计算系数</w:t>
                  </w:r>
                </w:p>
              </w:tc>
              <w:tc>
                <w:tcPr>
                  <w:tcW w:w="1681" w:type="dxa"/>
                  <w:vMerge w:val="restar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工业企业所在地区近五年平均风速m/s</w:t>
                  </w:r>
                </w:p>
              </w:tc>
              <w:tc>
                <w:tcPr>
                  <w:tcW w:w="2224"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L≤1000</w:t>
                  </w:r>
                </w:p>
              </w:tc>
              <w:tc>
                <w:tcPr>
                  <w:tcW w:w="2157"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1000&lt;L&lt;2000</w:t>
                  </w:r>
                </w:p>
              </w:tc>
              <w:tc>
                <w:tcPr>
                  <w:tcW w:w="21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L&gt;2000</w:t>
                  </w:r>
                </w:p>
              </w:tc>
            </w:tr>
            <w:tr>
              <w:tblPrEx>
                <w:tblCellMar>
                  <w:top w:w="0" w:type="dxa"/>
                  <w:left w:w="108" w:type="dxa"/>
                  <w:bottom w:w="0" w:type="dxa"/>
                  <w:right w:w="108" w:type="dxa"/>
                </w:tblCellMar>
              </w:tblPrEx>
              <w:trPr>
                <w:cantSplit/>
                <w:jc w:val="center"/>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6490" w:type="dxa"/>
                  <w:gridSpan w:val="9"/>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工业企业大气污染源构成类别</w:t>
                  </w:r>
                  <w:r>
                    <w:rPr>
                      <w:rFonts w:ascii="Times New Roman" w:hAnsi="Times New Roman" w:eastAsia="宋体"/>
                      <w:color w:val="000000"/>
                      <w:highlight w:val="none"/>
                      <w:vertAlign w:val="superscript"/>
                    </w:rPr>
                    <w:t>(1)</w:t>
                  </w:r>
                </w:p>
              </w:tc>
            </w:tr>
            <w:tr>
              <w:tblPrEx>
                <w:tblCellMar>
                  <w:top w:w="0" w:type="dxa"/>
                  <w:left w:w="108" w:type="dxa"/>
                  <w:bottom w:w="0" w:type="dxa"/>
                  <w:right w:w="108" w:type="dxa"/>
                </w:tblCellMar>
              </w:tblPrEx>
              <w:trPr>
                <w:cantSplit/>
                <w:jc w:val="center"/>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78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Ⅰ</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Ⅱ</w:t>
                  </w:r>
                </w:p>
              </w:tc>
              <w:tc>
                <w:tcPr>
                  <w:tcW w:w="72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Ⅲ</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Ⅰ</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Ⅱ</w:t>
                  </w:r>
                </w:p>
              </w:tc>
              <w:tc>
                <w:tcPr>
                  <w:tcW w:w="721"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Ⅲ</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Ⅰ</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Ⅱ</w:t>
                  </w:r>
                </w:p>
              </w:tc>
              <w:tc>
                <w:tcPr>
                  <w:tcW w:w="67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Ⅲ</w:t>
                  </w:r>
                </w:p>
              </w:tc>
            </w:tr>
            <w:tr>
              <w:tblPrEx>
                <w:tblCellMar>
                  <w:top w:w="0" w:type="dxa"/>
                  <w:left w:w="108" w:type="dxa"/>
                  <w:bottom w:w="0" w:type="dxa"/>
                  <w:right w:w="108" w:type="dxa"/>
                </w:tblCellMar>
              </w:tblPrEx>
              <w:trPr>
                <w:cantSplit/>
                <w:jc w:val="center"/>
              </w:trPr>
              <w:tc>
                <w:tcPr>
                  <w:tcW w:w="712"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A</w:t>
                  </w: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&lt;2</w:t>
                  </w:r>
                </w:p>
              </w:tc>
              <w:tc>
                <w:tcPr>
                  <w:tcW w:w="7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80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80</w:t>
                  </w:r>
                </w:p>
              </w:tc>
              <w:tc>
                <w:tcPr>
                  <w:tcW w:w="67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80</w:t>
                  </w:r>
                </w:p>
              </w:tc>
            </w:tr>
            <w:tr>
              <w:trPr>
                <w:cantSpli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2-4</w:t>
                  </w:r>
                </w:p>
              </w:tc>
              <w:tc>
                <w:tcPr>
                  <w:tcW w:w="7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700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470</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350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700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470</w:t>
                  </w:r>
                </w:p>
              </w:tc>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350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380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250</w:t>
                  </w:r>
                </w:p>
              </w:tc>
              <w:tc>
                <w:tcPr>
                  <w:tcW w:w="67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190</w:t>
                  </w:r>
                </w:p>
              </w:tc>
            </w:tr>
            <w:tr>
              <w:tblPrEx>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&gt;4</w:t>
                  </w:r>
                </w:p>
              </w:tc>
              <w:tc>
                <w:tcPr>
                  <w:tcW w:w="7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530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350</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260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530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350</w:t>
                  </w:r>
                </w:p>
              </w:tc>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260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290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190</w:t>
                  </w:r>
                </w:p>
              </w:tc>
              <w:tc>
                <w:tcPr>
                  <w:tcW w:w="67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140</w:t>
                  </w:r>
                </w:p>
              </w:tc>
            </w:tr>
            <w:tr>
              <w:tblPrEx>
                <w:tblCellMar>
                  <w:top w:w="0" w:type="dxa"/>
                  <w:left w:w="108" w:type="dxa"/>
                  <w:bottom w:w="0" w:type="dxa"/>
                  <w:right w:w="108" w:type="dxa"/>
                </w:tblCellMar>
              </w:tblPrEx>
              <w:trPr>
                <w:cantSplit/>
                <w:trHeight w:val="360" w:hRule="atLeast"/>
                <w:jc w:val="center"/>
              </w:trPr>
              <w:tc>
                <w:tcPr>
                  <w:tcW w:w="712"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B</w:t>
                  </w: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0.01</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0.015</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0.015</w:t>
                  </w:r>
                </w:p>
              </w:tc>
            </w:tr>
            <w:tr>
              <w:tblPrEx>
                <w:tblCellMar>
                  <w:top w:w="0" w:type="dxa"/>
                  <w:left w:w="108" w:type="dxa"/>
                  <w:bottom w:w="0" w:type="dxa"/>
                  <w:right w:w="108" w:type="dxa"/>
                </w:tblCellMar>
              </w:tblPrEx>
              <w:trPr>
                <w:cantSplit/>
                <w:trHeight w:val="280" w:hRule="atLeas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&gt;2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0.021</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0.036</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0.036</w:t>
                  </w:r>
                </w:p>
              </w:tc>
            </w:tr>
            <w:tr>
              <w:tblPrEx>
                <w:tblCellMar>
                  <w:top w:w="0" w:type="dxa"/>
                  <w:left w:w="108" w:type="dxa"/>
                  <w:bottom w:w="0" w:type="dxa"/>
                  <w:right w:w="108" w:type="dxa"/>
                </w:tblCellMar>
              </w:tblPrEx>
              <w:trPr>
                <w:cantSplit/>
                <w:trHeight w:val="280" w:hRule="atLeast"/>
                <w:jc w:val="center"/>
              </w:trPr>
              <w:tc>
                <w:tcPr>
                  <w:tcW w:w="712"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C</w:t>
                  </w: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1.85</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1.79</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1.79</w:t>
                  </w:r>
                </w:p>
              </w:tc>
            </w:tr>
            <w:tr>
              <w:tblPrEx>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&gt;2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1.85</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1.77</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1.7</w:t>
                  </w:r>
                </w:p>
              </w:tc>
            </w:tr>
            <w:tr>
              <w:tblPrEx>
                <w:tblCellMar>
                  <w:top w:w="0" w:type="dxa"/>
                  <w:left w:w="108" w:type="dxa"/>
                  <w:bottom w:w="0" w:type="dxa"/>
                  <w:right w:w="108" w:type="dxa"/>
                </w:tblCellMar>
              </w:tblPrEx>
              <w:trPr>
                <w:cantSplit/>
                <w:jc w:val="center"/>
              </w:trPr>
              <w:tc>
                <w:tcPr>
                  <w:tcW w:w="712"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D</w:t>
                  </w: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0.78</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0.78</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0.57</w:t>
                  </w:r>
                </w:p>
              </w:tc>
            </w:tr>
            <w:tr>
              <w:tblPrEx>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&gt;2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0.84</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0.84</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0.76</w:t>
                  </w:r>
                </w:p>
              </w:tc>
            </w:tr>
          </w:tbl>
          <w:p>
            <w:pPr>
              <w:spacing w:line="480" w:lineRule="exact"/>
              <w:ind w:firstLine="646"/>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注：工业企业大气污染源构成分为三类：</w:t>
            </w:r>
          </w:p>
          <w:p>
            <w:pPr>
              <w:spacing w:line="440" w:lineRule="exact"/>
              <w:ind w:firstLine="646"/>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I类：与无组织排放源共存的排放同种有害气体的排气筒的排放量，大于标准规定的允许排放量的1/3者。</w:t>
            </w:r>
          </w:p>
          <w:p>
            <w:pPr>
              <w:spacing w:line="440" w:lineRule="exact"/>
              <w:ind w:firstLine="646"/>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II类：与无组织排放源共存的排放同种有害气体的排气筒的排放量，小于标准规定的允许排放量的1/3，或虽无排放同种大气污染物之排气筒共存，但无织组排放的有害物质的容许浓度指标是按急性反应指标确定者。</w:t>
            </w:r>
          </w:p>
          <w:p>
            <w:pPr>
              <w:spacing w:line="440" w:lineRule="exact"/>
              <w:ind w:firstLine="646"/>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III类：无排放同种有害物质的排气筒与无组织排放源共存，无组织排放的有害物质的容许浓度是按慢性反应指标确定者。</w:t>
            </w:r>
          </w:p>
          <w:p>
            <w:pPr>
              <w:spacing w:line="440" w:lineRule="exact"/>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Qc取同类企业中生产工艺流程合理，生产管理与设备维护处于先进水平的工业企业，在正常运行时的无组织排放量，当计算的L值在两级之间时，取偏宽的一级。</w:t>
            </w:r>
          </w:p>
          <w:p>
            <w:pPr>
              <w:spacing w:line="360" w:lineRule="auto"/>
              <w:jc w:val="center"/>
              <w:rPr>
                <w:rFonts w:ascii="Times New Roman" w:hAnsi="Times New Roman" w:eastAsia="宋体"/>
                <w:b/>
                <w:color w:val="000000"/>
                <w:sz w:val="24"/>
                <w:highlight w:val="none"/>
              </w:rPr>
            </w:pPr>
            <w:r>
              <w:rPr>
                <w:rFonts w:ascii="Times New Roman" w:hAnsi="Times New Roman" w:eastAsia="宋体"/>
                <w:b/>
                <w:color w:val="000000"/>
                <w:sz w:val="24"/>
                <w:highlight w:val="none"/>
              </w:rPr>
              <w:t>表7-</w:t>
            </w:r>
            <w:r>
              <w:rPr>
                <w:rFonts w:hint="eastAsia" w:ascii="Times New Roman" w:hAnsi="Times New Roman" w:eastAsia="宋体"/>
                <w:b/>
                <w:color w:val="000000"/>
                <w:sz w:val="24"/>
                <w:highlight w:val="none"/>
                <w:lang w:val="en-US" w:eastAsia="zh-CN"/>
              </w:rPr>
              <w:t>8</w:t>
            </w:r>
            <w:r>
              <w:rPr>
                <w:rFonts w:ascii="Times New Roman" w:hAnsi="Times New Roman" w:eastAsia="宋体"/>
                <w:b/>
                <w:color w:val="000000"/>
                <w:sz w:val="24"/>
                <w:highlight w:val="none"/>
              </w:rPr>
              <w:t xml:space="preserve"> 无组织废气卫生防护距离计算结果</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528"/>
              <w:gridCol w:w="518"/>
              <w:gridCol w:w="1305"/>
              <w:gridCol w:w="1145"/>
              <w:gridCol w:w="480"/>
              <w:gridCol w:w="608"/>
              <w:gridCol w:w="485"/>
              <w:gridCol w:w="484"/>
              <w:gridCol w:w="936"/>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1528"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排放源</w:t>
                  </w:r>
                </w:p>
              </w:tc>
              <w:tc>
                <w:tcPr>
                  <w:tcW w:w="518"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特征</w:t>
                  </w:r>
                </w:p>
              </w:tc>
              <w:tc>
                <w:tcPr>
                  <w:tcW w:w="1305"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污染物</w:t>
                  </w:r>
                </w:p>
              </w:tc>
              <w:tc>
                <w:tcPr>
                  <w:tcW w:w="1145"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排放速率</w:t>
                  </w:r>
                </w:p>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kg/h</w:t>
                  </w:r>
                </w:p>
              </w:tc>
              <w:tc>
                <w:tcPr>
                  <w:tcW w:w="480"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A</w:t>
                  </w:r>
                </w:p>
              </w:tc>
              <w:tc>
                <w:tcPr>
                  <w:tcW w:w="608"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B</w:t>
                  </w:r>
                </w:p>
              </w:tc>
              <w:tc>
                <w:tcPr>
                  <w:tcW w:w="485"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C</w:t>
                  </w:r>
                </w:p>
              </w:tc>
              <w:tc>
                <w:tcPr>
                  <w:tcW w:w="484"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D</w:t>
                  </w:r>
                </w:p>
              </w:tc>
              <w:tc>
                <w:tcPr>
                  <w:tcW w:w="936"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卫生防护距离计算值</w:t>
                  </w:r>
                </w:p>
              </w:tc>
              <w:tc>
                <w:tcPr>
                  <w:tcW w:w="715" w:type="dxa"/>
                  <w:noWrap w:val="0"/>
                  <w:vAlign w:val="center"/>
                </w:tcPr>
                <w:p>
                  <w:pPr>
                    <w:spacing w:line="240" w:lineRule="atLeast"/>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lang w:val="en-US" w:eastAsia="zh-CN"/>
                    </w:rPr>
                    <w:t>环境</w:t>
                  </w:r>
                  <w:r>
                    <w:rPr>
                      <w:rFonts w:ascii="Times New Roman" w:hAnsi="Times New Roman" w:eastAsia="宋体"/>
                      <w:color w:val="000000"/>
                      <w:szCs w:val="21"/>
                      <w:highlight w:val="none"/>
                    </w:rPr>
                    <w:t>防护距离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1528"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生产区</w:t>
                  </w:r>
                </w:p>
              </w:tc>
              <w:tc>
                <w:tcPr>
                  <w:tcW w:w="518"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面源</w:t>
                  </w:r>
                </w:p>
              </w:tc>
              <w:tc>
                <w:tcPr>
                  <w:tcW w:w="1305"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color w:val="000000"/>
                      <w:szCs w:val="21"/>
                      <w:highlight w:val="none"/>
                      <w:lang w:val="en-US" w:eastAsia="zh-CN"/>
                    </w:rPr>
                    <w:t>颗粒物</w:t>
                  </w:r>
                </w:p>
              </w:tc>
              <w:tc>
                <w:tcPr>
                  <w:tcW w:w="1145" w:type="dxa"/>
                  <w:noWrap w:val="0"/>
                  <w:vAlign w:val="center"/>
                </w:tcPr>
                <w:p>
                  <w:pPr>
                    <w:widowControl/>
                    <w:spacing w:line="240" w:lineRule="atLeast"/>
                    <w:jc w:val="center"/>
                    <w:textAlignment w:val="bottom"/>
                    <w:rPr>
                      <w:rFonts w:hint="default" w:ascii="Times New Roman" w:hAnsi="Times New Roman" w:eastAsia="宋体"/>
                      <w:bCs/>
                      <w:color w:val="000000"/>
                      <w:szCs w:val="21"/>
                      <w:highlight w:val="none"/>
                      <w:lang w:val="en-US" w:eastAsia="zh-CN"/>
                    </w:rPr>
                  </w:pPr>
                  <w:r>
                    <w:rPr>
                      <w:rFonts w:hint="eastAsia"/>
                      <w:bCs/>
                      <w:color w:val="000000"/>
                      <w:szCs w:val="21"/>
                      <w:highlight w:val="none"/>
                      <w:lang w:val="en-US" w:eastAsia="zh-CN"/>
                    </w:rPr>
                    <w:t>0.2</w:t>
                  </w:r>
                </w:p>
              </w:tc>
              <w:tc>
                <w:tcPr>
                  <w:tcW w:w="480"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350</w:t>
                  </w:r>
                </w:p>
              </w:tc>
              <w:tc>
                <w:tcPr>
                  <w:tcW w:w="608"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0.021</w:t>
                  </w:r>
                </w:p>
              </w:tc>
              <w:tc>
                <w:tcPr>
                  <w:tcW w:w="485"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1.85</w:t>
                  </w:r>
                </w:p>
              </w:tc>
              <w:tc>
                <w:tcPr>
                  <w:tcW w:w="484"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0.84</w:t>
                  </w:r>
                </w:p>
              </w:tc>
              <w:tc>
                <w:tcPr>
                  <w:tcW w:w="936"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color w:val="000000"/>
                      <w:szCs w:val="21"/>
                      <w:highlight w:val="none"/>
                      <w:lang w:val="en-US" w:eastAsia="zh-CN"/>
                    </w:rPr>
                    <w:t>1.764</w:t>
                  </w:r>
                </w:p>
              </w:tc>
              <w:tc>
                <w:tcPr>
                  <w:tcW w:w="715"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color w:val="000000"/>
                      <w:szCs w:val="21"/>
                      <w:highlight w:val="none"/>
                      <w:lang w:val="en-US" w:eastAsia="zh-CN"/>
                    </w:rPr>
                    <w:t>50</w:t>
                  </w:r>
                </w:p>
              </w:tc>
            </w:tr>
          </w:tbl>
          <w:p>
            <w:pPr>
              <w:pStyle w:val="25"/>
              <w:spacing w:before="0" w:beforeAutospacing="0" w:after="0" w:afterAutospacing="0" w:line="460" w:lineRule="exact"/>
              <w:ind w:firstLine="360" w:firstLineChars="150"/>
              <w:jc w:val="both"/>
              <w:rPr>
                <w:rFonts w:ascii="Times New Roman" w:hAnsi="Times New Roman" w:eastAsia="宋体" w:cs="Times New Roman"/>
                <w:color w:val="000000"/>
                <w:kern w:val="2"/>
              </w:rPr>
            </w:pPr>
            <w:r>
              <w:rPr>
                <w:rFonts w:ascii="Times New Roman" w:hAnsi="Times New Roman" w:eastAsia="宋体"/>
                <w:color w:val="000000"/>
                <w:sz w:val="24"/>
                <w:highlight w:val="none"/>
              </w:rPr>
              <w:t>根据大气环境距离和卫生防护距离计算结果。本</w:t>
            </w:r>
            <w:r>
              <w:rPr>
                <w:rFonts w:hint="eastAsia" w:ascii="Times New Roman" w:hAnsi="Times New Roman" w:eastAsia="宋体"/>
                <w:color w:val="000000"/>
                <w:sz w:val="24"/>
                <w:highlight w:val="none"/>
                <w:lang w:val="en-US" w:eastAsia="zh-CN"/>
              </w:rPr>
              <w:t>项目</w:t>
            </w:r>
            <w:r>
              <w:rPr>
                <w:rFonts w:ascii="Times New Roman" w:hAnsi="Times New Roman" w:eastAsia="宋体"/>
                <w:color w:val="000000"/>
                <w:sz w:val="24"/>
                <w:highlight w:val="none"/>
              </w:rPr>
              <w:t>以生产区为边界起</w:t>
            </w:r>
            <w:r>
              <w:rPr>
                <w:rFonts w:hint="eastAsia"/>
                <w:color w:val="000000"/>
                <w:sz w:val="24"/>
                <w:highlight w:val="none"/>
                <w:lang w:val="en-US" w:eastAsia="zh-CN"/>
              </w:rPr>
              <w:t>50</w:t>
            </w:r>
            <w:r>
              <w:rPr>
                <w:rFonts w:ascii="Times New Roman" w:hAnsi="Times New Roman" w:eastAsia="宋体"/>
                <w:color w:val="000000"/>
                <w:sz w:val="24"/>
                <w:highlight w:val="none"/>
              </w:rPr>
              <w:t>m设置环境防护距离。据现场调查，项目环境防护距离内无敏感点，且以后不得建设居民区、学校、医院等环境敏感目标。</w:t>
            </w:r>
          </w:p>
          <w:p>
            <w:pPr>
              <w:spacing w:line="480" w:lineRule="exact"/>
              <w:ind w:firstLine="482" w:firstLineChars="200"/>
              <w:jc w:val="center"/>
              <w:rPr>
                <w:rFonts w:ascii="Times New Roman" w:hAnsi="Times New Roman" w:eastAsia="宋体"/>
                <w:color w:val="000000"/>
                <w:sz w:val="24"/>
              </w:rPr>
            </w:pPr>
            <w:r>
              <w:rPr>
                <w:rFonts w:ascii="Times New Roman" w:hAnsi="Times New Roman" w:eastAsia="宋体"/>
                <w:b/>
                <w:bCs/>
                <w:color w:val="000000"/>
                <w:sz w:val="24"/>
              </w:rPr>
              <w:t>表7-</w:t>
            </w:r>
            <w:r>
              <w:rPr>
                <w:rFonts w:hint="eastAsia" w:ascii="Times New Roman" w:hAnsi="Times New Roman" w:eastAsia="宋体"/>
                <w:b/>
                <w:bCs/>
                <w:color w:val="000000"/>
                <w:sz w:val="24"/>
              </w:rPr>
              <w:t>7</w:t>
            </w:r>
            <w:r>
              <w:rPr>
                <w:rFonts w:ascii="Times New Roman" w:hAnsi="Times New Roman" w:eastAsia="宋体"/>
                <w:b/>
                <w:bCs/>
                <w:color w:val="000000"/>
                <w:sz w:val="24"/>
              </w:rPr>
              <w:t xml:space="preserve"> 建设项目大气环境影响评价自查表</w:t>
            </w:r>
          </w:p>
          <w:tbl>
            <w:tblPr>
              <w:tblStyle w:val="28"/>
              <w:tblW w:w="0" w:type="auto"/>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15" w:type="dxa"/>
                <w:left w:w="15" w:type="dxa"/>
                <w:bottom w:w="15" w:type="dxa"/>
                <w:right w:w="15" w:type="dxa"/>
              </w:tblCellMar>
            </w:tblPr>
            <w:tblGrid>
              <w:gridCol w:w="473"/>
              <w:gridCol w:w="1404"/>
              <w:gridCol w:w="1305"/>
              <w:gridCol w:w="608"/>
              <w:gridCol w:w="1304"/>
              <w:gridCol w:w="677"/>
              <w:gridCol w:w="1088"/>
              <w:gridCol w:w="218"/>
              <w:gridCol w:w="1229"/>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1877" w:type="dxa"/>
                  <w:gridSpan w:val="2"/>
                  <w:tcBorders>
                    <w:tl2br w:val="nil"/>
                    <w:tr2bl w:val="nil"/>
                  </w:tcBorders>
                  <w:shd w:val="clear" w:color="auto" w:fill="F1F1F1"/>
                  <w:noWrap w:val="0"/>
                  <w:vAlign w:val="center"/>
                </w:tcPr>
                <w:p>
                  <w:pPr>
                    <w:widowControl/>
                    <w:autoSpaceDE w:val="0"/>
                    <w:autoSpaceDN w:val="0"/>
                    <w:adjustRightInd w:val="0"/>
                    <w:snapToGrid w:val="0"/>
                    <w:jc w:val="center"/>
                    <w:textAlignment w:val="center"/>
                    <w:rPr>
                      <w:rFonts w:ascii="Times New Roman" w:hAnsi="Times New Roman"/>
                      <w:b/>
                      <w:bCs/>
                      <w:color w:val="000000"/>
                      <w:sz w:val="21"/>
                      <w:szCs w:val="21"/>
                    </w:rPr>
                  </w:pPr>
                  <w:r>
                    <w:rPr>
                      <w:rFonts w:ascii="Times New Roman" w:hAnsi="Times New Roman"/>
                      <w:b/>
                      <w:bCs/>
                      <w:color w:val="000000"/>
                      <w:kern w:val="0"/>
                      <w:sz w:val="21"/>
                      <w:szCs w:val="21"/>
                    </w:rPr>
                    <w:t>工作内容</w:t>
                  </w:r>
                </w:p>
              </w:tc>
              <w:tc>
                <w:tcPr>
                  <w:tcW w:w="6429" w:type="dxa"/>
                  <w:gridSpan w:val="7"/>
                  <w:tcBorders>
                    <w:tl2br w:val="nil"/>
                    <w:tr2bl w:val="nil"/>
                  </w:tcBorders>
                  <w:shd w:val="clear" w:color="auto" w:fill="F1F1F1"/>
                  <w:noWrap w:val="0"/>
                  <w:vAlign w:val="center"/>
                </w:tcPr>
                <w:p>
                  <w:pPr>
                    <w:widowControl/>
                    <w:autoSpaceDE w:val="0"/>
                    <w:autoSpaceDN w:val="0"/>
                    <w:adjustRightInd w:val="0"/>
                    <w:snapToGrid w:val="0"/>
                    <w:jc w:val="center"/>
                    <w:textAlignment w:val="center"/>
                    <w:rPr>
                      <w:rFonts w:ascii="Times New Roman" w:hAnsi="Times New Roman"/>
                      <w:b/>
                      <w:bCs/>
                      <w:color w:val="000000"/>
                      <w:sz w:val="21"/>
                      <w:szCs w:val="21"/>
                    </w:rPr>
                  </w:pPr>
                  <w:r>
                    <w:rPr>
                      <w:rFonts w:ascii="Times New Roman" w:hAnsi="Times New Roman"/>
                      <w:b/>
                      <w:bCs/>
                      <w:color w:val="000000"/>
                      <w:kern w:val="0"/>
                      <w:sz w:val="21"/>
                      <w:szCs w:val="21"/>
                    </w:rPr>
                    <w:t>自查项目</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410" w:hRule="atLeast"/>
              </w:trPr>
              <w:tc>
                <w:tcPr>
                  <w:tcW w:w="473" w:type="dxa"/>
                  <w:vMerge w:val="restart"/>
                  <w:tcBorders>
                    <w:tl2br w:val="nil"/>
                    <w:tr2bl w:val="nil"/>
                  </w:tcBorders>
                  <w:noWrap w:val="0"/>
                  <w:vAlign w:val="center"/>
                </w:tcPr>
                <w:p>
                  <w:pPr>
                    <w:widowControl/>
                    <w:autoSpaceDE w:val="0"/>
                    <w:autoSpaceDN w:val="0"/>
                    <w:adjustRightInd w:val="0"/>
                    <w:snapToGrid w:val="0"/>
                    <w:jc w:val="center"/>
                    <w:textAlignment w:val="center"/>
                    <w:rPr>
                      <w:rFonts w:ascii="Times New Roman" w:hAnsi="Times New Roman"/>
                      <w:color w:val="000000"/>
                      <w:sz w:val="21"/>
                      <w:szCs w:val="21"/>
                    </w:rPr>
                  </w:pPr>
                  <w:r>
                    <w:rPr>
                      <w:rFonts w:ascii="Times New Roman" w:hAnsi="Times New Roman"/>
                      <w:color w:val="000000"/>
                      <w:kern w:val="0"/>
                      <w:sz w:val="21"/>
                      <w:szCs w:val="21"/>
                    </w:rPr>
                    <w:t>评价等级与范围</w:t>
                  </w: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评价等级</w:t>
                  </w:r>
                </w:p>
              </w:tc>
              <w:tc>
                <w:tcPr>
                  <w:tcW w:w="3217"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一级□</w:t>
                  </w:r>
                </w:p>
              </w:tc>
              <w:tc>
                <w:tcPr>
                  <w:tcW w:w="1983" w:type="dxa"/>
                  <w:gridSpan w:val="3"/>
                  <w:tcBorders>
                    <w:tl2br w:val="nil"/>
                    <w:tr2bl w:val="nil"/>
                  </w:tcBorders>
                  <w:noWrap w:val="0"/>
                  <w:vAlign w:val="center"/>
                </w:tcPr>
                <w:p>
                  <w:pPr>
                    <w:widowControl/>
                    <w:autoSpaceDE w:val="0"/>
                    <w:autoSpaceDN w:val="0"/>
                    <w:adjustRightInd w:val="0"/>
                    <w:snapToGrid w:val="0"/>
                    <w:jc w:val="center"/>
                    <w:textAlignment w:val="center"/>
                    <w:rPr>
                      <w:rFonts w:ascii="Times New Roman" w:hAnsi="Times New Roman"/>
                      <w:color w:val="000000"/>
                      <w:sz w:val="21"/>
                      <w:szCs w:val="21"/>
                    </w:rPr>
                  </w:pPr>
                  <w:r>
                    <w:rPr>
                      <w:rFonts w:ascii="Times New Roman" w:hAnsi="Times New Roman"/>
                      <w:color w:val="000000"/>
                      <w:kern w:val="0"/>
                      <w:sz w:val="21"/>
                      <w:szCs w:val="21"/>
                    </w:rPr>
                    <w:t>二级√</w:t>
                  </w:r>
                </w:p>
              </w:tc>
              <w:tc>
                <w:tcPr>
                  <w:tcW w:w="1229" w:type="dxa"/>
                  <w:tcBorders>
                    <w:tl2br w:val="nil"/>
                    <w:tr2bl w:val="nil"/>
                  </w:tcBorders>
                  <w:noWrap w:val="0"/>
                  <w:vAlign w:val="center"/>
                </w:tcPr>
                <w:p>
                  <w:pPr>
                    <w:widowControl/>
                    <w:autoSpaceDE w:val="0"/>
                    <w:autoSpaceDN w:val="0"/>
                    <w:adjustRightInd w:val="0"/>
                    <w:snapToGrid w:val="0"/>
                    <w:jc w:val="center"/>
                    <w:textAlignment w:val="center"/>
                    <w:rPr>
                      <w:rFonts w:ascii="Times New Roman" w:hAnsi="Times New Roman"/>
                      <w:color w:val="000000"/>
                      <w:sz w:val="21"/>
                      <w:szCs w:val="21"/>
                    </w:rPr>
                  </w:pPr>
                  <w:r>
                    <w:rPr>
                      <w:rFonts w:ascii="Times New Roman" w:hAnsi="Times New Roman"/>
                      <w:color w:val="000000"/>
                      <w:kern w:val="0"/>
                      <w:sz w:val="21"/>
                      <w:szCs w:val="21"/>
                    </w:rPr>
                    <w:t>三级□</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843" w:hRule="atLeast"/>
              </w:trPr>
              <w:tc>
                <w:tcPr>
                  <w:tcW w:w="473" w:type="dxa"/>
                  <w:vMerge w:val="continue"/>
                  <w:tcBorders>
                    <w:tl2br w:val="nil"/>
                    <w:tr2bl w:val="nil"/>
                  </w:tcBorders>
                  <w:noWrap w:val="0"/>
                  <w:vAlign w:val="center"/>
                </w:tcPr>
                <w:p>
                  <w:pPr>
                    <w:widowControl/>
                    <w:autoSpaceDE w:val="0"/>
                    <w:autoSpaceDN w:val="0"/>
                    <w:adjustRightInd w:val="0"/>
                    <w:snapToGrid w:val="0"/>
                    <w:jc w:val="center"/>
                    <w:rPr>
                      <w:rFonts w:ascii="Times New Roman" w:hAnsi="Times New Roman"/>
                      <w:color w:val="000000"/>
                      <w:sz w:val="21"/>
                      <w:szCs w:val="21"/>
                    </w:rPr>
                  </w:pP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评价范围</w:t>
                  </w:r>
                </w:p>
              </w:tc>
              <w:tc>
                <w:tcPr>
                  <w:tcW w:w="3217"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边长=50km□</w:t>
                  </w:r>
                </w:p>
              </w:tc>
              <w:tc>
                <w:tcPr>
                  <w:tcW w:w="1983"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边长5-50km□</w:t>
                  </w:r>
                </w:p>
              </w:tc>
              <w:tc>
                <w:tcPr>
                  <w:tcW w:w="1229"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highlight w:val="yellow"/>
                    </w:rPr>
                  </w:pPr>
                  <w:r>
                    <w:rPr>
                      <w:rFonts w:ascii="Times New Roman" w:hAnsi="Times New Roman"/>
                      <w:color w:val="000000"/>
                      <w:kern w:val="0"/>
                      <w:sz w:val="21"/>
                      <w:szCs w:val="21"/>
                    </w:rPr>
                    <w:t>边长=5km√</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473" w:type="dxa"/>
                  <w:vMerge w:val="restart"/>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评价因子</w:t>
                  </w: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SO</w:t>
                  </w:r>
                  <w:r>
                    <w:rPr>
                      <w:rFonts w:ascii="Times New Roman" w:hAnsi="Times New Roman"/>
                      <w:color w:val="000000"/>
                      <w:kern w:val="0"/>
                      <w:sz w:val="21"/>
                      <w:szCs w:val="21"/>
                      <w:vertAlign w:val="subscript"/>
                    </w:rPr>
                    <w:t>2</w:t>
                  </w:r>
                  <w:r>
                    <w:rPr>
                      <w:rFonts w:ascii="Times New Roman" w:hAnsi="Times New Roman"/>
                      <w:color w:val="000000"/>
                      <w:kern w:val="0"/>
                      <w:sz w:val="21"/>
                      <w:szCs w:val="21"/>
                    </w:rPr>
                    <w:t>+NOx排放量</w:t>
                  </w:r>
                </w:p>
              </w:tc>
              <w:tc>
                <w:tcPr>
                  <w:tcW w:w="1305"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≥2000t/a□</w:t>
                  </w:r>
                </w:p>
              </w:tc>
              <w:tc>
                <w:tcPr>
                  <w:tcW w:w="2589"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500~2000t/a□</w:t>
                  </w:r>
                </w:p>
              </w:tc>
              <w:tc>
                <w:tcPr>
                  <w:tcW w:w="2535"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&lt;500t/a√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1" w:hRule="atLeast"/>
              </w:trPr>
              <w:tc>
                <w:tcPr>
                  <w:tcW w:w="473" w:type="dxa"/>
                  <w:vMerge w:val="continue"/>
                  <w:tcBorders>
                    <w:tl2br w:val="nil"/>
                    <w:tr2bl w:val="nil"/>
                  </w:tcBorders>
                  <w:noWrap w:val="0"/>
                  <w:vAlign w:val="center"/>
                </w:tcPr>
                <w:p>
                  <w:pPr>
                    <w:widowControl/>
                    <w:autoSpaceDE w:val="0"/>
                    <w:autoSpaceDN w:val="0"/>
                    <w:adjustRightInd w:val="0"/>
                    <w:snapToGrid w:val="0"/>
                    <w:jc w:val="center"/>
                    <w:rPr>
                      <w:rFonts w:ascii="Times New Roman" w:hAnsi="Times New Roman"/>
                      <w:color w:val="000000"/>
                      <w:sz w:val="21"/>
                      <w:szCs w:val="21"/>
                    </w:rPr>
                  </w:pP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评价因子</w:t>
                  </w:r>
                </w:p>
              </w:tc>
              <w:tc>
                <w:tcPr>
                  <w:tcW w:w="3894" w:type="dxa"/>
                  <w:gridSpan w:val="4"/>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基本污染物（颗粒物</w:t>
                  </w:r>
                  <w:r>
                    <w:rPr>
                      <w:rFonts w:hint="eastAsia" w:ascii="Times New Roman" w:hAnsi="Times New Roman"/>
                      <w:color w:val="000000"/>
                      <w:kern w:val="0"/>
                      <w:sz w:val="21"/>
                      <w:szCs w:val="21"/>
                      <w:lang w:eastAsia="zh-CN"/>
                    </w:rPr>
                    <w:t>、</w:t>
                  </w:r>
                  <w:r>
                    <w:rPr>
                      <w:rFonts w:hint="eastAsia" w:ascii="Times New Roman" w:hAnsi="Times New Roman"/>
                      <w:color w:val="000000"/>
                      <w:kern w:val="0"/>
                      <w:sz w:val="21"/>
                      <w:szCs w:val="21"/>
                      <w:lang w:val="en-US" w:eastAsia="zh-CN"/>
                    </w:rPr>
                    <w:t>二氧化硫、氮氧化物</w:t>
                  </w:r>
                  <w:r>
                    <w:rPr>
                      <w:rFonts w:ascii="Times New Roman" w:hAnsi="Times New Roman"/>
                      <w:color w:val="000000"/>
                      <w:kern w:val="0"/>
                      <w:sz w:val="21"/>
                      <w:szCs w:val="21"/>
                    </w:rPr>
                    <w:t>）</w:t>
                  </w:r>
                </w:p>
              </w:tc>
              <w:tc>
                <w:tcPr>
                  <w:tcW w:w="2535" w:type="dxa"/>
                  <w:gridSpan w:val="3"/>
                  <w:tcBorders>
                    <w:tl2br w:val="nil"/>
                    <w:tr2bl w:val="nil"/>
                  </w:tcBorders>
                  <w:noWrap w:val="0"/>
                  <w:vAlign w:val="center"/>
                </w:tcPr>
                <w:p>
                  <w:pPr>
                    <w:widowControl/>
                    <w:autoSpaceDE w:val="0"/>
                    <w:autoSpaceDN w:val="0"/>
                    <w:adjustRightInd w:val="0"/>
                    <w:snapToGrid w:val="0"/>
                    <w:spacing w:line="320" w:lineRule="exact"/>
                    <w:jc w:val="center"/>
                    <w:rPr>
                      <w:rFonts w:ascii="Times New Roman" w:hAnsi="Times New Roman"/>
                      <w:color w:val="000000"/>
                      <w:sz w:val="21"/>
                      <w:szCs w:val="21"/>
                    </w:rPr>
                  </w:pPr>
                  <w:r>
                    <w:rPr>
                      <w:rFonts w:ascii="Times New Roman" w:hAnsi="Times New Roman"/>
                      <w:color w:val="000000"/>
                      <w:sz w:val="21"/>
                      <w:szCs w:val="21"/>
                    </w:rPr>
                    <w:t>其他污染物</w:t>
                  </w:r>
                  <w:r>
                    <w:rPr>
                      <w:rFonts w:ascii="Times New Roman" w:hAnsi="Times New Roman"/>
                      <w:color w:val="000000"/>
                      <w:kern w:val="0"/>
                      <w:sz w:val="21"/>
                      <w:szCs w:val="21"/>
                    </w:rPr>
                    <w:t>（</w:t>
                  </w:r>
                  <w:r>
                    <w:rPr>
                      <w:rFonts w:hint="eastAsia" w:ascii="Times New Roman" w:hAnsi="Times New Roman"/>
                      <w:color w:val="000000"/>
                      <w:kern w:val="0"/>
                      <w:sz w:val="21"/>
                      <w:szCs w:val="21"/>
                      <w:lang w:val="en-US" w:eastAsia="zh-CN"/>
                    </w:rPr>
                    <w:t>/</w:t>
                  </w:r>
                  <w:r>
                    <w:rPr>
                      <w:rFonts w:ascii="Times New Roman" w:hAnsi="Times New Roman"/>
                      <w:color w:val="000000"/>
                      <w:kern w:val="0"/>
                      <w:sz w:val="21"/>
                      <w:szCs w:val="21"/>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89" w:hRule="atLeast"/>
              </w:trPr>
              <w:tc>
                <w:tcPr>
                  <w:tcW w:w="473"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评价标准</w:t>
                  </w: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评价标准</w:t>
                  </w:r>
                </w:p>
              </w:tc>
              <w:tc>
                <w:tcPr>
                  <w:tcW w:w="3217"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国家标准√</w:t>
                  </w:r>
                </w:p>
              </w:tc>
              <w:tc>
                <w:tcPr>
                  <w:tcW w:w="677"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地方标准□</w:t>
                  </w:r>
                </w:p>
              </w:tc>
              <w:tc>
                <w:tcPr>
                  <w:tcW w:w="1306" w:type="dxa"/>
                  <w:gridSpan w:val="2"/>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附录D□</w:t>
                  </w:r>
                </w:p>
              </w:tc>
              <w:tc>
                <w:tcPr>
                  <w:tcW w:w="1229"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其他标准□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473" w:type="dxa"/>
                  <w:vMerge w:val="restart"/>
                  <w:tcBorders>
                    <w:tl2br w:val="nil"/>
                    <w:tr2bl w:val="nil"/>
                  </w:tcBorders>
                  <w:noWrap w:val="0"/>
                  <w:vAlign w:val="center"/>
                </w:tcPr>
                <w:p>
                  <w:pPr>
                    <w:widowControl/>
                    <w:autoSpaceDE w:val="0"/>
                    <w:autoSpaceDN w:val="0"/>
                    <w:adjustRightInd w:val="0"/>
                    <w:snapToGrid w:val="0"/>
                    <w:jc w:val="center"/>
                    <w:textAlignment w:val="center"/>
                    <w:rPr>
                      <w:rFonts w:ascii="Times New Roman" w:hAnsi="Times New Roman"/>
                      <w:color w:val="000000"/>
                      <w:sz w:val="21"/>
                      <w:szCs w:val="21"/>
                    </w:rPr>
                  </w:pPr>
                  <w:r>
                    <w:rPr>
                      <w:rFonts w:ascii="Times New Roman" w:hAnsi="Times New Roman"/>
                      <w:color w:val="000000"/>
                      <w:kern w:val="0"/>
                      <w:sz w:val="21"/>
                      <w:szCs w:val="21"/>
                    </w:rPr>
                    <w:t>现状评价</w:t>
                  </w: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评价功能区</w:t>
                  </w:r>
                </w:p>
              </w:tc>
              <w:tc>
                <w:tcPr>
                  <w:tcW w:w="3217"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一类区□</w:t>
                  </w:r>
                </w:p>
              </w:tc>
              <w:tc>
                <w:tcPr>
                  <w:tcW w:w="1983"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二类区√</w:t>
                  </w:r>
                </w:p>
              </w:tc>
              <w:tc>
                <w:tcPr>
                  <w:tcW w:w="1229"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一类区和二类区□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473" w:type="dxa"/>
                  <w:vMerge w:val="continue"/>
                  <w:tcBorders>
                    <w:tl2br w:val="nil"/>
                    <w:tr2bl w:val="nil"/>
                  </w:tcBorders>
                  <w:noWrap w:val="0"/>
                  <w:vAlign w:val="center"/>
                </w:tcPr>
                <w:p>
                  <w:pPr>
                    <w:widowControl/>
                    <w:autoSpaceDE w:val="0"/>
                    <w:autoSpaceDN w:val="0"/>
                    <w:adjustRightInd w:val="0"/>
                    <w:snapToGrid w:val="0"/>
                    <w:jc w:val="center"/>
                    <w:rPr>
                      <w:rFonts w:ascii="Times New Roman" w:hAnsi="Times New Roman"/>
                      <w:color w:val="000000"/>
                      <w:sz w:val="21"/>
                      <w:szCs w:val="21"/>
                    </w:rPr>
                  </w:pP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评价基准年</w:t>
                  </w:r>
                </w:p>
              </w:tc>
              <w:tc>
                <w:tcPr>
                  <w:tcW w:w="6429" w:type="dxa"/>
                  <w:gridSpan w:val="7"/>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（2019）年</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754" w:hRule="atLeast"/>
              </w:trPr>
              <w:tc>
                <w:tcPr>
                  <w:tcW w:w="473" w:type="dxa"/>
                  <w:vMerge w:val="continue"/>
                  <w:tcBorders>
                    <w:tl2br w:val="nil"/>
                    <w:tr2bl w:val="nil"/>
                  </w:tcBorders>
                  <w:noWrap w:val="0"/>
                  <w:vAlign w:val="center"/>
                </w:tcPr>
                <w:p>
                  <w:pPr>
                    <w:widowControl/>
                    <w:autoSpaceDE w:val="0"/>
                    <w:autoSpaceDN w:val="0"/>
                    <w:adjustRightInd w:val="0"/>
                    <w:snapToGrid w:val="0"/>
                    <w:jc w:val="center"/>
                    <w:rPr>
                      <w:rFonts w:ascii="Times New Roman" w:hAnsi="Times New Roman"/>
                      <w:color w:val="000000"/>
                      <w:sz w:val="21"/>
                      <w:szCs w:val="21"/>
                    </w:rPr>
                  </w:pP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环境空气质量现状调查数据来源</w:t>
                  </w:r>
                </w:p>
              </w:tc>
              <w:tc>
                <w:tcPr>
                  <w:tcW w:w="3217"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长期例行监测标准□</w:t>
                  </w:r>
                </w:p>
              </w:tc>
              <w:tc>
                <w:tcPr>
                  <w:tcW w:w="1983"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主管部门发布的数据标准√</w:t>
                  </w:r>
                </w:p>
              </w:tc>
              <w:tc>
                <w:tcPr>
                  <w:tcW w:w="1229"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现状补充标准√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473" w:type="dxa"/>
                  <w:vMerge w:val="continue"/>
                  <w:tcBorders>
                    <w:tl2br w:val="nil"/>
                    <w:tr2bl w:val="nil"/>
                  </w:tcBorders>
                  <w:noWrap w:val="0"/>
                  <w:vAlign w:val="center"/>
                </w:tcPr>
                <w:p>
                  <w:pPr>
                    <w:widowControl/>
                    <w:autoSpaceDE w:val="0"/>
                    <w:autoSpaceDN w:val="0"/>
                    <w:adjustRightInd w:val="0"/>
                    <w:snapToGrid w:val="0"/>
                    <w:jc w:val="center"/>
                    <w:rPr>
                      <w:rFonts w:ascii="Times New Roman" w:hAnsi="Times New Roman"/>
                      <w:color w:val="000000"/>
                      <w:sz w:val="21"/>
                      <w:szCs w:val="21"/>
                    </w:rPr>
                  </w:pP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现状评价</w:t>
                  </w:r>
                </w:p>
              </w:tc>
              <w:tc>
                <w:tcPr>
                  <w:tcW w:w="3894" w:type="dxa"/>
                  <w:gridSpan w:val="4"/>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达标区□</w:t>
                  </w:r>
                </w:p>
              </w:tc>
              <w:tc>
                <w:tcPr>
                  <w:tcW w:w="2535"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不达标区√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1375" w:hRule="atLeast"/>
              </w:trPr>
              <w:tc>
                <w:tcPr>
                  <w:tcW w:w="473"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污染源调查</w:t>
                  </w: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调查内容</w:t>
                  </w:r>
                </w:p>
              </w:tc>
              <w:tc>
                <w:tcPr>
                  <w:tcW w:w="3217"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本项目正常排放源√</w:t>
                  </w:r>
                  <w:r>
                    <w:rPr>
                      <w:rFonts w:ascii="Times New Roman" w:hAnsi="Times New Roman"/>
                      <w:color w:val="000000"/>
                      <w:kern w:val="0"/>
                      <w:sz w:val="21"/>
                      <w:szCs w:val="21"/>
                    </w:rPr>
                    <w:br w:type="textWrapping"/>
                  </w:r>
                  <w:r>
                    <w:rPr>
                      <w:rFonts w:ascii="Times New Roman" w:hAnsi="Times New Roman"/>
                      <w:color w:val="000000"/>
                      <w:kern w:val="0"/>
                      <w:sz w:val="21"/>
                      <w:szCs w:val="21"/>
                    </w:rPr>
                    <w:t>本项目非正常排放源□</w:t>
                  </w:r>
                  <w:r>
                    <w:rPr>
                      <w:rFonts w:ascii="Times New Roman" w:hAnsi="Times New Roman"/>
                      <w:color w:val="000000"/>
                      <w:kern w:val="0"/>
                      <w:sz w:val="21"/>
                      <w:szCs w:val="21"/>
                    </w:rPr>
                    <w:br w:type="textWrapping"/>
                  </w:r>
                  <w:r>
                    <w:rPr>
                      <w:rFonts w:ascii="Times New Roman" w:hAnsi="Times New Roman"/>
                      <w:color w:val="000000"/>
                      <w:kern w:val="0"/>
                      <w:sz w:val="21"/>
                      <w:szCs w:val="21"/>
                    </w:rPr>
                    <w:t>现有污染源□</w:t>
                  </w:r>
                </w:p>
              </w:tc>
              <w:tc>
                <w:tcPr>
                  <w:tcW w:w="677"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拟替代的污染源□</w:t>
                  </w:r>
                </w:p>
              </w:tc>
              <w:tc>
                <w:tcPr>
                  <w:tcW w:w="1306" w:type="dxa"/>
                  <w:gridSpan w:val="2"/>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其他在建、拟建项目污染源□</w:t>
                  </w:r>
                </w:p>
              </w:tc>
              <w:tc>
                <w:tcPr>
                  <w:tcW w:w="1229"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区域污染源□</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820" w:hRule="atLeast"/>
              </w:trPr>
              <w:tc>
                <w:tcPr>
                  <w:tcW w:w="473" w:type="dxa"/>
                  <w:vMerge w:val="restart"/>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环境监测计划</w:t>
                  </w: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污染源监测</w:t>
                  </w:r>
                </w:p>
              </w:tc>
              <w:tc>
                <w:tcPr>
                  <w:tcW w:w="3217"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监测因子：（颗粒物</w:t>
                  </w:r>
                  <w:r>
                    <w:rPr>
                      <w:rFonts w:hint="eastAsia" w:ascii="Times New Roman" w:hAnsi="Times New Roman"/>
                      <w:color w:val="000000"/>
                      <w:kern w:val="0"/>
                      <w:sz w:val="21"/>
                      <w:szCs w:val="21"/>
                      <w:lang w:eastAsia="zh-CN"/>
                    </w:rPr>
                    <w:t>、</w:t>
                  </w:r>
                  <w:r>
                    <w:rPr>
                      <w:rFonts w:hint="eastAsia" w:ascii="Times New Roman" w:hAnsi="Times New Roman"/>
                      <w:color w:val="000000"/>
                      <w:kern w:val="0"/>
                      <w:sz w:val="21"/>
                      <w:szCs w:val="21"/>
                      <w:lang w:val="en-US" w:eastAsia="zh-CN"/>
                    </w:rPr>
                    <w:t>二氧化硫、氮氧化物</w:t>
                  </w:r>
                  <w:r>
                    <w:rPr>
                      <w:rFonts w:ascii="Times New Roman" w:hAnsi="Times New Roman"/>
                      <w:color w:val="000000"/>
                      <w:kern w:val="0"/>
                      <w:sz w:val="21"/>
                      <w:szCs w:val="21"/>
                    </w:rPr>
                    <w:t>）</w:t>
                  </w:r>
                </w:p>
              </w:tc>
              <w:tc>
                <w:tcPr>
                  <w:tcW w:w="1983"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有组织废气监测√</w:t>
                  </w:r>
                  <w:r>
                    <w:rPr>
                      <w:rFonts w:ascii="Times New Roman" w:hAnsi="Times New Roman"/>
                      <w:color w:val="000000"/>
                      <w:kern w:val="0"/>
                      <w:sz w:val="21"/>
                      <w:szCs w:val="21"/>
                    </w:rPr>
                    <w:br w:type="textWrapping"/>
                  </w:r>
                  <w:r>
                    <w:rPr>
                      <w:rFonts w:ascii="Times New Roman" w:hAnsi="Times New Roman"/>
                      <w:color w:val="000000"/>
                      <w:kern w:val="0"/>
                      <w:sz w:val="21"/>
                      <w:szCs w:val="21"/>
                    </w:rPr>
                    <w:t>无组织废气监测√</w:t>
                  </w:r>
                </w:p>
              </w:tc>
              <w:tc>
                <w:tcPr>
                  <w:tcW w:w="1229"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无监测□</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410" w:hRule="atLeast"/>
              </w:trPr>
              <w:tc>
                <w:tcPr>
                  <w:tcW w:w="473" w:type="dxa"/>
                  <w:vMerge w:val="continue"/>
                  <w:tcBorders>
                    <w:tl2br w:val="nil"/>
                    <w:tr2bl w:val="nil"/>
                  </w:tcBorders>
                  <w:noWrap w:val="0"/>
                  <w:vAlign w:val="center"/>
                </w:tcPr>
                <w:p>
                  <w:pPr>
                    <w:widowControl/>
                    <w:autoSpaceDE w:val="0"/>
                    <w:autoSpaceDN w:val="0"/>
                    <w:adjustRightInd w:val="0"/>
                    <w:snapToGrid w:val="0"/>
                    <w:jc w:val="center"/>
                    <w:rPr>
                      <w:rFonts w:ascii="Times New Roman" w:hAnsi="Times New Roman"/>
                      <w:color w:val="000000"/>
                      <w:sz w:val="21"/>
                      <w:szCs w:val="21"/>
                    </w:rPr>
                  </w:pP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环境质量监测</w:t>
                  </w:r>
                </w:p>
              </w:tc>
              <w:tc>
                <w:tcPr>
                  <w:tcW w:w="3217"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监测因子：（</w:t>
                  </w:r>
                  <w:r>
                    <w:rPr>
                      <w:rFonts w:hint="eastAsia" w:ascii="Times New Roman" w:hAnsi="Times New Roman"/>
                      <w:color w:val="000000"/>
                      <w:kern w:val="0"/>
                      <w:sz w:val="21"/>
                      <w:szCs w:val="21"/>
                      <w:lang w:val="en-US" w:eastAsia="zh-CN"/>
                    </w:rPr>
                    <w:t>/</w:t>
                  </w:r>
                  <w:r>
                    <w:rPr>
                      <w:rFonts w:ascii="Times New Roman" w:hAnsi="Times New Roman"/>
                      <w:color w:val="000000"/>
                      <w:kern w:val="0"/>
                      <w:sz w:val="21"/>
                      <w:szCs w:val="21"/>
                    </w:rPr>
                    <w:t>）</w:t>
                  </w:r>
                </w:p>
              </w:tc>
              <w:tc>
                <w:tcPr>
                  <w:tcW w:w="1983" w:type="dxa"/>
                  <w:gridSpan w:val="3"/>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监测点位数（</w:t>
                  </w:r>
                  <w:r>
                    <w:rPr>
                      <w:rFonts w:hint="eastAsia" w:ascii="Times New Roman" w:hAnsi="Times New Roman"/>
                      <w:color w:val="000000"/>
                      <w:kern w:val="0"/>
                      <w:sz w:val="21"/>
                      <w:szCs w:val="21"/>
                      <w:lang w:val="en-US" w:eastAsia="zh-CN"/>
                    </w:rPr>
                    <w:t>/</w:t>
                  </w:r>
                  <w:r>
                    <w:rPr>
                      <w:rFonts w:ascii="Times New Roman" w:hAnsi="Times New Roman"/>
                      <w:color w:val="000000"/>
                      <w:kern w:val="0"/>
                      <w:sz w:val="21"/>
                      <w:szCs w:val="21"/>
                    </w:rPr>
                    <w:t>）</w:t>
                  </w:r>
                </w:p>
              </w:tc>
              <w:tc>
                <w:tcPr>
                  <w:tcW w:w="1229"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无监测√</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410" w:hRule="atLeast"/>
              </w:trPr>
              <w:tc>
                <w:tcPr>
                  <w:tcW w:w="473" w:type="dxa"/>
                  <w:vMerge w:val="restart"/>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评价结论</w:t>
                  </w: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环境影响</w:t>
                  </w:r>
                </w:p>
              </w:tc>
              <w:tc>
                <w:tcPr>
                  <w:tcW w:w="6429" w:type="dxa"/>
                  <w:gridSpan w:val="7"/>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可以接受√             不可以接受 □</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473" w:type="dxa"/>
                  <w:vMerge w:val="continue"/>
                  <w:tcBorders>
                    <w:tl2br w:val="nil"/>
                    <w:tr2bl w:val="nil"/>
                  </w:tcBorders>
                  <w:noWrap w:val="0"/>
                  <w:vAlign w:val="center"/>
                </w:tcPr>
                <w:p>
                  <w:pPr>
                    <w:widowControl/>
                    <w:autoSpaceDE w:val="0"/>
                    <w:autoSpaceDN w:val="0"/>
                    <w:adjustRightInd w:val="0"/>
                    <w:snapToGrid w:val="0"/>
                    <w:jc w:val="center"/>
                    <w:rPr>
                      <w:rFonts w:ascii="Times New Roman" w:hAnsi="Times New Roman"/>
                      <w:color w:val="000000"/>
                      <w:sz w:val="21"/>
                      <w:szCs w:val="21"/>
                    </w:rPr>
                  </w:pP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大气环境防护距离</w:t>
                  </w:r>
                </w:p>
              </w:tc>
              <w:tc>
                <w:tcPr>
                  <w:tcW w:w="6429" w:type="dxa"/>
                  <w:gridSpan w:val="7"/>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547" w:hRule="atLeast"/>
              </w:trPr>
              <w:tc>
                <w:tcPr>
                  <w:tcW w:w="473" w:type="dxa"/>
                  <w:vMerge w:val="continue"/>
                  <w:tcBorders>
                    <w:tl2br w:val="nil"/>
                    <w:tr2bl w:val="nil"/>
                  </w:tcBorders>
                  <w:noWrap w:val="0"/>
                  <w:vAlign w:val="center"/>
                </w:tcPr>
                <w:p>
                  <w:pPr>
                    <w:widowControl/>
                    <w:autoSpaceDE w:val="0"/>
                    <w:autoSpaceDN w:val="0"/>
                    <w:adjustRightInd w:val="0"/>
                    <w:snapToGrid w:val="0"/>
                    <w:jc w:val="center"/>
                    <w:rPr>
                      <w:rFonts w:ascii="Times New Roman" w:hAnsi="Times New Roman"/>
                      <w:color w:val="000000"/>
                      <w:sz w:val="21"/>
                      <w:szCs w:val="21"/>
                    </w:rPr>
                  </w:pPr>
                </w:p>
              </w:tc>
              <w:tc>
                <w:tcPr>
                  <w:tcW w:w="1404" w:type="dxa"/>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污染源年排放量</w:t>
                  </w:r>
                </w:p>
              </w:tc>
              <w:tc>
                <w:tcPr>
                  <w:tcW w:w="1913" w:type="dxa"/>
                  <w:gridSpan w:val="2"/>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kern w:val="0"/>
                      <w:sz w:val="21"/>
                      <w:szCs w:val="21"/>
                    </w:rPr>
                  </w:pPr>
                  <w:r>
                    <w:rPr>
                      <w:rFonts w:ascii="Times New Roman" w:hAnsi="Times New Roman"/>
                      <w:color w:val="000000"/>
                      <w:kern w:val="0"/>
                      <w:sz w:val="21"/>
                      <w:szCs w:val="21"/>
                    </w:rPr>
                    <w:t>颗粒物：</w:t>
                  </w:r>
                  <w:r>
                    <w:rPr>
                      <w:rFonts w:hint="eastAsia"/>
                      <w:color w:val="000000"/>
                      <w:kern w:val="0"/>
                      <w:sz w:val="21"/>
                      <w:szCs w:val="21"/>
                      <w:lang w:val="en-US" w:eastAsia="zh-CN"/>
                    </w:rPr>
                    <w:t>22.52</w:t>
                  </w:r>
                  <w:r>
                    <w:rPr>
                      <w:rFonts w:ascii="Times New Roman" w:hAnsi="Times New Roman"/>
                      <w:color w:val="000000"/>
                      <w:kern w:val="0"/>
                      <w:sz w:val="21"/>
                      <w:szCs w:val="21"/>
                    </w:rPr>
                    <w:t>t/a</w:t>
                  </w:r>
                </w:p>
              </w:tc>
              <w:tc>
                <w:tcPr>
                  <w:tcW w:w="1304" w:type="dxa"/>
                  <w:tcBorders>
                    <w:tl2br w:val="nil"/>
                    <w:tr2bl w:val="nil"/>
                  </w:tcBorders>
                  <w:noWrap w:val="0"/>
                  <w:vAlign w:val="center"/>
                </w:tcPr>
                <w:p>
                  <w:pPr>
                    <w:autoSpaceDE w:val="0"/>
                    <w:autoSpaceDN w:val="0"/>
                    <w:adjustRightInd w:val="0"/>
                    <w:snapToGrid w:val="0"/>
                    <w:spacing w:line="320" w:lineRule="exact"/>
                    <w:jc w:val="center"/>
                    <w:textAlignment w:val="center"/>
                    <w:rPr>
                      <w:rFonts w:ascii="Times New Roman" w:hAnsi="Times New Roman"/>
                      <w:color w:val="000000"/>
                      <w:kern w:val="0"/>
                      <w:sz w:val="21"/>
                      <w:szCs w:val="21"/>
                    </w:rPr>
                  </w:pPr>
                  <w:r>
                    <w:rPr>
                      <w:rFonts w:ascii="Times New Roman" w:hAnsi="Times New Roman"/>
                      <w:color w:val="000000"/>
                      <w:kern w:val="0"/>
                      <w:sz w:val="21"/>
                      <w:szCs w:val="21"/>
                    </w:rPr>
                    <w:t>SO</w:t>
                  </w:r>
                  <w:r>
                    <w:rPr>
                      <w:rFonts w:ascii="Times New Roman" w:hAnsi="Times New Roman"/>
                      <w:color w:val="000000"/>
                      <w:kern w:val="0"/>
                      <w:sz w:val="21"/>
                      <w:szCs w:val="21"/>
                      <w:vertAlign w:val="subscript"/>
                    </w:rPr>
                    <w:t>2</w:t>
                  </w:r>
                  <w:r>
                    <w:rPr>
                      <w:rFonts w:ascii="Times New Roman" w:hAnsi="Times New Roman"/>
                      <w:color w:val="000000"/>
                      <w:kern w:val="0"/>
                      <w:sz w:val="21"/>
                      <w:szCs w:val="21"/>
                    </w:rPr>
                    <w:t>：</w:t>
                  </w:r>
                  <w:r>
                    <w:rPr>
                      <w:rFonts w:hint="eastAsia"/>
                      <w:color w:val="000000"/>
                      <w:kern w:val="0"/>
                      <w:sz w:val="21"/>
                      <w:szCs w:val="21"/>
                      <w:lang w:val="en-US" w:eastAsia="zh-CN"/>
                    </w:rPr>
                    <w:t>14.02</w:t>
                  </w:r>
                  <w:r>
                    <w:rPr>
                      <w:rFonts w:ascii="Times New Roman" w:hAnsi="Times New Roman"/>
                      <w:color w:val="000000"/>
                      <w:kern w:val="0"/>
                      <w:sz w:val="21"/>
                      <w:szCs w:val="21"/>
                    </w:rPr>
                    <w:t>t/a</w:t>
                  </w:r>
                </w:p>
              </w:tc>
              <w:tc>
                <w:tcPr>
                  <w:tcW w:w="1765" w:type="dxa"/>
                  <w:gridSpan w:val="2"/>
                  <w:tcBorders>
                    <w:tl2br w:val="nil"/>
                    <w:tr2bl w:val="nil"/>
                  </w:tcBorders>
                  <w:noWrap w:val="0"/>
                  <w:vAlign w:val="center"/>
                </w:tcPr>
                <w:p>
                  <w:pPr>
                    <w:widowControl/>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NOx：</w:t>
                  </w:r>
                  <w:r>
                    <w:rPr>
                      <w:rFonts w:hint="eastAsia"/>
                      <w:color w:val="000000"/>
                      <w:kern w:val="0"/>
                      <w:sz w:val="21"/>
                      <w:szCs w:val="21"/>
                      <w:lang w:val="en-US" w:eastAsia="zh-CN"/>
                    </w:rPr>
                    <w:t>45.56</w:t>
                  </w:r>
                  <w:r>
                    <w:rPr>
                      <w:rFonts w:ascii="Times New Roman" w:hAnsi="Times New Roman"/>
                      <w:color w:val="000000"/>
                      <w:kern w:val="0"/>
                      <w:sz w:val="21"/>
                      <w:szCs w:val="21"/>
                    </w:rPr>
                    <w:t>t/a</w:t>
                  </w:r>
                </w:p>
              </w:tc>
              <w:tc>
                <w:tcPr>
                  <w:tcW w:w="1447" w:type="dxa"/>
                  <w:gridSpan w:val="2"/>
                  <w:tcBorders>
                    <w:tl2br w:val="nil"/>
                    <w:tr2bl w:val="nil"/>
                  </w:tcBorders>
                  <w:noWrap w:val="0"/>
                  <w:vAlign w:val="center"/>
                </w:tcPr>
                <w:p>
                  <w:pPr>
                    <w:autoSpaceDE w:val="0"/>
                    <w:autoSpaceDN w:val="0"/>
                    <w:adjustRightInd w:val="0"/>
                    <w:snapToGrid w:val="0"/>
                    <w:spacing w:line="320" w:lineRule="exact"/>
                    <w:jc w:val="center"/>
                    <w:textAlignment w:val="center"/>
                    <w:rPr>
                      <w:rFonts w:ascii="Times New Roman" w:hAnsi="Times New Roman"/>
                      <w:color w:val="000000"/>
                      <w:sz w:val="21"/>
                      <w:szCs w:val="21"/>
                    </w:rPr>
                  </w:pPr>
                  <w:r>
                    <w:rPr>
                      <w:rFonts w:ascii="Times New Roman" w:hAnsi="Times New Roman"/>
                      <w:color w:val="000000"/>
                      <w:kern w:val="0"/>
                      <w:sz w:val="21"/>
                      <w:szCs w:val="21"/>
                    </w:rPr>
                    <w:t>VOCs:t/a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43" w:hRule="atLeast"/>
              </w:trPr>
              <w:tc>
                <w:tcPr>
                  <w:tcW w:w="8306" w:type="dxa"/>
                  <w:gridSpan w:val="9"/>
                  <w:tcBorders>
                    <w:tl2br w:val="nil"/>
                    <w:tr2bl w:val="nil"/>
                  </w:tcBorders>
                  <w:noWrap w:val="0"/>
                  <w:vAlign w:val="center"/>
                </w:tcPr>
                <w:p>
                  <w:pPr>
                    <w:widowControl/>
                    <w:autoSpaceDE w:val="0"/>
                    <w:autoSpaceDN w:val="0"/>
                    <w:adjustRightInd w:val="0"/>
                    <w:snapToGrid w:val="0"/>
                    <w:spacing w:line="320" w:lineRule="exact"/>
                    <w:jc w:val="left"/>
                    <w:textAlignment w:val="center"/>
                    <w:rPr>
                      <w:rFonts w:ascii="Times New Roman" w:hAnsi="Times New Roman"/>
                      <w:color w:val="000000"/>
                      <w:sz w:val="21"/>
                      <w:szCs w:val="21"/>
                    </w:rPr>
                  </w:pPr>
                  <w:r>
                    <w:rPr>
                      <w:rFonts w:ascii="Times New Roman" w:hAnsi="Times New Roman"/>
                      <w:color w:val="000000"/>
                      <w:kern w:val="0"/>
                      <w:sz w:val="21"/>
                      <w:szCs w:val="21"/>
                    </w:rPr>
                    <w:t>注：“□”，填“√”；“（  ）”为内容填写项</w:t>
                  </w:r>
                </w:p>
              </w:tc>
            </w:tr>
          </w:tbl>
          <w:p>
            <w:pPr>
              <w:autoSpaceDE w:val="0"/>
              <w:autoSpaceDN w:val="0"/>
              <w:adjustRightInd w:val="0"/>
              <w:spacing w:line="360" w:lineRule="auto"/>
              <w:rPr>
                <w:rFonts w:ascii="Times New Roman" w:hAnsi="Times New Roman" w:eastAsia="宋体"/>
                <w:bCs/>
                <w:color w:val="000000"/>
                <w:sz w:val="24"/>
                <w:highlight w:val="none"/>
              </w:rPr>
            </w:pPr>
            <w:r>
              <w:rPr>
                <w:rFonts w:ascii="Times New Roman" w:hAnsi="Times New Roman" w:eastAsia="宋体"/>
                <w:bCs/>
                <w:color w:val="000000"/>
                <w:sz w:val="24"/>
                <w:highlight w:val="none"/>
              </w:rPr>
              <w:t xml:space="preserve">    三、声环境影响分析</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（1）建设项目噪声污染源强分析</w:t>
            </w:r>
          </w:p>
          <w:p>
            <w:pPr>
              <w:widowControl/>
              <w:spacing w:line="360" w:lineRule="auto"/>
              <w:ind w:firstLine="480" w:firstLineChars="200"/>
              <w:rPr>
                <w:rFonts w:ascii="Times New Roman" w:hAnsi="Times New Roman" w:eastAsia="宋体"/>
                <w:b/>
                <w:color w:val="000000"/>
                <w:sz w:val="24"/>
                <w:szCs w:val="22"/>
                <w:highlight w:val="none"/>
              </w:rPr>
            </w:pPr>
            <w:r>
              <w:rPr>
                <w:rFonts w:ascii="Times New Roman" w:hAnsi="Times New Roman" w:eastAsia="宋体"/>
                <w:color w:val="000000"/>
                <w:sz w:val="24"/>
                <w:highlight w:val="none"/>
              </w:rPr>
              <w:t>本项目产生的噪声主要来自于车间各生产设备，据同类型厂的设备调研，声级值为 65dB(A)～95dB(A)。生产时尽量减少车间门窗的开启频次，利用墙壁的作用，使噪声受到不同程度的隔绝和吸收，做到尽可能屏蔽声源，减少对环境的影响。同时在工厂总体布置上利用建筑物、构筑物来阻隔声波的传播。通常厂房的隔声量为</w:t>
            </w:r>
            <w:r>
              <w:rPr>
                <w:rFonts w:hint="eastAsia" w:ascii="Times New Roman" w:hAnsi="Times New Roman" w:eastAsia="宋体"/>
                <w:color w:val="000000"/>
                <w:sz w:val="24"/>
                <w:highlight w:val="none"/>
                <w:lang w:val="en-US" w:eastAsia="zh-CN"/>
              </w:rPr>
              <w:t>15</w:t>
            </w:r>
            <w:r>
              <w:rPr>
                <w:rFonts w:ascii="Times New Roman" w:hAnsi="Times New Roman" w:eastAsia="宋体"/>
                <w:color w:val="000000"/>
                <w:sz w:val="24"/>
                <w:highlight w:val="none"/>
              </w:rPr>
              <w:t>~2</w:t>
            </w:r>
            <w:r>
              <w:rPr>
                <w:rFonts w:hint="eastAsia" w:ascii="Times New Roman" w:hAnsi="Times New Roman" w:eastAsia="宋体"/>
                <w:color w:val="000000"/>
                <w:sz w:val="24"/>
                <w:highlight w:val="none"/>
                <w:lang w:val="en-US" w:eastAsia="zh-CN"/>
              </w:rPr>
              <w:t>0</w:t>
            </w:r>
            <w:r>
              <w:rPr>
                <w:rFonts w:ascii="Times New Roman" w:hAnsi="Times New Roman" w:eastAsia="宋体"/>
                <w:color w:val="000000"/>
                <w:sz w:val="24"/>
                <w:highlight w:val="none"/>
              </w:rPr>
              <w:t>dB(A)。本项目主要设备噪声源强见下表。</w:t>
            </w:r>
          </w:p>
          <w:p>
            <w:pPr>
              <w:pStyle w:val="5"/>
              <w:tabs>
                <w:tab w:val="left" w:pos="2559"/>
                <w:tab w:val="left" w:pos="6171"/>
              </w:tabs>
              <w:spacing w:before="0" w:beforeLines="0" w:after="0" w:afterLines="0" w:line="360" w:lineRule="auto"/>
              <w:jc w:val="center"/>
              <w:rPr>
                <w:rFonts w:ascii="Times New Roman" w:hAnsi="Times New Roman" w:eastAsia="宋体"/>
                <w:b/>
                <w:bCs w:val="0"/>
                <w:color w:val="000000"/>
                <w:szCs w:val="22"/>
                <w:highlight w:val="none"/>
              </w:rPr>
            </w:pPr>
            <w:r>
              <w:rPr>
                <w:rFonts w:ascii="Times New Roman" w:hAnsi="Times New Roman" w:eastAsia="宋体"/>
                <w:b/>
                <w:bCs w:val="0"/>
                <w:color w:val="000000"/>
                <w:szCs w:val="22"/>
                <w:highlight w:val="none"/>
              </w:rPr>
              <w:t>表7-</w:t>
            </w:r>
            <w:r>
              <w:rPr>
                <w:rFonts w:hint="eastAsia" w:ascii="Times New Roman" w:hAnsi="Times New Roman" w:eastAsia="宋体"/>
                <w:b/>
                <w:bCs w:val="0"/>
                <w:color w:val="000000"/>
                <w:szCs w:val="22"/>
                <w:highlight w:val="none"/>
                <w:lang w:val="en-US" w:eastAsia="zh-CN"/>
              </w:rPr>
              <w:t>8</w:t>
            </w:r>
            <w:r>
              <w:rPr>
                <w:rFonts w:ascii="Times New Roman" w:hAnsi="Times New Roman" w:eastAsia="宋体"/>
                <w:b/>
                <w:bCs w:val="0"/>
                <w:color w:val="000000"/>
                <w:szCs w:val="22"/>
                <w:highlight w:val="none"/>
              </w:rPr>
              <w:t xml:space="preserve">  营运期间噪声污染源强  单位 dB（A）</w:t>
            </w:r>
          </w:p>
          <w:tbl>
            <w:tblPr>
              <w:tblStyle w:val="28"/>
              <w:tblW w:w="4998" w:type="pct"/>
              <w:jc w:val="center"/>
              <w:tblLayout w:type="autofit"/>
              <w:tblCellMar>
                <w:top w:w="0" w:type="dxa"/>
                <w:left w:w="0" w:type="dxa"/>
                <w:bottom w:w="0" w:type="dxa"/>
                <w:right w:w="0" w:type="dxa"/>
              </w:tblCellMar>
            </w:tblPr>
            <w:tblGrid>
              <w:gridCol w:w="877"/>
              <w:gridCol w:w="2422"/>
              <w:gridCol w:w="1464"/>
              <w:gridCol w:w="1480"/>
              <w:gridCol w:w="2060"/>
            </w:tblGrid>
            <w:tr>
              <w:tblPrEx>
                <w:tblCellMar>
                  <w:top w:w="0" w:type="dxa"/>
                  <w:left w:w="0" w:type="dxa"/>
                  <w:bottom w:w="0" w:type="dxa"/>
                  <w:right w:w="0" w:type="dxa"/>
                </w:tblCellMar>
              </w:tblPrEx>
              <w:trPr>
                <w:trHeight w:val="330"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编号</w:t>
                  </w:r>
                </w:p>
              </w:tc>
              <w:tc>
                <w:tcPr>
                  <w:tcW w:w="145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设备名称</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治理前等效声级[dB(A)]</w:t>
                  </w:r>
                </w:p>
              </w:tc>
              <w:tc>
                <w:tcPr>
                  <w:tcW w:w="891" w:type="pct"/>
                  <w:tcBorders>
                    <w:top w:val="single" w:color="000000" w:sz="4" w:space="0"/>
                    <w:left w:val="single" w:color="000000" w:sz="4" w:space="0"/>
                    <w:bottom w:val="single" w:color="000000" w:sz="4" w:space="0"/>
                    <w:right w:val="single" w:color="auto" w:sz="4" w:space="0"/>
                  </w:tcBorders>
                  <w:noWrap w:val="0"/>
                  <w:vAlign w:val="center"/>
                </w:tcPr>
                <w:p>
                  <w:pPr>
                    <w:jc w:val="center"/>
                    <w:rPr>
                      <w:rFonts w:ascii="Times New Roman" w:hAnsi="Times New Roman" w:eastAsia="宋体"/>
                      <w:color w:val="000000"/>
                      <w:szCs w:val="21"/>
                      <w:highlight w:val="none"/>
                    </w:rPr>
                  </w:pPr>
                  <w:r>
                    <w:rPr>
                      <w:rFonts w:ascii="Times New Roman" w:hAnsi="Times New Roman" w:eastAsia="宋体"/>
                      <w:szCs w:val="21"/>
                      <w:highlight w:val="none"/>
                    </w:rPr>
                    <w:t>治理措施</w:t>
                  </w:r>
                </w:p>
              </w:tc>
              <w:tc>
                <w:tcPr>
                  <w:tcW w:w="1240" w:type="pct"/>
                  <w:tcBorders>
                    <w:top w:val="single" w:color="000000" w:sz="4" w:space="0"/>
                    <w:left w:val="single" w:color="auto" w:sz="4" w:space="0"/>
                    <w:bottom w:val="single" w:color="000000" w:sz="4" w:space="0"/>
                    <w:right w:val="single" w:color="000000" w:sz="4" w:space="0"/>
                  </w:tcBorders>
                  <w:noWrap w:val="0"/>
                  <w:vAlign w:val="center"/>
                </w:tcPr>
                <w:p>
                  <w:pPr>
                    <w:jc w:val="center"/>
                    <w:rPr>
                      <w:rFonts w:ascii="Times New Roman" w:hAnsi="Times New Roman" w:eastAsia="宋体"/>
                      <w:szCs w:val="21"/>
                      <w:highlight w:val="none"/>
                    </w:rPr>
                  </w:pPr>
                  <w:r>
                    <w:rPr>
                      <w:rFonts w:ascii="Times New Roman" w:hAnsi="Times New Roman" w:eastAsia="宋体"/>
                      <w:szCs w:val="21"/>
                      <w:highlight w:val="none"/>
                    </w:rPr>
                    <w:t>治理后等效声级[dB(A)]</w:t>
                  </w:r>
                </w:p>
              </w:tc>
            </w:tr>
            <w:tr>
              <w:trPr>
                <w:trHeight w:val="322"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1</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bCs/>
                      <w:color w:val="000000"/>
                      <w:szCs w:val="22"/>
                      <w:highlight w:val="none"/>
                    </w:rPr>
                    <w:t>电磁振动给料机</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70~80</w:t>
                  </w:r>
                </w:p>
              </w:tc>
              <w:tc>
                <w:tcPr>
                  <w:tcW w:w="891" w:type="pct"/>
                  <w:vMerge w:val="restart"/>
                  <w:tcBorders>
                    <w:top w:val="single" w:color="000000"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基础固定、减震、隔声</w:t>
                  </w: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hint="default" w:ascii="Times New Roman" w:hAnsi="Times New Roman" w:eastAsia="宋体"/>
                      <w:szCs w:val="21"/>
                      <w:highlight w:val="none"/>
                      <w:lang w:val="en-US" w:eastAsia="zh-CN"/>
                    </w:rPr>
                  </w:pPr>
                  <w:r>
                    <w:rPr>
                      <w:rFonts w:hint="eastAsia" w:ascii="Times New Roman" w:hAnsi="Times New Roman" w:eastAsia="宋体"/>
                      <w:color w:val="000000"/>
                      <w:szCs w:val="21"/>
                      <w:highlight w:val="none"/>
                      <w:lang w:val="en-US" w:eastAsia="zh-CN"/>
                    </w:rPr>
                    <w:t>45</w:t>
                  </w:r>
                  <w:r>
                    <w:rPr>
                      <w:rFonts w:ascii="Times New Roman" w:hAnsi="Times New Roman" w:eastAsia="宋体"/>
                      <w:color w:val="000000"/>
                      <w:szCs w:val="21"/>
                      <w:highlight w:val="none"/>
                    </w:rPr>
                    <w:t>~</w:t>
                  </w:r>
                  <w:r>
                    <w:rPr>
                      <w:rFonts w:hint="eastAsia" w:ascii="Times New Roman" w:hAnsi="Times New Roman" w:eastAsia="宋体"/>
                      <w:color w:val="000000"/>
                      <w:szCs w:val="21"/>
                      <w:highlight w:val="none"/>
                      <w:lang w:val="en-US" w:eastAsia="zh-CN"/>
                    </w:rPr>
                    <w:t>55</w:t>
                  </w:r>
                </w:p>
              </w:tc>
            </w:tr>
            <w:tr>
              <w:tblPrEx>
                <w:tblCellMar>
                  <w:top w:w="0" w:type="dxa"/>
                  <w:left w:w="0" w:type="dxa"/>
                  <w:bottom w:w="0" w:type="dxa"/>
                  <w:right w:w="0" w:type="dxa"/>
                </w:tblCellMar>
              </w:tblPrEx>
              <w:trPr>
                <w:trHeight w:val="322"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2</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kern w:val="0"/>
                      <w:szCs w:val="21"/>
                      <w:highlight w:val="none"/>
                    </w:rPr>
                    <w:t>破碎机</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lang w:val="en-US" w:eastAsia="zh-CN"/>
                    </w:rPr>
                    <w:t>80</w:t>
                  </w:r>
                  <w:r>
                    <w:rPr>
                      <w:rFonts w:ascii="Times New Roman" w:hAnsi="Times New Roman" w:eastAsia="宋体"/>
                      <w:color w:val="000000"/>
                      <w:szCs w:val="21"/>
                      <w:highlight w:val="none"/>
                    </w:rPr>
                    <w:t>~</w:t>
                  </w:r>
                  <w:r>
                    <w:rPr>
                      <w:rFonts w:hint="eastAsia" w:ascii="Times New Roman" w:hAnsi="Times New Roman" w:eastAsia="宋体"/>
                      <w:color w:val="000000"/>
                      <w:szCs w:val="21"/>
                      <w:highlight w:val="none"/>
                      <w:lang w:val="en-US" w:eastAsia="zh-CN"/>
                    </w:rPr>
                    <w:t>9</w:t>
                  </w:r>
                  <w:r>
                    <w:rPr>
                      <w:rFonts w:hint="eastAsia" w:ascii="Times New Roman" w:hAnsi="Times New Roman" w:eastAsia="宋体"/>
                      <w:color w:val="000000"/>
                      <w:szCs w:val="21"/>
                      <w:highlight w:val="none"/>
                    </w:rPr>
                    <w:t>5</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color w:val="000000"/>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hint="default" w:ascii="Times New Roman" w:hAnsi="Times New Roman" w:eastAsia="宋体"/>
                      <w:szCs w:val="21"/>
                      <w:highlight w:val="none"/>
                      <w:lang w:val="en-US" w:eastAsia="zh-CN"/>
                    </w:rPr>
                  </w:pPr>
                  <w:r>
                    <w:rPr>
                      <w:rFonts w:hint="eastAsia" w:ascii="Times New Roman" w:hAnsi="Times New Roman" w:eastAsia="宋体"/>
                      <w:color w:val="000000"/>
                      <w:szCs w:val="21"/>
                      <w:highlight w:val="none"/>
                      <w:lang w:val="en-US" w:eastAsia="zh-CN"/>
                    </w:rPr>
                    <w:t>55</w:t>
                  </w:r>
                  <w:r>
                    <w:rPr>
                      <w:rFonts w:ascii="Times New Roman" w:hAnsi="Times New Roman" w:eastAsia="宋体"/>
                      <w:color w:val="000000"/>
                      <w:szCs w:val="21"/>
                      <w:highlight w:val="none"/>
                    </w:rPr>
                    <w:t>~</w:t>
                  </w:r>
                  <w:r>
                    <w:rPr>
                      <w:rFonts w:hint="eastAsia" w:ascii="Times New Roman" w:hAnsi="Times New Roman" w:eastAsia="宋体"/>
                      <w:color w:val="000000"/>
                      <w:szCs w:val="21"/>
                      <w:highlight w:val="none"/>
                      <w:lang w:val="en-US" w:eastAsia="zh-CN"/>
                    </w:rPr>
                    <w:t>60</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3</w:t>
                  </w:r>
                </w:p>
                <w:p>
                  <w:pPr>
                    <w:jc w:val="center"/>
                    <w:rPr>
                      <w:rFonts w:ascii="Times New Roman" w:hAnsi="Times New Roman" w:eastAsia="宋体"/>
                      <w:color w:val="000000"/>
                      <w:szCs w:val="21"/>
                      <w:highlight w:val="none"/>
                    </w:rPr>
                  </w:pP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kern w:val="0"/>
                      <w:szCs w:val="21"/>
                      <w:highlight w:val="none"/>
                    </w:rPr>
                    <w:t>单层直线振动筛</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color w:val="000000"/>
                      <w:szCs w:val="21"/>
                      <w:highlight w:val="none"/>
                    </w:rPr>
                    <w:t>70~80</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45</w:t>
                  </w:r>
                  <w:r>
                    <w:rPr>
                      <w:rFonts w:ascii="Times New Roman" w:hAnsi="Times New Roman" w:eastAsia="宋体"/>
                      <w:szCs w:val="21"/>
                      <w:highlight w:val="none"/>
                    </w:rPr>
                    <w:t>~</w:t>
                  </w:r>
                  <w:r>
                    <w:rPr>
                      <w:rFonts w:hint="eastAsia" w:ascii="Times New Roman" w:hAnsi="Times New Roman" w:eastAsia="宋体"/>
                      <w:szCs w:val="21"/>
                      <w:highlight w:val="none"/>
                      <w:lang w:val="en-US" w:eastAsia="zh-CN"/>
                    </w:rPr>
                    <w:t>55</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4</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kern w:val="0"/>
                      <w:szCs w:val="21"/>
                      <w:highlight w:val="none"/>
                    </w:rPr>
                    <w:t>倾斜式混合机</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7</w:t>
                  </w:r>
                  <w:r>
                    <w:rPr>
                      <w:rFonts w:hint="eastAsia" w:ascii="Times New Roman" w:hAnsi="Times New Roman" w:eastAsia="宋体"/>
                      <w:szCs w:val="21"/>
                      <w:highlight w:val="none"/>
                    </w:rPr>
                    <w:t>0</w:t>
                  </w:r>
                  <w:r>
                    <w:rPr>
                      <w:rFonts w:ascii="Times New Roman" w:hAnsi="Times New Roman" w:eastAsia="宋体"/>
                      <w:szCs w:val="21"/>
                      <w:highlight w:val="none"/>
                    </w:rPr>
                    <w:t>~8</w:t>
                  </w:r>
                  <w:r>
                    <w:rPr>
                      <w:rFonts w:hint="eastAsia" w:ascii="Times New Roman" w:hAnsi="Times New Roman" w:eastAsia="宋体"/>
                      <w:szCs w:val="21"/>
                      <w:highlight w:val="none"/>
                    </w:rPr>
                    <w:t>0</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45</w:t>
                  </w:r>
                  <w:r>
                    <w:rPr>
                      <w:rFonts w:ascii="Times New Roman" w:hAnsi="Times New Roman" w:eastAsia="宋体"/>
                      <w:szCs w:val="21"/>
                      <w:highlight w:val="none"/>
                    </w:rPr>
                    <w:t>~</w:t>
                  </w:r>
                  <w:r>
                    <w:rPr>
                      <w:rFonts w:hint="eastAsia" w:ascii="Times New Roman" w:hAnsi="Times New Roman" w:eastAsia="宋体"/>
                      <w:szCs w:val="21"/>
                      <w:highlight w:val="none"/>
                      <w:lang w:val="en-US" w:eastAsia="zh-CN"/>
                    </w:rPr>
                    <w:t>55</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5</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bCs/>
                      <w:color w:val="000000"/>
                      <w:szCs w:val="22"/>
                      <w:highlight w:val="none"/>
                    </w:rPr>
                  </w:pPr>
                  <w:r>
                    <w:rPr>
                      <w:rFonts w:hint="eastAsia" w:ascii="Times New Roman" w:hAnsi="Times New Roman" w:eastAsia="宋体"/>
                      <w:kern w:val="0"/>
                      <w:szCs w:val="21"/>
                      <w:highlight w:val="none"/>
                    </w:rPr>
                    <w:t>结合剂搅拌桶</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70~80</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45</w:t>
                  </w:r>
                  <w:r>
                    <w:rPr>
                      <w:rFonts w:ascii="Times New Roman" w:hAnsi="Times New Roman" w:eastAsia="宋体"/>
                      <w:szCs w:val="21"/>
                      <w:highlight w:val="none"/>
                    </w:rPr>
                    <w:t>~</w:t>
                  </w:r>
                  <w:r>
                    <w:rPr>
                      <w:rFonts w:hint="eastAsia" w:ascii="Times New Roman" w:hAnsi="Times New Roman" w:eastAsia="宋体"/>
                      <w:szCs w:val="21"/>
                      <w:highlight w:val="none"/>
                      <w:lang w:val="en-US" w:eastAsia="zh-CN"/>
                    </w:rPr>
                    <w:t>55</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6</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szCs w:val="21"/>
                      <w:highlight w:val="none"/>
                    </w:rPr>
                  </w:pPr>
                  <w:r>
                    <w:rPr>
                      <w:rFonts w:hint="eastAsia" w:ascii="Times New Roman" w:hAnsi="Times New Roman" w:eastAsia="宋体"/>
                      <w:kern w:val="0"/>
                      <w:szCs w:val="21"/>
                      <w:highlight w:val="none"/>
                    </w:rPr>
                    <w:t>双向加压全自动压机</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65~75</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top"/>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hint="eastAsia" w:ascii="Times New Roman" w:hAnsi="Times New Roman" w:eastAsia="宋体"/>
                      <w:szCs w:val="21"/>
                      <w:highlight w:val="none"/>
                      <w:lang w:eastAsia="zh-CN"/>
                    </w:rPr>
                  </w:pPr>
                  <w:r>
                    <w:rPr>
                      <w:rFonts w:ascii="Times New Roman" w:hAnsi="Times New Roman" w:eastAsia="宋体"/>
                      <w:szCs w:val="21"/>
                      <w:highlight w:val="none"/>
                    </w:rPr>
                    <w:t>4</w:t>
                  </w:r>
                  <w:r>
                    <w:rPr>
                      <w:rFonts w:hint="eastAsia" w:ascii="Times New Roman" w:hAnsi="Times New Roman" w:eastAsia="宋体"/>
                      <w:szCs w:val="21"/>
                      <w:highlight w:val="none"/>
                      <w:lang w:val="en-US" w:eastAsia="zh-CN"/>
                    </w:rPr>
                    <w:t>0</w:t>
                  </w:r>
                  <w:r>
                    <w:rPr>
                      <w:rFonts w:ascii="Times New Roman" w:hAnsi="Times New Roman" w:eastAsia="宋体"/>
                      <w:szCs w:val="21"/>
                      <w:highlight w:val="none"/>
                    </w:rPr>
                    <w:t>~5</w:t>
                  </w:r>
                  <w:r>
                    <w:rPr>
                      <w:rFonts w:hint="eastAsia" w:ascii="Times New Roman" w:hAnsi="Times New Roman" w:eastAsia="宋体"/>
                      <w:szCs w:val="21"/>
                      <w:highlight w:val="none"/>
                      <w:lang w:val="en-US" w:eastAsia="zh-CN"/>
                    </w:rPr>
                    <w:t>0</w:t>
                  </w:r>
                </w:p>
              </w:tc>
            </w:tr>
            <w:tr>
              <w:tblPrEx>
                <w:tblCellMar>
                  <w:top w:w="0" w:type="dxa"/>
                  <w:left w:w="0" w:type="dxa"/>
                  <w:bottom w:w="0" w:type="dxa"/>
                  <w:right w:w="0" w:type="dxa"/>
                </w:tblCellMar>
              </w:tblPrEx>
              <w:trPr>
                <w:trHeight w:val="336" w:hRule="exact"/>
                <w:jc w:val="center"/>
              </w:trPr>
              <w:tc>
                <w:tcPr>
                  <w:tcW w:w="528"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7</w:t>
                  </w:r>
                </w:p>
              </w:tc>
              <w:tc>
                <w:tcPr>
                  <w:tcW w:w="145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rPr>
                      <w:rFonts w:ascii="Times New Roman" w:hAnsi="Times New Roman" w:eastAsia="宋体"/>
                      <w:szCs w:val="21"/>
                      <w:highlight w:val="none"/>
                    </w:rPr>
                  </w:pPr>
                  <w:r>
                    <w:rPr>
                      <w:rFonts w:hint="eastAsia" w:ascii="Times New Roman" w:hAnsi="Times New Roman" w:eastAsia="宋体"/>
                      <w:kern w:val="0"/>
                      <w:szCs w:val="21"/>
                      <w:highlight w:val="none"/>
                    </w:rPr>
                    <w:t>电动振动器</w:t>
                  </w:r>
                </w:p>
              </w:tc>
              <w:tc>
                <w:tcPr>
                  <w:tcW w:w="881" w:type="pct"/>
                  <w:tcBorders>
                    <w:top w:val="single" w:color="000000" w:sz="4" w:space="0"/>
                    <w:left w:val="single" w:color="000000"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75~85</w:t>
                  </w:r>
                </w:p>
              </w:tc>
              <w:tc>
                <w:tcPr>
                  <w:tcW w:w="891" w:type="pct"/>
                  <w:vMerge w:val="continue"/>
                  <w:tcBorders>
                    <w:top w:val="single" w:color="auto" w:sz="4" w:space="0"/>
                    <w:left w:val="single" w:color="000000" w:sz="4" w:space="0"/>
                    <w:bottom w:val="single" w:color="auto" w:sz="4" w:space="0"/>
                    <w:right w:val="single" w:color="auto" w:sz="4" w:space="0"/>
                  </w:tcBorders>
                  <w:noWrap w:val="0"/>
                  <w:vAlign w:val="top"/>
                </w:tcPr>
                <w:p>
                  <w:pPr>
                    <w:jc w:val="center"/>
                    <w:rPr>
                      <w:rFonts w:ascii="Times New Roman" w:hAnsi="Times New Roman" w:eastAsia="宋体"/>
                      <w:szCs w:val="21"/>
                      <w:highlight w:val="none"/>
                    </w:rPr>
                  </w:pPr>
                </w:p>
              </w:tc>
              <w:tc>
                <w:tcPr>
                  <w:tcW w:w="1240" w:type="pct"/>
                  <w:tcBorders>
                    <w:top w:val="single" w:color="000000" w:sz="4" w:space="0"/>
                    <w:left w:val="single" w:color="auto" w:sz="4" w:space="0"/>
                    <w:bottom w:val="single" w:color="000000" w:sz="4" w:space="0"/>
                    <w:right w:val="single" w:color="000000" w:sz="4" w:space="0"/>
                  </w:tcBorders>
                  <w:noWrap w:val="0"/>
                  <w:vAlign w:val="top"/>
                </w:tcPr>
                <w:p>
                  <w:pPr>
                    <w:jc w:val="center"/>
                    <w:rPr>
                      <w:rFonts w:ascii="Times New Roman" w:hAnsi="Times New Roman" w:eastAsia="宋体"/>
                      <w:szCs w:val="21"/>
                      <w:highlight w:val="none"/>
                    </w:rPr>
                  </w:pPr>
                  <w:r>
                    <w:rPr>
                      <w:rFonts w:ascii="Times New Roman" w:hAnsi="Times New Roman" w:eastAsia="宋体"/>
                      <w:szCs w:val="21"/>
                      <w:highlight w:val="none"/>
                    </w:rPr>
                    <w:t>5</w:t>
                  </w:r>
                  <w:r>
                    <w:rPr>
                      <w:rFonts w:hint="eastAsia" w:ascii="Times New Roman" w:hAnsi="Times New Roman" w:eastAsia="宋体"/>
                      <w:szCs w:val="21"/>
                      <w:highlight w:val="none"/>
                      <w:lang w:val="en-US" w:eastAsia="zh-CN"/>
                    </w:rPr>
                    <w:t>0</w:t>
                  </w:r>
                  <w:r>
                    <w:rPr>
                      <w:rFonts w:ascii="Times New Roman" w:hAnsi="Times New Roman" w:eastAsia="宋体"/>
                      <w:szCs w:val="21"/>
                      <w:highlight w:val="none"/>
                    </w:rPr>
                    <w:t>~6</w:t>
                  </w:r>
                  <w:r>
                    <w:rPr>
                      <w:rFonts w:hint="eastAsia" w:ascii="Times New Roman" w:hAnsi="Times New Roman" w:eastAsia="宋体"/>
                      <w:szCs w:val="21"/>
                      <w:highlight w:val="none"/>
                      <w:lang w:val="en-US" w:eastAsia="zh-CN"/>
                    </w:rPr>
                    <w:t>0</w:t>
                  </w:r>
                </w:p>
              </w:tc>
            </w:tr>
          </w:tbl>
          <w:p>
            <w:pPr>
              <w:rPr>
                <w:rFonts w:ascii="Times New Roman" w:hAnsi="Times New Roman" w:eastAsia="宋体"/>
                <w:color w:val="000000"/>
                <w:highlight w:val="none"/>
              </w:rPr>
            </w:pP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（2）声环境影响预测</w:t>
            </w:r>
          </w:p>
          <w:p>
            <w:pPr>
              <w:pStyle w:val="42"/>
              <w:snapToGrid w:val="0"/>
              <w:spacing w:line="360" w:lineRule="auto"/>
              <w:ind w:firstLine="480" w:firstLineChars="200"/>
              <w:rPr>
                <w:rFonts w:ascii="Times New Roman" w:hAnsi="Times New Roman" w:eastAsia="宋体"/>
                <w:color w:val="000000"/>
                <w:kern w:val="2"/>
                <w:highlight w:val="none"/>
              </w:rPr>
            </w:pPr>
            <w:r>
              <w:rPr>
                <w:rFonts w:ascii="Times New Roman" w:hAnsi="Times New Roman" w:eastAsia="宋体"/>
                <w:color w:val="000000"/>
                <w:kern w:val="2"/>
                <w:highlight w:val="none"/>
              </w:rPr>
              <w:t>根据本项目所在地块周边环境情况确定噪声影响预测范围为厂界四周。根据噪声的传播规律可知，从噪声源至受声点的噪声衰减总量是由噪声源到受声点的距离、车间墙体隔声量、空气吸收和绿化带阻滞及建筑屏障的衰减综合而成。</w:t>
            </w:r>
          </w:p>
          <w:p>
            <w:pPr>
              <w:pStyle w:val="42"/>
              <w:snapToGrid w:val="0"/>
              <w:spacing w:line="360" w:lineRule="auto"/>
              <w:ind w:firstLine="480" w:firstLineChars="200"/>
              <w:rPr>
                <w:rFonts w:ascii="Times New Roman" w:hAnsi="Times New Roman" w:eastAsia="宋体"/>
                <w:color w:val="000000"/>
                <w:kern w:val="2"/>
                <w:szCs w:val="22"/>
                <w:highlight w:val="none"/>
              </w:rPr>
            </w:pPr>
            <w:r>
              <w:rPr>
                <w:rFonts w:ascii="Times New Roman" w:hAnsi="Times New Roman" w:eastAsia="宋体"/>
                <w:color w:val="000000"/>
                <w:kern w:val="2"/>
                <w:highlight w:val="none"/>
              </w:rPr>
              <w:t>根据拟建</w:t>
            </w:r>
            <w:r>
              <w:rPr>
                <w:rFonts w:ascii="Times New Roman" w:hAnsi="Times New Roman" w:eastAsia="宋体"/>
                <w:color w:val="000000"/>
                <w:kern w:val="2"/>
                <w:szCs w:val="22"/>
                <w:highlight w:val="none"/>
              </w:rPr>
              <w:t>项目设备声源特征和声环境的特点，视设备声源为点源，声场为半自由声场，依据《环境影响评价技术导则-声环境》（HJ2.4-2009），选用无指向性声源几何发散衰减预测模式预测厂界噪声及敏感点噪声贡献值。</w:t>
            </w:r>
          </w:p>
          <w:p>
            <w:pPr>
              <w:pStyle w:val="42"/>
              <w:snapToGrid w:val="0"/>
              <w:spacing w:line="360" w:lineRule="auto"/>
              <w:ind w:firstLine="480" w:firstLineChars="200"/>
              <w:rPr>
                <w:rFonts w:ascii="Times New Roman" w:hAnsi="Times New Roman" w:eastAsia="宋体"/>
                <w:color w:val="000000"/>
                <w:kern w:val="2"/>
                <w:szCs w:val="22"/>
                <w:highlight w:val="none"/>
              </w:rPr>
            </w:pPr>
            <w:r>
              <w:rPr>
                <w:rFonts w:ascii="Times New Roman" w:hAnsi="Times New Roman" w:eastAsia="宋体"/>
                <w:color w:val="000000"/>
                <w:kern w:val="2"/>
                <w:szCs w:val="22"/>
                <w:highlight w:val="none"/>
              </w:rPr>
              <w:t>①户外声传播衰减计算</w:t>
            </w:r>
          </w:p>
          <w:p>
            <w:pPr>
              <w:pStyle w:val="42"/>
              <w:snapToGrid w:val="0"/>
              <w:spacing w:line="360" w:lineRule="auto"/>
              <w:ind w:firstLine="480" w:firstLineChars="200"/>
              <w:rPr>
                <w:rFonts w:ascii="Times New Roman" w:hAnsi="Times New Roman" w:eastAsia="宋体"/>
                <w:color w:val="000000"/>
                <w:highlight w:val="none"/>
              </w:rPr>
            </w:pPr>
            <w:r>
              <w:rPr>
                <w:rFonts w:ascii="Times New Roman" w:hAnsi="Times New Roman" w:eastAsia="宋体"/>
                <w:color w:val="000000"/>
                <w:kern w:val="2"/>
                <w:szCs w:val="22"/>
                <w:highlight w:val="none"/>
              </w:rPr>
              <w:t>应根据声源声功率级或靠近</w:t>
            </w:r>
            <w:r>
              <w:rPr>
                <w:rFonts w:ascii="Times New Roman" w:hAnsi="Times New Roman" w:eastAsia="宋体"/>
                <w:color w:val="000000"/>
                <w:highlight w:val="none"/>
              </w:rPr>
              <w:t>声源某一参考位置处的已知声级、户外声传播衰减，计算距离声源较远处的预测点的声级，可按下式计算</w:t>
            </w:r>
            <w:r>
              <w:rPr>
                <w:rFonts w:ascii="Times New Roman" w:hAnsi="Times New Roman" w:eastAsia="宋体"/>
                <w:color w:val="000000"/>
                <w:kern w:val="0"/>
                <w:highlight w:val="none"/>
              </w:rPr>
              <w:t xml:space="preserve">： </w:t>
            </w:r>
          </w:p>
          <w:p>
            <w:pPr>
              <w:spacing w:line="360" w:lineRule="auto"/>
              <w:jc w:val="center"/>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L</w:t>
            </w:r>
            <w:r>
              <w:rPr>
                <w:rFonts w:ascii="Times New Roman" w:hAnsi="Times New Roman" w:eastAsia="宋体"/>
                <w:color w:val="000000"/>
                <w:kern w:val="0"/>
                <w:sz w:val="24"/>
                <w:highlight w:val="none"/>
                <w:vertAlign w:val="subscript"/>
              </w:rPr>
              <w:t>p</w:t>
            </w:r>
            <w:r>
              <w:rPr>
                <w:rFonts w:ascii="Times New Roman" w:hAnsi="Times New Roman" w:eastAsia="宋体"/>
                <w:color w:val="000000"/>
                <w:kern w:val="0"/>
                <w:sz w:val="24"/>
                <w:highlight w:val="none"/>
              </w:rPr>
              <w:t>（r）= L</w:t>
            </w:r>
            <w:r>
              <w:rPr>
                <w:rFonts w:ascii="Times New Roman" w:hAnsi="Times New Roman" w:eastAsia="宋体"/>
                <w:color w:val="000000"/>
                <w:kern w:val="0"/>
                <w:sz w:val="24"/>
                <w:highlight w:val="none"/>
                <w:vertAlign w:val="subscript"/>
              </w:rPr>
              <w:t>p</w:t>
            </w:r>
            <w:r>
              <w:rPr>
                <w:rFonts w:ascii="Times New Roman" w:hAnsi="Times New Roman" w:eastAsia="宋体"/>
                <w:color w:val="000000"/>
                <w:kern w:val="0"/>
                <w:sz w:val="24"/>
                <w:highlight w:val="none"/>
              </w:rPr>
              <w:t>（r</w:t>
            </w:r>
            <w:r>
              <w:rPr>
                <w:rFonts w:ascii="Times New Roman" w:hAnsi="Times New Roman" w:eastAsia="宋体"/>
                <w:color w:val="000000"/>
                <w:kern w:val="0"/>
                <w:sz w:val="24"/>
                <w:highlight w:val="none"/>
                <w:vertAlign w:val="subscript"/>
              </w:rPr>
              <w:t>0</w:t>
            </w:r>
            <w:r>
              <w:rPr>
                <w:rFonts w:ascii="Times New Roman" w:hAnsi="Times New Roman" w:eastAsia="宋体"/>
                <w:color w:val="000000"/>
                <w:kern w:val="0"/>
                <w:sz w:val="24"/>
                <w:highlight w:val="none"/>
              </w:rPr>
              <w:t>）- （A</w:t>
            </w:r>
            <w:r>
              <w:rPr>
                <w:rFonts w:ascii="Times New Roman" w:hAnsi="Times New Roman" w:eastAsia="宋体"/>
                <w:color w:val="000000"/>
                <w:kern w:val="0"/>
                <w:sz w:val="24"/>
                <w:highlight w:val="none"/>
                <w:vertAlign w:val="subscript"/>
              </w:rPr>
              <w:t xml:space="preserve">div </w:t>
            </w:r>
            <w:r>
              <w:rPr>
                <w:rFonts w:ascii="Times New Roman" w:hAnsi="Times New Roman" w:eastAsia="宋体"/>
                <w:color w:val="000000"/>
                <w:kern w:val="0"/>
                <w:sz w:val="24"/>
                <w:highlight w:val="none"/>
              </w:rPr>
              <w:t>+ A</w:t>
            </w:r>
            <w:r>
              <w:rPr>
                <w:rFonts w:ascii="Times New Roman" w:hAnsi="Times New Roman" w:eastAsia="宋体"/>
                <w:color w:val="000000"/>
                <w:kern w:val="0"/>
                <w:sz w:val="24"/>
                <w:highlight w:val="none"/>
                <w:vertAlign w:val="subscript"/>
              </w:rPr>
              <w:t xml:space="preserve">atm </w:t>
            </w:r>
            <w:r>
              <w:rPr>
                <w:rFonts w:ascii="Times New Roman" w:hAnsi="Times New Roman" w:eastAsia="宋体"/>
                <w:color w:val="000000"/>
                <w:kern w:val="0"/>
                <w:sz w:val="24"/>
                <w:highlight w:val="none"/>
              </w:rPr>
              <w:t>+ A</w:t>
            </w:r>
            <w:r>
              <w:rPr>
                <w:rFonts w:ascii="Times New Roman" w:hAnsi="Times New Roman" w:eastAsia="宋体"/>
                <w:color w:val="000000"/>
                <w:kern w:val="0"/>
                <w:sz w:val="24"/>
                <w:highlight w:val="none"/>
                <w:vertAlign w:val="subscript"/>
              </w:rPr>
              <w:t>bar</w:t>
            </w:r>
            <w:r>
              <w:rPr>
                <w:rFonts w:ascii="Times New Roman" w:hAnsi="Times New Roman" w:eastAsia="宋体"/>
                <w:color w:val="000000"/>
                <w:kern w:val="0"/>
                <w:sz w:val="24"/>
                <w:highlight w:val="none"/>
              </w:rPr>
              <w:t>+ A</w:t>
            </w:r>
            <w:r>
              <w:rPr>
                <w:rFonts w:ascii="Times New Roman" w:hAnsi="Times New Roman" w:eastAsia="宋体"/>
                <w:color w:val="000000"/>
                <w:kern w:val="0"/>
                <w:sz w:val="24"/>
                <w:highlight w:val="none"/>
                <w:vertAlign w:val="subscript"/>
              </w:rPr>
              <w:t>gr</w:t>
            </w:r>
            <w:r>
              <w:rPr>
                <w:rFonts w:ascii="Times New Roman" w:hAnsi="Times New Roman" w:eastAsia="宋体"/>
                <w:color w:val="000000"/>
                <w:kern w:val="0"/>
                <w:sz w:val="24"/>
                <w:highlight w:val="none"/>
              </w:rPr>
              <w:t>+ A</w:t>
            </w:r>
            <w:r>
              <w:rPr>
                <w:rFonts w:ascii="Times New Roman" w:hAnsi="Times New Roman" w:eastAsia="宋体"/>
                <w:color w:val="000000"/>
                <w:kern w:val="0"/>
                <w:sz w:val="24"/>
                <w:highlight w:val="none"/>
                <w:vertAlign w:val="subscript"/>
              </w:rPr>
              <w:t>misc</w:t>
            </w:r>
            <w:r>
              <w:rPr>
                <w:rFonts w:ascii="Times New Roman" w:hAnsi="Times New Roman" w:eastAsia="宋体"/>
                <w:color w:val="000000"/>
                <w:kern w:val="0"/>
                <w:sz w:val="24"/>
                <w:highlight w:val="none"/>
              </w:rPr>
              <w:t>）</w:t>
            </w:r>
          </w:p>
          <w:p>
            <w:pPr>
              <w:autoSpaceDE w:val="0"/>
              <w:autoSpaceDN w:val="0"/>
              <w:adjustRightInd w:val="0"/>
              <w:spacing w:line="360" w:lineRule="auto"/>
              <w:ind w:firstLine="480" w:firstLineChars="2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式中： A</w:t>
            </w:r>
            <w:r>
              <w:rPr>
                <w:rFonts w:ascii="Times New Roman" w:hAnsi="Times New Roman" w:eastAsia="宋体"/>
                <w:color w:val="000000"/>
                <w:kern w:val="0"/>
                <w:sz w:val="24"/>
                <w:highlight w:val="none"/>
                <w:vertAlign w:val="subscript"/>
              </w:rPr>
              <w:t>div</w:t>
            </w:r>
            <w:r>
              <w:rPr>
                <w:rFonts w:ascii="Times New Roman" w:hAnsi="Times New Roman" w:eastAsia="宋体"/>
                <w:color w:val="000000"/>
                <w:kern w:val="0"/>
                <w:sz w:val="24"/>
                <w:highlight w:val="none"/>
              </w:rPr>
              <w:t xml:space="preserve">—几何发散引起的倍频带衰减； </w:t>
            </w:r>
          </w:p>
          <w:p>
            <w:pPr>
              <w:autoSpaceDE w:val="0"/>
              <w:autoSpaceDN w:val="0"/>
              <w:adjustRightInd w:val="0"/>
              <w:spacing w:line="360" w:lineRule="auto"/>
              <w:ind w:firstLine="1200" w:firstLineChars="5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A</w:t>
            </w:r>
            <w:r>
              <w:rPr>
                <w:rFonts w:ascii="Times New Roman" w:hAnsi="Times New Roman" w:eastAsia="宋体"/>
                <w:color w:val="000000"/>
                <w:kern w:val="0"/>
                <w:sz w:val="24"/>
                <w:highlight w:val="none"/>
                <w:vertAlign w:val="subscript"/>
              </w:rPr>
              <w:t>atm</w:t>
            </w:r>
            <w:r>
              <w:rPr>
                <w:rFonts w:ascii="Times New Roman" w:hAnsi="Times New Roman" w:eastAsia="宋体"/>
                <w:color w:val="000000"/>
                <w:kern w:val="0"/>
                <w:sz w:val="24"/>
                <w:highlight w:val="none"/>
              </w:rPr>
              <w:t xml:space="preserve">—大气吸收引起的倍频带衰减； </w:t>
            </w:r>
          </w:p>
          <w:p>
            <w:pPr>
              <w:autoSpaceDE w:val="0"/>
              <w:autoSpaceDN w:val="0"/>
              <w:adjustRightInd w:val="0"/>
              <w:spacing w:line="360" w:lineRule="auto"/>
              <w:ind w:firstLine="1200" w:firstLineChars="5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A</w:t>
            </w:r>
            <w:r>
              <w:rPr>
                <w:rFonts w:ascii="Times New Roman" w:hAnsi="Times New Roman" w:eastAsia="宋体"/>
                <w:color w:val="000000"/>
                <w:kern w:val="0"/>
                <w:sz w:val="24"/>
                <w:highlight w:val="none"/>
                <w:vertAlign w:val="subscript"/>
              </w:rPr>
              <w:t>gr</w:t>
            </w:r>
            <w:r>
              <w:rPr>
                <w:rFonts w:ascii="Times New Roman" w:hAnsi="Times New Roman" w:eastAsia="宋体"/>
                <w:color w:val="000000"/>
                <w:kern w:val="0"/>
                <w:sz w:val="24"/>
                <w:highlight w:val="none"/>
              </w:rPr>
              <w:t xml:space="preserve">—地面效应引起的倍频带衰减； </w:t>
            </w:r>
          </w:p>
          <w:p>
            <w:pPr>
              <w:autoSpaceDE w:val="0"/>
              <w:autoSpaceDN w:val="0"/>
              <w:adjustRightInd w:val="0"/>
              <w:spacing w:line="360" w:lineRule="auto"/>
              <w:ind w:firstLine="1200" w:firstLineChars="5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A</w:t>
            </w:r>
            <w:r>
              <w:rPr>
                <w:rFonts w:ascii="Times New Roman" w:hAnsi="Times New Roman" w:eastAsia="宋体"/>
                <w:color w:val="000000"/>
                <w:kern w:val="0"/>
                <w:sz w:val="24"/>
                <w:highlight w:val="none"/>
                <w:vertAlign w:val="subscript"/>
              </w:rPr>
              <w:t>bar</w:t>
            </w:r>
            <w:r>
              <w:rPr>
                <w:rFonts w:ascii="Times New Roman" w:hAnsi="Times New Roman" w:eastAsia="宋体"/>
                <w:color w:val="000000"/>
                <w:kern w:val="0"/>
                <w:sz w:val="24"/>
                <w:highlight w:val="none"/>
              </w:rPr>
              <w:t xml:space="preserve">— 声屏障引起的倍频带衰减； </w:t>
            </w:r>
          </w:p>
          <w:p>
            <w:pPr>
              <w:autoSpaceDE w:val="0"/>
              <w:autoSpaceDN w:val="0"/>
              <w:adjustRightInd w:val="0"/>
              <w:spacing w:line="360" w:lineRule="auto"/>
              <w:ind w:firstLine="1200" w:firstLineChars="500"/>
              <w:jc w:val="left"/>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A</w:t>
            </w:r>
            <w:r>
              <w:rPr>
                <w:rFonts w:ascii="Times New Roman" w:hAnsi="Times New Roman" w:eastAsia="宋体"/>
                <w:color w:val="000000"/>
                <w:kern w:val="0"/>
                <w:sz w:val="24"/>
                <w:highlight w:val="none"/>
                <w:vertAlign w:val="subscript"/>
              </w:rPr>
              <w:t>misc</w:t>
            </w:r>
            <w:r>
              <w:rPr>
                <w:rFonts w:ascii="Times New Roman" w:hAnsi="Times New Roman" w:eastAsia="宋体"/>
                <w:color w:val="000000"/>
                <w:kern w:val="0"/>
                <w:sz w:val="24"/>
                <w:highlight w:val="none"/>
              </w:rPr>
              <w:t>—其他多方面效应引起的倍频带衰减。</w:t>
            </w:r>
          </w:p>
          <w:p>
            <w:pPr>
              <w:autoSpaceDE w:val="0"/>
              <w:autoSpaceDN w:val="0"/>
              <w:adjustRightInd w:val="0"/>
              <w:spacing w:line="360" w:lineRule="auto"/>
              <w:ind w:firstLine="480" w:firstLineChars="2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 xml:space="preserve">在只考虑几何发散衰减时，可用下式计算： </w:t>
            </w:r>
          </w:p>
          <w:p>
            <w:pPr>
              <w:spacing w:line="360" w:lineRule="auto"/>
              <w:jc w:val="center"/>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L</w:t>
            </w:r>
            <w:r>
              <w:rPr>
                <w:rFonts w:ascii="Times New Roman" w:hAnsi="Times New Roman" w:eastAsia="宋体"/>
                <w:color w:val="000000"/>
                <w:kern w:val="0"/>
                <w:sz w:val="24"/>
                <w:highlight w:val="none"/>
                <w:vertAlign w:val="subscript"/>
              </w:rPr>
              <w:t>A</w:t>
            </w:r>
            <w:r>
              <w:rPr>
                <w:rFonts w:ascii="Times New Roman" w:hAnsi="Times New Roman" w:eastAsia="宋体"/>
                <w:color w:val="000000"/>
                <w:kern w:val="0"/>
                <w:sz w:val="24"/>
                <w:highlight w:val="none"/>
              </w:rPr>
              <w:t>（r）= L</w:t>
            </w:r>
            <w:r>
              <w:rPr>
                <w:rFonts w:ascii="Times New Roman" w:hAnsi="Times New Roman" w:eastAsia="宋体"/>
                <w:color w:val="000000"/>
                <w:kern w:val="0"/>
                <w:sz w:val="24"/>
                <w:highlight w:val="none"/>
                <w:vertAlign w:val="subscript"/>
              </w:rPr>
              <w:t>A</w:t>
            </w:r>
            <w:r>
              <w:rPr>
                <w:rFonts w:ascii="Times New Roman" w:hAnsi="Times New Roman" w:eastAsia="宋体"/>
                <w:color w:val="000000"/>
                <w:kern w:val="0"/>
                <w:sz w:val="24"/>
                <w:highlight w:val="none"/>
              </w:rPr>
              <w:t>（r</w:t>
            </w:r>
            <w:r>
              <w:rPr>
                <w:rFonts w:ascii="Times New Roman" w:hAnsi="Times New Roman" w:eastAsia="宋体"/>
                <w:color w:val="000000"/>
                <w:kern w:val="0"/>
                <w:sz w:val="24"/>
                <w:highlight w:val="none"/>
                <w:vertAlign w:val="subscript"/>
              </w:rPr>
              <w:t>0</w:t>
            </w:r>
            <w:r>
              <w:rPr>
                <w:rFonts w:ascii="Times New Roman" w:hAnsi="Times New Roman" w:eastAsia="宋体"/>
                <w:color w:val="000000"/>
                <w:kern w:val="0"/>
                <w:sz w:val="24"/>
                <w:highlight w:val="none"/>
              </w:rPr>
              <w:t>）- A</w:t>
            </w:r>
            <w:r>
              <w:rPr>
                <w:rFonts w:ascii="Times New Roman" w:hAnsi="Times New Roman" w:eastAsia="宋体"/>
                <w:color w:val="000000"/>
                <w:kern w:val="0"/>
                <w:sz w:val="24"/>
                <w:highlight w:val="none"/>
                <w:vertAlign w:val="subscript"/>
              </w:rPr>
              <w:t>div</w:t>
            </w:r>
          </w:p>
          <w:p>
            <w:pPr>
              <w:adjustRightInd w:val="0"/>
              <w:snapToGrid w:val="0"/>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②无指向性点声源几何发散衰减的基本公式是：</w:t>
            </w:r>
          </w:p>
          <w:p>
            <w:pPr>
              <w:adjustRightInd w:val="0"/>
              <w:snapToGrid w:val="0"/>
              <w:spacing w:line="360" w:lineRule="auto"/>
              <w:jc w:val="center"/>
              <w:rPr>
                <w:rFonts w:ascii="Times New Roman" w:hAnsi="Times New Roman" w:eastAsia="宋体"/>
                <w:color w:val="000000"/>
                <w:sz w:val="24"/>
                <w:highlight w:val="none"/>
              </w:rPr>
            </w:pPr>
            <w:r>
              <w:rPr>
                <w:rFonts w:ascii="Times New Roman" w:hAnsi="Times New Roman" w:eastAsia="宋体"/>
                <w:color w:val="000000"/>
                <w:kern w:val="0"/>
                <w:sz w:val="24"/>
                <w:highlight w:val="none"/>
              </w:rPr>
              <w:drawing>
                <wp:inline distT="0" distB="0" distL="114300" distR="114300">
                  <wp:extent cx="2105025" cy="258445"/>
                  <wp:effectExtent l="0" t="0" r="9525" b="8255"/>
                  <wp:docPr id="26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5"/>
                          <pic:cNvPicPr>
                            <a:picLocks noChangeAspect="1"/>
                          </pic:cNvPicPr>
                        </pic:nvPicPr>
                        <pic:blipFill>
                          <a:blip r:embed="rId10"/>
                          <a:stretch>
                            <a:fillRect/>
                          </a:stretch>
                        </pic:blipFill>
                        <pic:spPr>
                          <a:xfrm>
                            <a:off x="0" y="0"/>
                            <a:ext cx="2105025" cy="25844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③建设项目声源在预测点产生的等效声级贡献值（L</w:t>
            </w:r>
            <w:r>
              <w:rPr>
                <w:rFonts w:ascii="Times New Roman" w:hAnsi="Times New Roman" w:eastAsia="宋体"/>
                <w:color w:val="000000"/>
                <w:kern w:val="0"/>
                <w:sz w:val="24"/>
                <w:highlight w:val="none"/>
                <w:vertAlign w:val="subscript"/>
              </w:rPr>
              <w:t>eqg</w:t>
            </w:r>
            <w:r>
              <w:rPr>
                <w:rFonts w:ascii="Times New Roman" w:hAnsi="Times New Roman" w:eastAsia="宋体"/>
                <w:color w:val="000000"/>
                <w:kern w:val="0"/>
                <w:sz w:val="24"/>
                <w:highlight w:val="none"/>
              </w:rPr>
              <w:t>）计算公式：</w:t>
            </w:r>
          </w:p>
          <w:p>
            <w:pPr>
              <w:autoSpaceDE w:val="0"/>
              <w:autoSpaceDN w:val="0"/>
              <w:adjustRightInd w:val="0"/>
              <w:spacing w:line="360" w:lineRule="auto"/>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 xml:space="preserve">                       </w:t>
            </w:r>
            <w:r>
              <w:rPr>
                <w:rFonts w:ascii="Times New Roman" w:hAnsi="Times New Roman" w:eastAsia="宋体"/>
                <w:color w:val="000000"/>
                <w:kern w:val="0"/>
                <w:sz w:val="24"/>
                <w:highlight w:val="none"/>
              </w:rPr>
              <w:drawing>
                <wp:inline distT="0" distB="0" distL="114300" distR="114300">
                  <wp:extent cx="1871980" cy="396240"/>
                  <wp:effectExtent l="0" t="0" r="13970" b="3810"/>
                  <wp:docPr id="27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6"/>
                          <pic:cNvPicPr>
                            <a:picLocks noChangeAspect="1"/>
                          </pic:cNvPicPr>
                        </pic:nvPicPr>
                        <pic:blipFill>
                          <a:blip r:embed="rId11"/>
                          <a:stretch>
                            <a:fillRect/>
                          </a:stretch>
                        </pic:blipFill>
                        <pic:spPr>
                          <a:xfrm>
                            <a:off x="0" y="0"/>
                            <a:ext cx="1871980" cy="396240"/>
                          </a:xfrm>
                          <a:prstGeom prst="rect">
                            <a:avLst/>
                          </a:prstGeom>
                          <a:noFill/>
                          <a:ln>
                            <a:noFill/>
                          </a:ln>
                        </pic:spPr>
                      </pic:pic>
                    </a:graphicData>
                  </a:graphic>
                </wp:inline>
              </w:drawing>
            </w:r>
          </w:p>
          <w:p>
            <w:pPr>
              <w:autoSpaceDE w:val="0"/>
              <w:autoSpaceDN w:val="0"/>
              <w:adjustRightInd w:val="0"/>
              <w:spacing w:line="360" w:lineRule="auto"/>
              <w:ind w:firstLine="480" w:firstLineChars="2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式中： L</w:t>
            </w:r>
            <w:r>
              <w:rPr>
                <w:rFonts w:ascii="Times New Roman" w:hAnsi="Times New Roman" w:eastAsia="宋体"/>
                <w:color w:val="000000"/>
                <w:kern w:val="0"/>
                <w:sz w:val="24"/>
                <w:highlight w:val="none"/>
                <w:vertAlign w:val="subscript"/>
              </w:rPr>
              <w:t>eqg</w:t>
            </w:r>
            <w:r>
              <w:rPr>
                <w:rFonts w:ascii="Times New Roman" w:hAnsi="Times New Roman" w:eastAsia="宋体"/>
                <w:color w:val="000000"/>
                <w:kern w:val="0"/>
                <w:sz w:val="24"/>
                <w:highlight w:val="none"/>
              </w:rPr>
              <w:t>—建设项目声源在预测点的等效声级贡献值，dB(A)；</w:t>
            </w:r>
          </w:p>
          <w:p>
            <w:pPr>
              <w:spacing w:line="360" w:lineRule="auto"/>
              <w:ind w:firstLine="1200" w:firstLineChars="500"/>
              <w:rPr>
                <w:rFonts w:ascii="Times New Roman" w:hAnsi="Times New Roman" w:eastAsia="宋体"/>
                <w:bCs/>
                <w:color w:val="000000"/>
                <w:sz w:val="24"/>
                <w:highlight w:val="none"/>
              </w:rPr>
            </w:pPr>
            <w:r>
              <w:rPr>
                <w:rFonts w:ascii="Times New Roman" w:hAnsi="Times New Roman" w:eastAsia="宋体"/>
                <w:bCs/>
                <w:color w:val="000000"/>
                <w:sz w:val="24"/>
                <w:highlight w:val="none"/>
              </w:rPr>
              <w:t>L</w:t>
            </w:r>
            <w:r>
              <w:rPr>
                <w:rFonts w:ascii="Times New Roman" w:hAnsi="Times New Roman" w:eastAsia="宋体"/>
                <w:bCs/>
                <w:color w:val="000000"/>
                <w:sz w:val="24"/>
                <w:highlight w:val="none"/>
                <w:vertAlign w:val="subscript"/>
              </w:rPr>
              <w:t>Ai</w:t>
            </w:r>
            <w:r>
              <w:rPr>
                <w:rFonts w:ascii="Times New Roman" w:hAnsi="Times New Roman" w:eastAsia="宋体"/>
                <w:bCs/>
                <w:color w:val="000000"/>
                <w:sz w:val="24"/>
                <w:highlight w:val="none"/>
              </w:rPr>
              <w:t>—i声源在预测点产生的A声级，dB(A)；</w:t>
            </w:r>
          </w:p>
          <w:p>
            <w:pPr>
              <w:spacing w:line="360" w:lineRule="auto"/>
              <w:ind w:firstLine="1200" w:firstLineChars="500"/>
              <w:rPr>
                <w:rFonts w:ascii="Times New Roman" w:hAnsi="Times New Roman" w:eastAsia="宋体"/>
                <w:bCs/>
                <w:color w:val="000000"/>
                <w:sz w:val="24"/>
                <w:highlight w:val="none"/>
              </w:rPr>
            </w:pPr>
            <w:r>
              <w:rPr>
                <w:rFonts w:ascii="Times New Roman" w:hAnsi="Times New Roman" w:eastAsia="宋体"/>
                <w:bCs/>
                <w:color w:val="000000"/>
                <w:sz w:val="24"/>
                <w:highlight w:val="none"/>
              </w:rPr>
              <w:t>T—预测计算的时间段，s；</w:t>
            </w:r>
          </w:p>
          <w:p>
            <w:pPr>
              <w:spacing w:line="360" w:lineRule="auto"/>
              <w:ind w:firstLine="1200" w:firstLineChars="500"/>
              <w:rPr>
                <w:rFonts w:ascii="Times New Roman" w:hAnsi="Times New Roman" w:eastAsia="宋体"/>
                <w:bCs/>
                <w:color w:val="000000"/>
                <w:sz w:val="24"/>
                <w:highlight w:val="none"/>
              </w:rPr>
            </w:pPr>
            <w:r>
              <w:rPr>
                <w:rFonts w:ascii="Times New Roman" w:hAnsi="Times New Roman" w:eastAsia="宋体"/>
                <w:bCs/>
                <w:color w:val="000000"/>
                <w:sz w:val="24"/>
                <w:highlight w:val="none"/>
              </w:rPr>
              <w:t>t</w:t>
            </w:r>
            <w:r>
              <w:rPr>
                <w:rFonts w:ascii="Times New Roman" w:hAnsi="Times New Roman" w:eastAsia="宋体"/>
                <w:bCs/>
                <w:color w:val="000000"/>
                <w:sz w:val="24"/>
                <w:highlight w:val="none"/>
                <w:vertAlign w:val="subscript"/>
              </w:rPr>
              <w:t>i</w:t>
            </w:r>
            <w:r>
              <w:rPr>
                <w:rFonts w:ascii="Times New Roman" w:hAnsi="Times New Roman" w:eastAsia="宋体"/>
                <w:bCs/>
                <w:color w:val="000000"/>
                <w:sz w:val="24"/>
                <w:highlight w:val="none"/>
              </w:rPr>
              <w:t>—i声源在T时段内的运行时间，s。</w:t>
            </w:r>
          </w:p>
          <w:p>
            <w:pPr>
              <w:autoSpaceDE w:val="0"/>
              <w:autoSpaceDN w:val="0"/>
              <w:adjustRightInd w:val="0"/>
              <w:spacing w:line="360" w:lineRule="auto"/>
              <w:ind w:firstLine="480" w:firstLineChars="2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④预测点的预测等效声级(L</w:t>
            </w:r>
            <w:r>
              <w:rPr>
                <w:rFonts w:ascii="Times New Roman" w:hAnsi="Times New Roman" w:eastAsia="宋体"/>
                <w:color w:val="000000"/>
                <w:kern w:val="0"/>
                <w:sz w:val="24"/>
                <w:highlight w:val="none"/>
                <w:vertAlign w:val="subscript"/>
              </w:rPr>
              <w:t>eq</w:t>
            </w:r>
            <w:r>
              <w:rPr>
                <w:rFonts w:ascii="Times New Roman" w:hAnsi="Times New Roman" w:eastAsia="宋体"/>
                <w:color w:val="000000"/>
                <w:kern w:val="0"/>
                <w:sz w:val="24"/>
                <w:highlight w:val="none"/>
              </w:rPr>
              <w:t>)计算公式：</w:t>
            </w:r>
          </w:p>
          <w:p>
            <w:pPr>
              <w:autoSpaceDE w:val="0"/>
              <w:autoSpaceDN w:val="0"/>
              <w:adjustRightInd w:val="0"/>
              <w:spacing w:line="360" w:lineRule="auto"/>
              <w:jc w:val="center"/>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L</w:t>
            </w:r>
            <w:r>
              <w:rPr>
                <w:rFonts w:ascii="Times New Roman" w:hAnsi="Times New Roman" w:eastAsia="宋体"/>
                <w:color w:val="000000"/>
                <w:kern w:val="0"/>
                <w:sz w:val="24"/>
                <w:highlight w:val="none"/>
                <w:vertAlign w:val="subscript"/>
              </w:rPr>
              <w:t>eq</w:t>
            </w:r>
            <w:r>
              <w:rPr>
                <w:rFonts w:ascii="Times New Roman" w:hAnsi="Times New Roman" w:eastAsia="宋体"/>
                <w:color w:val="000000"/>
                <w:kern w:val="0"/>
                <w:sz w:val="24"/>
                <w:highlight w:val="none"/>
              </w:rPr>
              <w:t xml:space="preserve"> = 10lg(10</w:t>
            </w:r>
            <w:r>
              <w:rPr>
                <w:rFonts w:ascii="Times New Roman" w:hAnsi="Times New Roman" w:eastAsia="宋体"/>
                <w:color w:val="000000"/>
                <w:kern w:val="0"/>
                <w:sz w:val="24"/>
                <w:highlight w:val="none"/>
                <w:vertAlign w:val="superscript"/>
              </w:rPr>
              <w:t xml:space="preserve">0.1Leqg </w:t>
            </w:r>
            <w:r>
              <w:rPr>
                <w:rFonts w:ascii="Times New Roman" w:hAnsi="Times New Roman" w:eastAsia="宋体"/>
                <w:color w:val="000000"/>
                <w:kern w:val="0"/>
                <w:sz w:val="24"/>
                <w:highlight w:val="none"/>
              </w:rPr>
              <w:t>+</w:t>
            </w:r>
            <w:r>
              <w:rPr>
                <w:rFonts w:ascii="Times New Roman" w:hAnsi="Times New Roman" w:eastAsia="宋体"/>
                <w:color w:val="000000"/>
                <w:kern w:val="0"/>
                <w:sz w:val="24"/>
                <w:highlight w:val="none"/>
                <w:vertAlign w:val="superscript"/>
              </w:rPr>
              <w:t xml:space="preserve"> </w:t>
            </w:r>
            <w:r>
              <w:rPr>
                <w:rFonts w:ascii="Times New Roman" w:hAnsi="Times New Roman" w:eastAsia="宋体"/>
                <w:color w:val="000000"/>
                <w:kern w:val="0"/>
                <w:sz w:val="24"/>
                <w:highlight w:val="none"/>
              </w:rPr>
              <w:t>10</w:t>
            </w:r>
            <w:r>
              <w:rPr>
                <w:rFonts w:ascii="Times New Roman" w:hAnsi="Times New Roman" w:eastAsia="宋体"/>
                <w:color w:val="000000"/>
                <w:kern w:val="0"/>
                <w:sz w:val="24"/>
                <w:highlight w:val="none"/>
                <w:vertAlign w:val="superscript"/>
              </w:rPr>
              <w:t>0.1Leqb</w:t>
            </w:r>
            <w:r>
              <w:rPr>
                <w:rFonts w:ascii="Times New Roman" w:hAnsi="Times New Roman" w:eastAsia="宋体"/>
                <w:color w:val="000000"/>
                <w:kern w:val="0"/>
                <w:sz w:val="24"/>
                <w:highlight w:val="none"/>
              </w:rPr>
              <w:t>)</w:t>
            </w:r>
          </w:p>
          <w:p>
            <w:pPr>
              <w:autoSpaceDE w:val="0"/>
              <w:autoSpaceDN w:val="0"/>
              <w:adjustRightInd w:val="0"/>
              <w:spacing w:line="360" w:lineRule="auto"/>
              <w:ind w:firstLine="480" w:firstLineChars="200"/>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式中：L</w:t>
            </w:r>
            <w:r>
              <w:rPr>
                <w:rFonts w:ascii="Times New Roman" w:hAnsi="Times New Roman" w:eastAsia="宋体"/>
                <w:color w:val="000000"/>
                <w:kern w:val="0"/>
                <w:sz w:val="24"/>
                <w:highlight w:val="none"/>
                <w:vertAlign w:val="subscript"/>
              </w:rPr>
              <w:t>eqg</w:t>
            </w:r>
            <w:r>
              <w:rPr>
                <w:rFonts w:ascii="Times New Roman" w:hAnsi="Times New Roman" w:eastAsia="宋体"/>
                <w:color w:val="000000"/>
                <w:kern w:val="0"/>
                <w:sz w:val="24"/>
                <w:highlight w:val="none"/>
              </w:rPr>
              <w:t>—建设项目声源在预测点的等效声级贡献值，dB(A)；</w:t>
            </w:r>
          </w:p>
          <w:p>
            <w:pPr>
              <w:spacing w:line="360" w:lineRule="auto"/>
              <w:ind w:firstLine="1200" w:firstLineChars="500"/>
              <w:rPr>
                <w:rFonts w:ascii="Times New Roman" w:hAnsi="Times New Roman" w:eastAsia="宋体"/>
                <w:bCs/>
                <w:color w:val="000000"/>
                <w:sz w:val="24"/>
                <w:highlight w:val="none"/>
              </w:rPr>
            </w:pPr>
            <w:r>
              <w:rPr>
                <w:rFonts w:ascii="Times New Roman" w:hAnsi="Times New Roman" w:eastAsia="宋体"/>
                <w:bCs/>
                <w:color w:val="000000"/>
                <w:sz w:val="24"/>
                <w:highlight w:val="none"/>
              </w:rPr>
              <w:t>L</w:t>
            </w:r>
            <w:r>
              <w:rPr>
                <w:rFonts w:ascii="Times New Roman" w:hAnsi="Times New Roman" w:eastAsia="宋体"/>
                <w:bCs/>
                <w:color w:val="000000"/>
                <w:sz w:val="24"/>
                <w:highlight w:val="none"/>
                <w:vertAlign w:val="subscript"/>
              </w:rPr>
              <w:t>eqb</w:t>
            </w:r>
            <w:r>
              <w:rPr>
                <w:rFonts w:ascii="Times New Roman" w:hAnsi="Times New Roman" w:eastAsia="宋体"/>
                <w:bCs/>
                <w:color w:val="000000"/>
                <w:sz w:val="24"/>
                <w:highlight w:val="none"/>
              </w:rPr>
              <w:t>—预测点的背景值，dB(A)。</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（3）预测前提</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本次预测前提为，企业采取如下噪声控制措施后产生的噪声对厂界噪声贡献情况：</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①总平面布置</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从总平面布置的角度出发，生产时尽量减少车间门窗的开启频次，利用墙壁的作用，使噪声受到不同程度的隔绝和吸收，做到尽可能屏蔽声源，减少对环境的影响。同时在工厂总体布置上利用建筑物、构筑物来阻隔声波的传播。通常厂房的隔声量为</w:t>
            </w:r>
            <w:r>
              <w:rPr>
                <w:rFonts w:hint="eastAsia" w:ascii="Times New Roman" w:hAnsi="Times New Roman" w:eastAsia="宋体"/>
                <w:color w:val="000000"/>
                <w:sz w:val="24"/>
                <w:highlight w:val="none"/>
                <w:lang w:val="en-US" w:eastAsia="zh-CN"/>
              </w:rPr>
              <w:t>15</w:t>
            </w:r>
            <w:r>
              <w:rPr>
                <w:rFonts w:ascii="Times New Roman" w:hAnsi="Times New Roman" w:eastAsia="宋体"/>
                <w:color w:val="000000"/>
                <w:sz w:val="24"/>
                <w:highlight w:val="none"/>
              </w:rPr>
              <w:t>~2</w:t>
            </w:r>
            <w:r>
              <w:rPr>
                <w:rFonts w:hint="eastAsia" w:ascii="Times New Roman" w:hAnsi="Times New Roman" w:eastAsia="宋体"/>
                <w:color w:val="000000"/>
                <w:sz w:val="24"/>
                <w:highlight w:val="none"/>
                <w:lang w:val="en-US" w:eastAsia="zh-CN"/>
              </w:rPr>
              <w:t>0</w:t>
            </w:r>
            <w:r>
              <w:rPr>
                <w:rFonts w:ascii="Times New Roman" w:hAnsi="Times New Roman" w:eastAsia="宋体"/>
                <w:color w:val="000000"/>
                <w:sz w:val="24"/>
                <w:highlight w:val="none"/>
              </w:rPr>
              <w:t>dB(A)。</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②加强治理</w:t>
            </w:r>
          </w:p>
          <w:p>
            <w:pPr>
              <w:spacing w:line="360" w:lineRule="auto"/>
              <w:ind w:firstLine="480" w:firstLineChars="200"/>
              <w:rPr>
                <w:rFonts w:ascii="Times New Roman" w:hAnsi="Times New Roman" w:eastAsia="宋体"/>
                <w:color w:val="000000"/>
                <w:sz w:val="18"/>
                <w:szCs w:val="18"/>
                <w:highlight w:val="none"/>
              </w:rPr>
            </w:pPr>
            <w:r>
              <w:rPr>
                <w:rFonts w:ascii="Times New Roman" w:hAnsi="Times New Roman" w:eastAsia="宋体"/>
                <w:color w:val="000000"/>
                <w:sz w:val="24"/>
                <w:highlight w:val="none"/>
              </w:rPr>
              <w:t>生产设备在生产时</w:t>
            </w:r>
            <w:r>
              <w:rPr>
                <w:rFonts w:hint="eastAsia"/>
                <w:color w:val="000000"/>
                <w:sz w:val="24"/>
                <w:highlight w:val="none"/>
                <w:lang w:val="en-US" w:eastAsia="zh-CN"/>
              </w:rPr>
              <w:t>加隔音板，</w:t>
            </w:r>
            <w:r>
              <w:rPr>
                <w:rFonts w:ascii="Times New Roman" w:hAnsi="Times New Roman" w:eastAsia="宋体"/>
                <w:color w:val="000000"/>
                <w:sz w:val="24"/>
                <w:highlight w:val="none"/>
              </w:rPr>
              <w:t>设基础减震等。</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③加强管理</w:t>
            </w:r>
          </w:p>
          <w:p>
            <w:pPr>
              <w:widowControl/>
              <w:spacing w:line="360" w:lineRule="auto"/>
              <w:ind w:firstLine="470" w:firstLineChars="196"/>
              <w:jc w:val="left"/>
              <w:rPr>
                <w:rFonts w:ascii="Times New Roman" w:hAnsi="Times New Roman" w:eastAsia="宋体"/>
                <w:color w:val="000000"/>
                <w:kern w:val="0"/>
                <w:sz w:val="24"/>
                <w:highlight w:val="none"/>
              </w:rPr>
            </w:pPr>
            <w:r>
              <w:rPr>
                <w:rFonts w:ascii="Times New Roman" w:hAnsi="Times New Roman" w:eastAsia="宋体"/>
                <w:color w:val="000000"/>
                <w:kern w:val="0"/>
                <w:sz w:val="24"/>
                <w:highlight w:val="none"/>
              </w:rPr>
              <w:t>采用“闹静分开”和“合理布局”的设计原则，使高噪声设备尽可能远离噪声敏感区。在厂区布局设计时，应将噪声大的车间设置在厂房中心，周围设置仓库区，这样可阻挡主车间的噪声传播，把车间的噪声影响限制在厂房范围内，降低噪声对外界的影响，确保厂界噪声符合标准要求。</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建立设备定期维护，保养的管理制度，以防止设备故障形成的非正常生产噪声，同时确保环保措施发挥最佳的功能；加强职工环保意识教育，提倡文明生产，防止人为噪声；强化行车管理制度，设置降噪标准，严禁鸣号，进入厂区低速行驶，最大限度减少流动噪声源。</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（4）噪声预测结果</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本项目工作时间为昼间，夜间不进行生产，故本项目只分析昼间噪声对周围环境的影响。</w:t>
            </w:r>
          </w:p>
          <w:p>
            <w:pPr>
              <w:spacing w:line="360" w:lineRule="auto"/>
              <w:ind w:firstLine="482" w:firstLineChars="200"/>
              <w:jc w:val="center"/>
              <w:rPr>
                <w:rFonts w:ascii="Times New Roman" w:hAnsi="Times New Roman" w:eastAsia="宋体"/>
                <w:b/>
                <w:bCs/>
                <w:color w:val="000000"/>
                <w:sz w:val="24"/>
                <w:highlight w:val="none"/>
              </w:rPr>
            </w:pPr>
            <w:r>
              <w:rPr>
                <w:rFonts w:ascii="Times New Roman" w:hAnsi="Times New Roman" w:eastAsia="宋体"/>
                <w:b/>
                <w:bCs/>
                <w:color w:val="000000"/>
                <w:sz w:val="24"/>
                <w:highlight w:val="none"/>
              </w:rPr>
              <w:t>表7-</w:t>
            </w:r>
            <w:r>
              <w:rPr>
                <w:rFonts w:hint="eastAsia" w:ascii="Times New Roman" w:hAnsi="Times New Roman" w:eastAsia="宋体"/>
                <w:b/>
                <w:bCs/>
                <w:color w:val="000000"/>
                <w:sz w:val="24"/>
                <w:highlight w:val="none"/>
                <w:lang w:val="en-US" w:eastAsia="zh-CN"/>
              </w:rPr>
              <w:t>9</w:t>
            </w:r>
            <w:r>
              <w:rPr>
                <w:rFonts w:ascii="Times New Roman" w:hAnsi="Times New Roman" w:eastAsia="宋体"/>
                <w:b/>
                <w:bCs/>
                <w:color w:val="000000"/>
                <w:sz w:val="24"/>
                <w:highlight w:val="none"/>
              </w:rPr>
              <w:t xml:space="preserve">  项目厂界噪声贡献值预测表   单位：dB(A)</w:t>
            </w:r>
          </w:p>
          <w:tbl>
            <w:tblPr>
              <w:tblStyle w:val="28"/>
              <w:tblW w:w="0" w:type="auto"/>
              <w:jc w:val="center"/>
              <w:tblLayout w:type="autofit"/>
              <w:tblCellMar>
                <w:top w:w="0" w:type="dxa"/>
                <w:left w:w="0" w:type="dxa"/>
                <w:bottom w:w="0" w:type="dxa"/>
                <w:right w:w="0" w:type="dxa"/>
              </w:tblCellMar>
            </w:tblPr>
            <w:tblGrid>
              <w:gridCol w:w="1787"/>
              <w:gridCol w:w="2679"/>
              <w:gridCol w:w="2433"/>
              <w:gridCol w:w="1407"/>
            </w:tblGrid>
            <w:tr>
              <w:tblPrEx>
                <w:tblCellMar>
                  <w:top w:w="0" w:type="dxa"/>
                  <w:left w:w="0" w:type="dxa"/>
                  <w:bottom w:w="0" w:type="dxa"/>
                  <w:right w:w="0" w:type="dxa"/>
                </w:tblCellMar>
              </w:tblPrEx>
              <w:trPr>
                <w:trHeight w:val="698" w:hRule="exact"/>
                <w:jc w:val="center"/>
              </w:trPr>
              <w:tc>
                <w:tcPr>
                  <w:tcW w:w="1903"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关心点</w:t>
                  </w:r>
                </w:p>
              </w:tc>
              <w:tc>
                <w:tcPr>
                  <w:tcW w:w="2850" w:type="dxa"/>
                  <w:tcBorders>
                    <w:top w:val="single" w:color="auto" w:sz="4" w:space="0"/>
                    <w:left w:val="single" w:color="auto" w:sz="4" w:space="0"/>
                    <w:right w:val="single" w:color="auto" w:sz="4" w:space="0"/>
                  </w:tcBorders>
                  <w:noWrap w:val="0"/>
                  <w:vAlign w:val="center"/>
                </w:tcPr>
                <w:p>
                  <w:pPr>
                    <w:pStyle w:val="60"/>
                    <w:spacing w:line="240" w:lineRule="atLeast"/>
                    <w:jc w:val="center"/>
                    <w:rPr>
                      <w:rFonts w:ascii="Times New Roman" w:hAnsi="Times New Roman" w:eastAsia="宋体"/>
                      <w:color w:val="000000"/>
                      <w:sz w:val="21"/>
                      <w:szCs w:val="21"/>
                      <w:highlight w:val="none"/>
                      <w:lang w:eastAsia="zh-CN"/>
                    </w:rPr>
                  </w:pPr>
                  <w:r>
                    <w:rPr>
                      <w:rFonts w:ascii="Times New Roman" w:hAnsi="Times New Roman" w:eastAsia="宋体"/>
                      <w:color w:val="000000"/>
                      <w:sz w:val="21"/>
                      <w:szCs w:val="21"/>
                      <w:highlight w:val="none"/>
                      <w:lang w:eastAsia="zh-CN"/>
                    </w:rPr>
                    <w:t>预测值</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ascii="Times New Roman" w:hAnsi="Times New Roman" w:eastAsia="宋体"/>
                      <w:color w:val="000000"/>
                      <w:sz w:val="21"/>
                      <w:szCs w:val="21"/>
                      <w:highlight w:val="none"/>
                      <w:lang w:eastAsia="zh-CN"/>
                    </w:rPr>
                  </w:pPr>
                  <w:r>
                    <w:rPr>
                      <w:rFonts w:ascii="Times New Roman" w:hAnsi="Times New Roman" w:eastAsia="宋体"/>
                      <w:color w:val="000000"/>
                      <w:sz w:val="21"/>
                      <w:szCs w:val="21"/>
                      <w:highlight w:val="none"/>
                      <w:lang w:eastAsia="zh-CN"/>
                    </w:rPr>
                    <w:t>达标情况</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评价标准限值</w:t>
                  </w:r>
                </w:p>
              </w:tc>
            </w:tr>
            <w:tr>
              <w:tblPrEx>
                <w:tblCellMar>
                  <w:top w:w="0" w:type="dxa"/>
                  <w:left w:w="0" w:type="dxa"/>
                  <w:bottom w:w="0" w:type="dxa"/>
                  <w:right w:w="0" w:type="dxa"/>
                </w:tblCellMar>
              </w:tblPrEx>
              <w:trPr>
                <w:trHeight w:val="355" w:hRule="exact"/>
                <w:jc w:val="center"/>
              </w:trPr>
              <w:tc>
                <w:tcPr>
                  <w:tcW w:w="19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exact"/>
                    <w:jc w:val="center"/>
                    <w:rPr>
                      <w:rFonts w:ascii="Times New Roman" w:hAnsi="Times New Roman" w:eastAsia="宋体"/>
                      <w:color w:val="000000"/>
                      <w:szCs w:val="21"/>
                      <w:highlight w:val="none"/>
                    </w:rPr>
                  </w:pPr>
                  <w:r>
                    <w:rPr>
                      <w:rFonts w:ascii="Times New Roman" w:hAnsi="Times New Roman" w:eastAsia="宋体"/>
                      <w:bCs/>
                      <w:color w:val="000000"/>
                      <w:szCs w:val="21"/>
                      <w:highlight w:val="none"/>
                    </w:rPr>
                    <w:t>东厂界</w:t>
                  </w:r>
                </w:p>
              </w:tc>
              <w:tc>
                <w:tcPr>
                  <w:tcW w:w="2850"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bCs/>
                      <w:color w:val="000000"/>
                      <w:sz w:val="21"/>
                      <w:szCs w:val="21"/>
                      <w:highlight w:val="none"/>
                      <w:lang w:val="en-US" w:eastAsia="zh-CN"/>
                    </w:rPr>
                    <w:t>57.4</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ascii="Times New Roman" w:hAnsi="Times New Roman" w:eastAsia="宋体"/>
                      <w:color w:val="000000"/>
                      <w:sz w:val="21"/>
                      <w:szCs w:val="21"/>
                      <w:highlight w:val="none"/>
                      <w:lang w:eastAsia="zh-CN"/>
                    </w:rPr>
                  </w:pPr>
                  <w:r>
                    <w:rPr>
                      <w:rFonts w:ascii="Times New Roman" w:hAnsi="Times New Roman" w:eastAsia="宋体"/>
                      <w:color w:val="000000"/>
                      <w:sz w:val="21"/>
                      <w:szCs w:val="21"/>
                      <w:highlight w:val="none"/>
                      <w:lang w:eastAsia="zh-CN"/>
                    </w:rPr>
                    <w:t>达标</w:t>
                  </w:r>
                </w:p>
              </w:tc>
              <w:tc>
                <w:tcPr>
                  <w:tcW w:w="1495" w:type="dxa"/>
                  <w:vMerge w:val="restart"/>
                  <w:tcBorders>
                    <w:top w:val="single" w:color="auto" w:sz="4" w:space="0"/>
                    <w:left w:val="single" w:color="auto" w:sz="4" w:space="0"/>
                    <w:right w:val="single" w:color="auto" w:sz="4" w:space="0"/>
                  </w:tcBorders>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65</w:t>
                  </w:r>
                </w:p>
              </w:tc>
            </w:tr>
            <w:tr>
              <w:tblPrEx>
                <w:tblCellMar>
                  <w:top w:w="0" w:type="dxa"/>
                  <w:left w:w="0" w:type="dxa"/>
                  <w:bottom w:w="0" w:type="dxa"/>
                  <w:right w:w="0" w:type="dxa"/>
                </w:tblCellMar>
              </w:tblPrEx>
              <w:trPr>
                <w:trHeight w:val="355" w:hRule="exact"/>
                <w:jc w:val="center"/>
              </w:trPr>
              <w:tc>
                <w:tcPr>
                  <w:tcW w:w="19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exact"/>
                    <w:jc w:val="center"/>
                    <w:rPr>
                      <w:rFonts w:ascii="Times New Roman" w:hAnsi="Times New Roman" w:eastAsia="宋体"/>
                      <w:color w:val="000000"/>
                      <w:szCs w:val="21"/>
                      <w:highlight w:val="none"/>
                    </w:rPr>
                  </w:pPr>
                  <w:r>
                    <w:rPr>
                      <w:rFonts w:ascii="Times New Roman" w:hAnsi="Times New Roman" w:eastAsia="宋体"/>
                      <w:bCs/>
                      <w:color w:val="000000"/>
                      <w:szCs w:val="21"/>
                      <w:highlight w:val="none"/>
                    </w:rPr>
                    <w:t>南厂界</w:t>
                  </w:r>
                </w:p>
              </w:tc>
              <w:tc>
                <w:tcPr>
                  <w:tcW w:w="2850"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hint="default" w:ascii="Times New Roman" w:hAnsi="Times New Roman" w:eastAsia="宋体"/>
                      <w:color w:val="000000"/>
                      <w:sz w:val="21"/>
                      <w:szCs w:val="21"/>
                      <w:highlight w:val="none"/>
                      <w:lang w:val="en-US" w:eastAsia="zh-CN"/>
                    </w:rPr>
                  </w:pPr>
                  <w:r>
                    <w:rPr>
                      <w:rFonts w:ascii="Times New Roman" w:hAnsi="Times New Roman" w:eastAsia="宋体"/>
                      <w:color w:val="000000"/>
                      <w:sz w:val="21"/>
                      <w:szCs w:val="21"/>
                      <w:highlight w:val="none"/>
                      <w:lang w:eastAsia="zh-CN"/>
                    </w:rPr>
                    <w:t>58.</w:t>
                  </w:r>
                  <w:r>
                    <w:rPr>
                      <w:rFonts w:hint="eastAsia" w:ascii="Times New Roman" w:hAnsi="Times New Roman" w:eastAsia="宋体"/>
                      <w:color w:val="000000"/>
                      <w:sz w:val="21"/>
                      <w:szCs w:val="21"/>
                      <w:highlight w:val="none"/>
                      <w:lang w:val="en-US" w:eastAsia="zh-CN"/>
                    </w:rPr>
                    <w:t>5</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ascii="Times New Roman" w:hAnsi="Times New Roman" w:eastAsia="宋体"/>
                      <w:color w:val="000000"/>
                      <w:sz w:val="21"/>
                      <w:szCs w:val="21"/>
                      <w:highlight w:val="none"/>
                      <w:lang w:eastAsia="zh-CN"/>
                    </w:rPr>
                  </w:pPr>
                  <w:r>
                    <w:rPr>
                      <w:rFonts w:ascii="Times New Roman" w:hAnsi="Times New Roman" w:eastAsia="宋体"/>
                      <w:color w:val="000000"/>
                      <w:sz w:val="21"/>
                      <w:szCs w:val="21"/>
                      <w:highlight w:val="none"/>
                      <w:lang w:eastAsia="zh-CN"/>
                    </w:rPr>
                    <w:t>达标</w:t>
                  </w:r>
                </w:p>
              </w:tc>
              <w:tc>
                <w:tcPr>
                  <w:tcW w:w="1495" w:type="dxa"/>
                  <w:vMerge w:val="continue"/>
                  <w:tcBorders>
                    <w:left w:val="single" w:color="auto" w:sz="4" w:space="0"/>
                    <w:right w:val="single" w:color="auto" w:sz="4" w:space="0"/>
                  </w:tcBorders>
                  <w:noWrap w:val="0"/>
                  <w:vAlign w:val="top"/>
                </w:tcPr>
                <w:p>
                  <w:pPr>
                    <w:ind w:firstLine="472"/>
                    <w:rPr>
                      <w:rFonts w:ascii="Times New Roman" w:hAnsi="Times New Roman" w:eastAsia="宋体"/>
                      <w:color w:val="000000"/>
                      <w:sz w:val="22"/>
                      <w:szCs w:val="22"/>
                      <w:highlight w:val="none"/>
                    </w:rPr>
                  </w:pPr>
                </w:p>
              </w:tc>
            </w:tr>
            <w:tr>
              <w:tblPrEx>
                <w:tblCellMar>
                  <w:top w:w="0" w:type="dxa"/>
                  <w:left w:w="0" w:type="dxa"/>
                  <w:bottom w:w="0" w:type="dxa"/>
                  <w:right w:w="0" w:type="dxa"/>
                </w:tblCellMar>
              </w:tblPrEx>
              <w:trPr>
                <w:trHeight w:val="355" w:hRule="exact"/>
                <w:jc w:val="center"/>
              </w:trPr>
              <w:tc>
                <w:tcPr>
                  <w:tcW w:w="19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exact"/>
                    <w:jc w:val="center"/>
                    <w:rPr>
                      <w:rFonts w:ascii="Times New Roman" w:hAnsi="Times New Roman" w:eastAsia="宋体"/>
                      <w:color w:val="000000"/>
                      <w:szCs w:val="21"/>
                      <w:highlight w:val="none"/>
                    </w:rPr>
                  </w:pPr>
                  <w:r>
                    <w:rPr>
                      <w:rFonts w:ascii="Times New Roman" w:hAnsi="Times New Roman" w:eastAsia="宋体"/>
                      <w:bCs/>
                      <w:color w:val="000000"/>
                      <w:szCs w:val="21"/>
                      <w:highlight w:val="none"/>
                    </w:rPr>
                    <w:t>西厂界</w:t>
                  </w:r>
                </w:p>
              </w:tc>
              <w:tc>
                <w:tcPr>
                  <w:tcW w:w="2850"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58.6</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ascii="Times New Roman" w:hAnsi="Times New Roman" w:eastAsia="宋体"/>
                      <w:color w:val="000000"/>
                      <w:sz w:val="21"/>
                      <w:szCs w:val="21"/>
                      <w:highlight w:val="none"/>
                      <w:lang w:eastAsia="zh-CN"/>
                    </w:rPr>
                  </w:pPr>
                  <w:r>
                    <w:rPr>
                      <w:rFonts w:ascii="Times New Roman" w:hAnsi="Times New Roman" w:eastAsia="宋体"/>
                      <w:color w:val="000000"/>
                      <w:sz w:val="21"/>
                      <w:szCs w:val="21"/>
                      <w:highlight w:val="none"/>
                      <w:lang w:eastAsia="zh-CN"/>
                    </w:rPr>
                    <w:t>达标</w:t>
                  </w:r>
                </w:p>
              </w:tc>
              <w:tc>
                <w:tcPr>
                  <w:tcW w:w="1495" w:type="dxa"/>
                  <w:vMerge w:val="continue"/>
                  <w:tcBorders>
                    <w:left w:val="single" w:color="auto" w:sz="4" w:space="0"/>
                    <w:right w:val="single" w:color="auto" w:sz="4" w:space="0"/>
                  </w:tcBorders>
                  <w:noWrap w:val="0"/>
                  <w:vAlign w:val="top"/>
                </w:tcPr>
                <w:p>
                  <w:pPr>
                    <w:ind w:firstLine="472"/>
                    <w:rPr>
                      <w:rFonts w:ascii="Times New Roman" w:hAnsi="Times New Roman" w:eastAsia="宋体"/>
                      <w:color w:val="000000"/>
                      <w:sz w:val="22"/>
                      <w:szCs w:val="22"/>
                      <w:highlight w:val="none"/>
                    </w:rPr>
                  </w:pPr>
                </w:p>
              </w:tc>
            </w:tr>
            <w:tr>
              <w:tblPrEx>
                <w:tblCellMar>
                  <w:top w:w="0" w:type="dxa"/>
                  <w:left w:w="0" w:type="dxa"/>
                  <w:bottom w:w="0" w:type="dxa"/>
                  <w:right w:w="0" w:type="dxa"/>
                </w:tblCellMar>
              </w:tblPrEx>
              <w:trPr>
                <w:trHeight w:val="355" w:hRule="exact"/>
                <w:jc w:val="center"/>
              </w:trPr>
              <w:tc>
                <w:tcPr>
                  <w:tcW w:w="19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60" w:lineRule="exact"/>
                    <w:jc w:val="center"/>
                    <w:rPr>
                      <w:rFonts w:ascii="Times New Roman" w:hAnsi="Times New Roman" w:eastAsia="宋体"/>
                      <w:color w:val="000000"/>
                      <w:szCs w:val="21"/>
                      <w:highlight w:val="none"/>
                    </w:rPr>
                  </w:pPr>
                  <w:r>
                    <w:rPr>
                      <w:rFonts w:ascii="Times New Roman" w:hAnsi="Times New Roman" w:eastAsia="宋体"/>
                      <w:bCs/>
                      <w:color w:val="000000"/>
                      <w:szCs w:val="21"/>
                      <w:highlight w:val="none"/>
                    </w:rPr>
                    <w:t>北厂界</w:t>
                  </w:r>
                </w:p>
              </w:tc>
              <w:tc>
                <w:tcPr>
                  <w:tcW w:w="2850"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bCs/>
                      <w:color w:val="000000"/>
                      <w:sz w:val="21"/>
                      <w:szCs w:val="21"/>
                      <w:highlight w:val="none"/>
                      <w:lang w:val="en-US" w:eastAsia="zh-CN"/>
                    </w:rPr>
                    <w:t>57.3</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pStyle w:val="60"/>
                    <w:spacing w:line="240" w:lineRule="atLeast"/>
                    <w:jc w:val="center"/>
                    <w:rPr>
                      <w:rFonts w:ascii="Times New Roman" w:hAnsi="Times New Roman" w:eastAsia="宋体"/>
                      <w:color w:val="000000"/>
                      <w:sz w:val="21"/>
                      <w:szCs w:val="21"/>
                      <w:highlight w:val="none"/>
                      <w:lang w:eastAsia="zh-CN"/>
                    </w:rPr>
                  </w:pPr>
                  <w:r>
                    <w:rPr>
                      <w:rFonts w:ascii="Times New Roman" w:hAnsi="Times New Roman" w:eastAsia="宋体"/>
                      <w:color w:val="000000"/>
                      <w:sz w:val="21"/>
                      <w:szCs w:val="21"/>
                      <w:highlight w:val="none"/>
                      <w:lang w:eastAsia="zh-CN"/>
                    </w:rPr>
                    <w:t>达标</w:t>
                  </w:r>
                </w:p>
              </w:tc>
              <w:tc>
                <w:tcPr>
                  <w:tcW w:w="1495" w:type="dxa"/>
                  <w:vMerge w:val="continue"/>
                  <w:tcBorders>
                    <w:left w:val="single" w:color="auto" w:sz="4" w:space="0"/>
                    <w:bottom w:val="single" w:color="auto" w:sz="4" w:space="0"/>
                    <w:right w:val="single" w:color="auto" w:sz="4" w:space="0"/>
                  </w:tcBorders>
                  <w:noWrap w:val="0"/>
                  <w:vAlign w:val="top"/>
                </w:tcPr>
                <w:p>
                  <w:pPr>
                    <w:ind w:firstLine="472"/>
                    <w:rPr>
                      <w:rFonts w:ascii="Times New Roman" w:hAnsi="Times New Roman" w:eastAsia="宋体"/>
                      <w:color w:val="000000"/>
                      <w:sz w:val="22"/>
                      <w:szCs w:val="22"/>
                      <w:highlight w:val="none"/>
                    </w:rPr>
                  </w:pPr>
                </w:p>
              </w:tc>
            </w:tr>
          </w:tbl>
          <w:p>
            <w:pPr>
              <w:ind w:firstLine="472"/>
              <w:rPr>
                <w:rFonts w:ascii="Times New Roman" w:hAnsi="Times New Roman" w:eastAsia="宋体"/>
                <w:color w:val="000000"/>
                <w:highlight w:val="none"/>
              </w:rPr>
            </w:pP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由上表预测可知，本项目</w:t>
            </w:r>
            <w:r>
              <w:rPr>
                <w:rFonts w:ascii="Times New Roman" w:hAnsi="Times New Roman" w:eastAsia="宋体"/>
                <w:bCs/>
                <w:color w:val="000000"/>
                <w:sz w:val="24"/>
                <w:highlight w:val="none"/>
              </w:rPr>
              <w:t>各厂界噪声贡献值较小。运营后项目厂界四周噪声可以满足</w:t>
            </w:r>
            <w:r>
              <w:rPr>
                <w:rFonts w:ascii="Times New Roman" w:hAnsi="Times New Roman" w:eastAsia="宋体"/>
                <w:color w:val="000000"/>
                <w:sz w:val="24"/>
                <w:highlight w:val="none"/>
              </w:rPr>
              <w:t>《工业企业厂界环境噪声排放标准》</w:t>
            </w:r>
            <w:r>
              <w:rPr>
                <w:rFonts w:ascii="Times New Roman" w:hAnsi="Times New Roman" w:eastAsia="宋体"/>
                <w:bCs/>
                <w:color w:val="000000"/>
                <w:sz w:val="24"/>
                <w:highlight w:val="none"/>
              </w:rPr>
              <w:t>（GB12348-2008）</w:t>
            </w:r>
            <w:r>
              <w:rPr>
                <w:rFonts w:ascii="Times New Roman" w:hAnsi="Times New Roman" w:eastAsia="宋体"/>
                <w:color w:val="000000"/>
                <w:sz w:val="24"/>
                <w:highlight w:val="none"/>
              </w:rPr>
              <w:t>中3类区标</w:t>
            </w:r>
            <w:r>
              <w:rPr>
                <w:rFonts w:ascii="Times New Roman" w:hAnsi="Times New Roman" w:eastAsia="宋体"/>
                <w:color w:val="000000"/>
                <w:sz w:val="24"/>
                <w:szCs w:val="22"/>
                <w:highlight w:val="none"/>
              </w:rPr>
              <w:t>准</w:t>
            </w:r>
            <w:r>
              <w:rPr>
                <w:rFonts w:ascii="Times New Roman" w:hAnsi="Times New Roman" w:eastAsia="宋体"/>
                <w:color w:val="000000"/>
                <w:sz w:val="24"/>
                <w:highlight w:val="none"/>
              </w:rPr>
              <w:t>。</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本项目在布设生产厂房过程中，对生产厂房平面布置进行优化布设，已有效降低生产噪声影响，为了有效降低生产车间的噪声影响，建议采取减振、隔声、吸声、消声等综合治理措施：</w:t>
            </w:r>
          </w:p>
          <w:p>
            <w:pPr>
              <w:spacing w:line="360" w:lineRule="auto"/>
              <w:ind w:firstLine="360" w:firstLineChars="15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（1）室内设备在优选低噪声设备后，在进行厂房隔声，距离衰减，高噪声设备安装减振基座；室外设备优选低噪声设备，距离衰减，高噪声设备安装减振基座的措施前提下，项目设备运行噪声大大降低。</w:t>
            </w:r>
          </w:p>
          <w:p>
            <w:pPr>
              <w:spacing w:line="360" w:lineRule="auto"/>
              <w:ind w:firstLine="360" w:firstLineChars="15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（2）在安装设计上，对引风等设备底座安装减震器，并对其排气系统采取二级消声措施，高噪声设备房间拟做相应的消声、吸声措施；</w:t>
            </w:r>
          </w:p>
          <w:p>
            <w:pPr>
              <w:spacing w:line="360" w:lineRule="auto"/>
              <w:ind w:firstLine="360" w:firstLineChars="15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（3）建议厂界四周设置绿化隔离带，种植一些可吸声茂密的树种。</w:t>
            </w:r>
          </w:p>
          <w:p>
            <w:pPr>
              <w:spacing w:line="360" w:lineRule="auto"/>
              <w:ind w:firstLine="480" w:firstLineChars="200"/>
              <w:rPr>
                <w:rFonts w:ascii="Times New Roman" w:hAnsi="Times New Roman" w:eastAsia="宋体"/>
                <w:color w:val="000000"/>
                <w:sz w:val="36"/>
                <w:szCs w:val="36"/>
                <w:highlight w:val="none"/>
              </w:rPr>
            </w:pPr>
            <w:r>
              <w:rPr>
                <w:rFonts w:ascii="Times New Roman" w:hAnsi="Times New Roman" w:eastAsia="宋体"/>
                <w:color w:val="000000"/>
                <w:sz w:val="24"/>
                <w:szCs w:val="24"/>
                <w:highlight w:val="none"/>
              </w:rPr>
              <w:t>四、固体废物影响分析</w:t>
            </w:r>
          </w:p>
          <w:p>
            <w:pPr>
              <w:pStyle w:val="16"/>
              <w:spacing w:line="480" w:lineRule="exact"/>
              <w:ind w:firstLine="480" w:firstLineChars="200"/>
              <w:rPr>
                <w:rFonts w:ascii="Times New Roman" w:hAnsi="Times New Roman" w:eastAsia="宋体"/>
                <w:color w:val="000000"/>
                <w:kern w:val="0"/>
                <w:sz w:val="24"/>
              </w:rPr>
            </w:pPr>
            <w:r>
              <w:rPr>
                <w:rFonts w:ascii="Times New Roman" w:hAnsi="Times New Roman" w:eastAsia="宋体"/>
                <w:color w:val="000000"/>
                <w:kern w:val="0"/>
                <w:sz w:val="24"/>
              </w:rPr>
              <w:t>项目产生的固废主要是一般固废和生活垃圾。</w:t>
            </w:r>
          </w:p>
          <w:p>
            <w:pPr>
              <w:adjustRightInd w:val="0"/>
              <w:spacing w:line="440" w:lineRule="exact"/>
              <w:ind w:firstLine="482"/>
              <w:jc w:val="left"/>
              <w:rPr>
                <w:rFonts w:ascii="Times New Roman" w:hAnsi="Times New Roman" w:eastAsia="宋体"/>
                <w:color w:val="000000"/>
                <w:sz w:val="24"/>
              </w:rPr>
            </w:pPr>
            <w:r>
              <w:rPr>
                <w:rFonts w:ascii="Times New Roman" w:hAnsi="Times New Roman" w:eastAsia="宋体"/>
                <w:color w:val="000000"/>
                <w:sz w:val="24"/>
              </w:rPr>
              <w:t>（1）一般固废</w:t>
            </w:r>
          </w:p>
          <w:p>
            <w:pPr>
              <w:pStyle w:val="11"/>
              <w:spacing w:line="360" w:lineRule="auto"/>
              <w:ind w:firstLine="436" w:firstLineChars="200"/>
              <w:rPr>
                <w:rFonts w:hint="default" w:ascii="Times New Roman" w:hAnsi="Times New Roman" w:eastAsia="宋体"/>
                <w:color w:val="000000"/>
                <w:kern w:val="0"/>
                <w:sz w:val="24"/>
                <w:lang w:val="en-US" w:eastAsia="zh-CN"/>
              </w:rPr>
            </w:pPr>
            <w:r>
              <w:rPr>
                <w:rFonts w:hint="eastAsia" w:ascii="Times New Roman" w:hAnsi="Times New Roman" w:eastAsia="宋体"/>
                <w:color w:val="000000"/>
                <w:spacing w:val="-11"/>
                <w:sz w:val="24"/>
                <w:lang w:val="en-US" w:eastAsia="zh-CN"/>
              </w:rPr>
              <w:t>主要有除尘器收集到的粉尘，振动筛筛选出来的废渣，成型过程中产生的废品，烧成过程中产生的废品，磁选机筛选出来的废渣</w:t>
            </w:r>
            <w:r>
              <w:rPr>
                <w:rFonts w:ascii="Times New Roman" w:hAnsi="Times New Roman" w:eastAsia="宋体"/>
                <w:color w:val="000000"/>
                <w:spacing w:val="-11"/>
                <w:sz w:val="24"/>
              </w:rPr>
              <w:t>。</w:t>
            </w:r>
            <w:r>
              <w:rPr>
                <w:rFonts w:hint="eastAsia" w:ascii="Times New Roman" w:hAnsi="Times New Roman" w:eastAsia="宋体"/>
                <w:color w:val="000000"/>
                <w:spacing w:val="-11"/>
                <w:sz w:val="24"/>
                <w:lang w:val="en-US" w:eastAsia="zh-CN"/>
              </w:rPr>
              <w:t>本项目所有一般固废均集中收集后，除尘器收集到的粉尘回用于生产，其余一般固废交由物资单位回收处置。</w:t>
            </w:r>
          </w:p>
          <w:p>
            <w:pPr>
              <w:adjustRightInd w:val="0"/>
              <w:spacing w:line="440" w:lineRule="exact"/>
              <w:ind w:firstLine="482"/>
              <w:jc w:val="left"/>
              <w:rPr>
                <w:rFonts w:ascii="Times New Roman" w:hAnsi="Times New Roman" w:eastAsia="宋体"/>
                <w:color w:val="000000"/>
                <w:sz w:val="24"/>
              </w:rPr>
            </w:pPr>
            <w:r>
              <w:rPr>
                <w:rFonts w:ascii="Times New Roman" w:hAnsi="Times New Roman" w:eastAsia="宋体"/>
                <w:color w:val="000000"/>
                <w:sz w:val="24"/>
              </w:rPr>
              <w:t>（2）生活垃圾</w:t>
            </w:r>
          </w:p>
          <w:p>
            <w:pPr>
              <w:adjustRightInd w:val="0"/>
              <w:spacing w:line="440" w:lineRule="exact"/>
              <w:ind w:firstLine="482"/>
              <w:jc w:val="left"/>
              <w:rPr>
                <w:rFonts w:ascii="Times New Roman" w:hAnsi="Times New Roman" w:eastAsia="宋体"/>
                <w:color w:val="000000"/>
                <w:sz w:val="24"/>
                <w:szCs w:val="22"/>
                <w:highlight w:val="none"/>
              </w:rPr>
            </w:pPr>
            <w:r>
              <w:rPr>
                <w:rFonts w:ascii="Times New Roman" w:hAnsi="Times New Roman" w:eastAsia="宋体"/>
                <w:color w:val="000000"/>
                <w:sz w:val="24"/>
              </w:rPr>
              <w:t>生活垃圾交由环卫部门进行处理，厂内设有垃圾桶。</w:t>
            </w:r>
          </w:p>
          <w:p>
            <w:pPr>
              <w:spacing w:line="360" w:lineRule="auto"/>
              <w:ind w:firstLine="482"/>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五、地下水环境影响分析</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根据《环境影响评价技术导则 地下水环境》（HJ610－2016）附录A中的有关规定，本项目为“</w:t>
            </w:r>
            <w:r>
              <w:rPr>
                <w:rFonts w:hint="eastAsia" w:ascii="Times New Roman" w:hAnsi="Times New Roman" w:eastAsia="宋体"/>
                <w:color w:val="000000"/>
                <w:sz w:val="24"/>
                <w:lang w:val="en-US" w:eastAsia="zh-CN"/>
              </w:rPr>
              <w:t>J非金属矿采选及制品制造</w:t>
            </w:r>
            <w:r>
              <w:rPr>
                <w:rFonts w:ascii="Times New Roman" w:hAnsi="Times New Roman" w:eastAsia="宋体"/>
                <w:color w:val="000000"/>
                <w:sz w:val="24"/>
              </w:rPr>
              <w:t>——</w:t>
            </w:r>
            <w:r>
              <w:rPr>
                <w:rFonts w:hint="eastAsia" w:ascii="Times New Roman" w:hAnsi="Times New Roman" w:eastAsia="宋体"/>
                <w:color w:val="000000"/>
                <w:sz w:val="24"/>
                <w:lang w:val="en-US" w:eastAsia="zh-CN"/>
              </w:rPr>
              <w:t>68</w:t>
            </w:r>
            <w:r>
              <w:rPr>
                <w:rFonts w:ascii="Times New Roman" w:hAnsi="Times New Roman" w:eastAsia="宋体"/>
                <w:color w:val="000000"/>
                <w:sz w:val="24"/>
              </w:rPr>
              <w:t>、</w:t>
            </w:r>
            <w:r>
              <w:rPr>
                <w:rFonts w:hint="eastAsia" w:ascii="Times New Roman" w:hAnsi="Times New Roman" w:eastAsia="宋体"/>
                <w:color w:val="000000"/>
                <w:sz w:val="24"/>
                <w:lang w:val="en-US" w:eastAsia="zh-CN"/>
              </w:rPr>
              <w:t>耐火材料及其制品</w:t>
            </w:r>
            <w:r>
              <w:rPr>
                <w:rFonts w:ascii="Times New Roman" w:hAnsi="Times New Roman" w:eastAsia="宋体"/>
                <w:color w:val="000000"/>
                <w:sz w:val="24"/>
              </w:rPr>
              <w:t>”中“其他”，属于Ⅳ类建设项目；根据《环境影响评价技术导则 地下水环境》（HJ610－2016）4.1节，Ⅳ类建设项目不开展地下水环境影响评价。</w:t>
            </w:r>
          </w:p>
          <w:p>
            <w:pPr>
              <w:spacing w:line="360" w:lineRule="auto"/>
              <w:ind w:firstLine="480" w:firstLineChars="200"/>
              <w:rPr>
                <w:rFonts w:ascii="Times New Roman" w:hAnsi="Times New Roman" w:eastAsia="宋体"/>
                <w:color w:val="000000"/>
                <w:sz w:val="36"/>
                <w:szCs w:val="36"/>
                <w:highlight w:val="none"/>
              </w:rPr>
            </w:pPr>
            <w:r>
              <w:rPr>
                <w:rFonts w:hint="eastAsia" w:ascii="Times New Roman" w:hAnsi="Times New Roman" w:eastAsia="宋体"/>
                <w:color w:val="000000"/>
                <w:sz w:val="24"/>
                <w:szCs w:val="24"/>
                <w:highlight w:val="none"/>
                <w:lang w:val="en-US" w:eastAsia="zh-CN"/>
              </w:rPr>
              <w:t>六</w:t>
            </w:r>
            <w:r>
              <w:rPr>
                <w:rFonts w:ascii="Times New Roman" w:hAnsi="Times New Roman" w:eastAsia="宋体"/>
                <w:color w:val="000000"/>
                <w:sz w:val="24"/>
                <w:szCs w:val="24"/>
                <w:highlight w:val="none"/>
              </w:rPr>
              <w:t>、</w:t>
            </w:r>
            <w:r>
              <w:rPr>
                <w:rFonts w:hint="eastAsia" w:ascii="Times New Roman" w:hAnsi="Times New Roman" w:eastAsia="宋体"/>
                <w:color w:val="000000"/>
                <w:sz w:val="24"/>
                <w:szCs w:val="24"/>
                <w:highlight w:val="none"/>
                <w:lang w:val="en-US" w:eastAsia="zh-CN"/>
              </w:rPr>
              <w:t>土壤环境</w:t>
            </w:r>
            <w:r>
              <w:rPr>
                <w:rFonts w:ascii="Times New Roman" w:hAnsi="Times New Roman" w:eastAsia="宋体"/>
                <w:color w:val="000000"/>
                <w:sz w:val="24"/>
                <w:szCs w:val="24"/>
                <w:highlight w:val="none"/>
              </w:rPr>
              <w:t>影响分析</w:t>
            </w:r>
          </w:p>
          <w:p>
            <w:pPr>
              <w:keepNext w:val="0"/>
              <w:keepLines w:val="0"/>
              <w:suppressLineNumbers w:val="0"/>
              <w:spacing w:before="0" w:beforeAutospacing="0" w:after="0" w:afterAutospacing="0" w:line="440" w:lineRule="exact"/>
              <w:ind w:left="0" w:right="0" w:firstLine="480" w:firstLineChars="200"/>
              <w:jc w:val="both"/>
              <w:rPr>
                <w:rFonts w:ascii="Times New Roman" w:hAnsi="Times New Roman" w:eastAsia="宋体"/>
                <w:caps w:val="0"/>
                <w:color w:val="000000"/>
                <w:sz w:val="24"/>
              </w:rPr>
            </w:pPr>
            <w:r>
              <w:rPr>
                <w:rFonts w:ascii="Times New Roman" w:hAnsi="Times New Roman" w:eastAsia="宋体"/>
                <w:caps w:val="0"/>
                <w:color w:val="000000"/>
                <w:sz w:val="24"/>
              </w:rPr>
              <w:t>本项目行业类别为</w:t>
            </w:r>
            <w:r>
              <w:rPr>
                <w:rFonts w:hint="eastAsia" w:ascii="Times New Roman" w:hAnsi="Times New Roman" w:eastAsia="宋体" w:cs="Times New Roman"/>
                <w:color w:val="auto"/>
                <w:sz w:val="24"/>
                <w:highlight w:val="none"/>
              </w:rPr>
              <w:t>C</w:t>
            </w:r>
            <w:r>
              <w:rPr>
                <w:rFonts w:hint="eastAsia" w:ascii="Times New Roman" w:hAnsi="Times New Roman" w:eastAsia="宋体" w:cs="Times New Roman"/>
                <w:color w:val="auto"/>
                <w:sz w:val="24"/>
                <w:highlight w:val="none"/>
                <w:lang w:val="en-US" w:eastAsia="zh-CN"/>
              </w:rPr>
              <w:t>3089</w:t>
            </w:r>
            <w:r>
              <w:rPr>
                <w:rFonts w:hint="eastAsia" w:ascii="Times New Roman" w:hAnsi="Times New Roman" w:eastAsia="宋体" w:cs="Times New Roman"/>
                <w:color w:val="auto"/>
                <w:sz w:val="24"/>
                <w:highlight w:val="none"/>
              </w:rPr>
              <w:t>耐火陶瓷制品及其他耐火材料制造</w:t>
            </w:r>
            <w:r>
              <w:rPr>
                <w:rFonts w:ascii="Times New Roman" w:hAnsi="Times New Roman" w:eastAsia="宋体"/>
                <w:caps w:val="0"/>
                <w:color w:val="000000"/>
                <w:sz w:val="24"/>
              </w:rPr>
              <w:t>。根据《环境影响评价技术导则 土壤环境（试行）》（HJ 964-2018），项目属于污染影响型项目；根据附录A 中的相关内容，</w:t>
            </w:r>
            <w:r>
              <w:rPr>
                <w:rFonts w:hint="eastAsia" w:ascii="Times New Roman" w:hAnsi="Times New Roman" w:eastAsia="宋体"/>
                <w:caps w:val="0"/>
                <w:color w:val="000000"/>
                <w:sz w:val="24"/>
              </w:rPr>
              <w:t>项目属于</w:t>
            </w:r>
            <w:r>
              <w:rPr>
                <w:rFonts w:ascii="Times New Roman" w:hAnsi="Times New Roman" w:eastAsia="宋体"/>
                <w:caps w:val="0"/>
                <w:color w:val="000000"/>
                <w:sz w:val="24"/>
              </w:rPr>
              <w:t>“</w:t>
            </w:r>
            <w:r>
              <w:rPr>
                <w:rFonts w:ascii="Arial" w:hAnsi="Arial" w:eastAsia="宋体" w:cs="Arial"/>
                <w:i w:val="0"/>
                <w:caps w:val="0"/>
                <w:color w:val="333333"/>
                <w:spacing w:val="0"/>
                <w:sz w:val="24"/>
                <w:szCs w:val="24"/>
                <w:shd w:val="clear" w:color="auto" w:fill="FFFFFF"/>
              </w:rPr>
              <w:t>Ⅳ</w:t>
            </w:r>
            <w:r>
              <w:rPr>
                <w:rFonts w:hint="eastAsia" w:ascii="Times New Roman" w:hAnsi="Times New Roman" w:eastAsia="宋体"/>
                <w:caps w:val="0"/>
                <w:color w:val="000000"/>
                <w:sz w:val="24"/>
              </w:rPr>
              <w:t>类项目</w:t>
            </w:r>
            <w:r>
              <w:rPr>
                <w:rFonts w:ascii="Times New Roman" w:hAnsi="Times New Roman" w:eastAsia="宋体"/>
                <w:caps w:val="0"/>
                <w:color w:val="000000"/>
                <w:sz w:val="24"/>
              </w:rPr>
              <w:t>。</w:t>
            </w:r>
          </w:p>
          <w:p>
            <w:pPr>
              <w:spacing w:line="460" w:lineRule="exact"/>
              <w:ind w:firstLine="480" w:firstLineChars="200"/>
              <w:rPr>
                <w:rFonts w:ascii="Times New Roman" w:hAnsi="Times New Roman" w:eastAsia="宋体"/>
                <w:caps w:val="0"/>
                <w:color w:val="000000"/>
                <w:kern w:val="0"/>
                <w:sz w:val="24"/>
              </w:rPr>
            </w:pPr>
            <w:r>
              <w:rPr>
                <w:rFonts w:ascii="Times New Roman" w:hAnsi="Times New Roman" w:eastAsia="宋体"/>
                <w:caps w:val="0"/>
                <w:color w:val="000000"/>
                <w:kern w:val="0"/>
                <w:sz w:val="24"/>
              </w:rPr>
              <w:t>依据建设项目土壤评价工作等级分级表划分规定，项目</w:t>
            </w:r>
            <w:r>
              <w:rPr>
                <w:rFonts w:hint="eastAsia" w:ascii="Times New Roman" w:hAnsi="Times New Roman" w:eastAsia="宋体"/>
                <w:caps w:val="0"/>
                <w:color w:val="000000"/>
                <w:kern w:val="0"/>
                <w:sz w:val="24"/>
              </w:rPr>
              <w:t>可不开展土壤环境影响评价工作</w:t>
            </w:r>
            <w:r>
              <w:rPr>
                <w:rFonts w:ascii="Times New Roman" w:hAnsi="Times New Roman" w:eastAsia="宋体"/>
                <w:caps w:val="0"/>
                <w:color w:val="000000"/>
                <w:kern w:val="0"/>
                <w:sz w:val="24"/>
              </w:rPr>
              <w:t>。</w:t>
            </w:r>
          </w:p>
          <w:p>
            <w:pPr>
              <w:tabs>
                <w:tab w:val="left" w:pos="2445"/>
              </w:tabs>
              <w:spacing w:line="360" w:lineRule="auto"/>
              <w:ind w:firstLine="480" w:firstLineChars="200"/>
              <w:rPr>
                <w:rFonts w:ascii="Times New Roman" w:hAnsi="Times New Roman" w:eastAsia="宋体"/>
                <w:color w:val="000000"/>
                <w:sz w:val="24"/>
                <w:szCs w:val="24"/>
                <w:highlight w:val="none"/>
              </w:rPr>
            </w:pPr>
            <w:r>
              <w:rPr>
                <w:rFonts w:hint="eastAsia" w:ascii="Times New Roman" w:hAnsi="Times New Roman" w:eastAsia="宋体"/>
                <w:color w:val="000000"/>
                <w:sz w:val="24"/>
                <w:szCs w:val="24"/>
                <w:highlight w:val="none"/>
                <w:lang w:val="en-US" w:eastAsia="zh-CN"/>
              </w:rPr>
              <w:t>七</w:t>
            </w:r>
            <w:r>
              <w:rPr>
                <w:rFonts w:ascii="Times New Roman" w:hAnsi="Times New Roman" w:eastAsia="宋体"/>
                <w:color w:val="000000"/>
                <w:sz w:val="24"/>
                <w:szCs w:val="24"/>
                <w:highlight w:val="none"/>
              </w:rPr>
              <w:t>、环境管理及监测计划</w:t>
            </w:r>
          </w:p>
          <w:p>
            <w:pPr>
              <w:pStyle w:val="79"/>
              <w:spacing w:line="360" w:lineRule="auto"/>
              <w:ind w:firstLine="482" w:firstLineChars="200"/>
              <w:rPr>
                <w:rFonts w:ascii="Times New Roman" w:hAnsi="Times New Roman" w:eastAsia="宋体"/>
                <w:b/>
                <w:color w:val="000000"/>
                <w:sz w:val="24"/>
                <w:szCs w:val="24"/>
                <w:highlight w:val="none"/>
              </w:rPr>
            </w:pPr>
            <w:bookmarkStart w:id="12" w:name="_Toc188870984"/>
            <w:bookmarkStart w:id="13" w:name="_Toc478472540"/>
            <w:bookmarkStart w:id="14" w:name="_Toc10657"/>
            <w:r>
              <w:rPr>
                <w:rFonts w:ascii="Times New Roman" w:hAnsi="Times New Roman" w:eastAsia="宋体"/>
                <w:b/>
                <w:color w:val="000000"/>
                <w:sz w:val="24"/>
                <w:szCs w:val="24"/>
                <w:highlight w:val="none"/>
              </w:rPr>
              <w:t>环境管理</w:t>
            </w:r>
            <w:bookmarkEnd w:id="12"/>
            <w:bookmarkEnd w:id="13"/>
            <w:bookmarkEnd w:id="14"/>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①环境管理目的</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环境管理是企业管理的重要组成部分，同生产管理、劳动管理、财务管理和销售管理一样也是一项专业管理。企业环境管理要利用行政、经济、技术、法律和教育等手段对生产经营发展和环境保护的关系进行协调，对环境问题进行综合治理，以达到既发展生产、增加经济效益，又能保护环境的目的。</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②机构设置</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本评价建议企业设置专门的环保机构，机构中设置主抓环保工作的科长一名，并设专职环保技术管理员，负责污水处理站及除尘器的运行监督及其工作人员的管理。</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各项治理设备要做到建制齐全，设专职分析员及维修员。</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③环境管理机构的职责</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（1）执行环保法律法令和环境标准，编制并组织实施全厂的环境保护规划和计划，并对本企业的执行情况进行监督。</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（2）制定生产过程中各项污染物的排放指标和各项环保设施运转指标，定期考核统计，向厂领导和环保管理部门汇报。</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（3）负责全厂环保设施的日常运行管理工作，制定事故防范措施。一旦发生运行故障，马上组织应急方案，并及时总结经验教训。</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（4）负责推广清洁生产工艺及污染治理先进技术和经验，不断提高全厂污染治理设施的技术水平及全厂环保工作的管理水平。</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（5）负责组织制订本企业的环境保护发展规划和年度实施计划，监督检查计划执行情况。</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（6）负责组织与领导环境监测与统计工作，掌握污染动态，提出改善措施。</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（7）负责企业与地方各级环保部门的联系与协调工作。</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1、环境管理的主要工作</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（1）有组织污染源调查和环境监测，查清和掌握工厂“三废”的排放情况和污染现状及变化趋势，建立污染源挡案，为工厂解决重大环境问题和进行综合治理，提供可靠依据。</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（2）编制工厂的环境保护规划，提供恰当的环境保护目标，制定和完善工厂的环境管理办法、规章和制度。</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（3）制定便于考核的污染物排放指标、环保设施运行效果考核指标及“三废”综合利用指标、绿化指标等各项环保指标责任指标，制定考核计划和组织考核。</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（4）组织和协调全厂的污染治理工作和“三废”综合利用技术攻关，推广先进的污染治理技术和“三废”综合利用技术。</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（5）组织环境保护宣传教育和技术培训。</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2、工作方案</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（1）将环境管理纳入生产管理，避免工艺操作异常；</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（2）加强设备养护，堵截跑、冒、滴、漏；</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（3）大修期间应同时对环保设施进行检修，清除杂物，保证管路畅通，需要更换的零部件应予更换；</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（4）推广应用先进的环保技术和经验，促进污染的综合防治和废物的回收利用或循环利用。</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（5）组织开展环境保护宣传和教育，加强群众的环保意识与工人的清洁生产意识。</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3、环境管理依据</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（1）国家和地方的环保法律、法规</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① 《中华人民共和国环境保护法》及国家的各种环保法律、法规</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② 地方政府和各级环保部门颁布的地方性环保法规</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（2）工厂制定的各种环境保护规定和制度</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（3）环境标准</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适用的环境标准主要有：</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① 《环境空气质量标准》（GB3095－2012）；</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②《地表水环境质量标准》（GB3838-2002）；</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③《声环境质量标准》（GB3096-2008）；</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适用的污染物排放标准主要有：</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①《污水综合排放标准》（GB8978—1996）；</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②《工业企业厂界环境噪声排放标准》（GB12348－2008）；</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③《城镇污水处理厂污染物排放标准》（GB18918-2002）；</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④</w:t>
            </w:r>
            <w:r>
              <w:rPr>
                <w:rFonts w:hint="eastAsia" w:ascii="Times New Roman" w:hAnsi="Times New Roman" w:eastAsia="宋体"/>
                <w:color w:val="000000"/>
                <w:sz w:val="24"/>
                <w:szCs w:val="24"/>
                <w:highlight w:val="none"/>
                <w:lang w:val="en-US" w:eastAsia="zh-CN"/>
              </w:rPr>
              <w:t>上海市</w:t>
            </w:r>
            <w:r>
              <w:rPr>
                <w:rFonts w:ascii="Times New Roman" w:hAnsi="Times New Roman" w:eastAsia="宋体"/>
                <w:color w:val="000000"/>
                <w:sz w:val="24"/>
                <w:szCs w:val="24"/>
                <w:highlight w:val="none"/>
              </w:rPr>
              <w:t>《大气污染物综合排放标准》（</w:t>
            </w:r>
            <w:r>
              <w:rPr>
                <w:rFonts w:hint="eastAsia" w:ascii="Times New Roman" w:hAnsi="Times New Roman" w:eastAsia="宋体"/>
                <w:color w:val="000000"/>
                <w:sz w:val="24"/>
                <w:szCs w:val="24"/>
                <w:highlight w:val="none"/>
                <w:lang w:val="en-US" w:eastAsia="zh-CN"/>
              </w:rPr>
              <w:t>D</w:t>
            </w:r>
            <w:r>
              <w:rPr>
                <w:rFonts w:ascii="Times New Roman" w:hAnsi="Times New Roman" w:eastAsia="宋体"/>
                <w:color w:val="000000"/>
                <w:sz w:val="24"/>
                <w:szCs w:val="24"/>
                <w:highlight w:val="none"/>
              </w:rPr>
              <w:t>B</w:t>
            </w:r>
            <w:r>
              <w:rPr>
                <w:rFonts w:hint="eastAsia" w:ascii="Times New Roman" w:hAnsi="Times New Roman" w:eastAsia="宋体"/>
                <w:color w:val="000000"/>
                <w:sz w:val="24"/>
                <w:szCs w:val="24"/>
                <w:highlight w:val="none"/>
                <w:lang w:val="en-US" w:eastAsia="zh-CN"/>
              </w:rPr>
              <w:t>31/933</w:t>
            </w:r>
            <w:r>
              <w:rPr>
                <w:rFonts w:ascii="Times New Roman" w:hAnsi="Times New Roman" w:eastAsia="宋体"/>
                <w:color w:val="000000"/>
                <w:sz w:val="24"/>
                <w:szCs w:val="24"/>
                <w:highlight w:val="none"/>
              </w:rPr>
              <w:t>-</w:t>
            </w:r>
            <w:r>
              <w:rPr>
                <w:rFonts w:hint="eastAsia" w:ascii="Times New Roman" w:hAnsi="Times New Roman" w:eastAsia="宋体"/>
                <w:color w:val="000000"/>
                <w:sz w:val="24"/>
                <w:szCs w:val="24"/>
                <w:highlight w:val="none"/>
                <w:lang w:val="en-US" w:eastAsia="zh-CN"/>
              </w:rPr>
              <w:t>2015</w:t>
            </w:r>
            <w:r>
              <w:rPr>
                <w:rFonts w:ascii="Times New Roman" w:hAnsi="Times New Roman" w:eastAsia="宋体"/>
                <w:color w:val="000000"/>
                <w:sz w:val="24"/>
                <w:szCs w:val="24"/>
                <w:highlight w:val="none"/>
              </w:rPr>
              <w:t>）；</w:t>
            </w:r>
          </w:p>
          <w:p>
            <w:pPr>
              <w:pStyle w:val="79"/>
              <w:spacing w:line="360" w:lineRule="auto"/>
              <w:ind w:firstLine="482" w:firstLineChars="200"/>
              <w:rPr>
                <w:rFonts w:ascii="Times New Roman" w:hAnsi="Times New Roman" w:eastAsia="宋体"/>
                <w:b/>
                <w:color w:val="000000"/>
                <w:sz w:val="24"/>
                <w:szCs w:val="24"/>
                <w:highlight w:val="none"/>
              </w:rPr>
            </w:pPr>
            <w:bookmarkStart w:id="15" w:name="_Toc14274"/>
            <w:bookmarkStart w:id="16" w:name="_Toc188870985"/>
            <w:bookmarkStart w:id="17" w:name="_Toc478472541"/>
            <w:r>
              <w:rPr>
                <w:rFonts w:ascii="Times New Roman" w:hAnsi="Times New Roman" w:eastAsia="宋体"/>
                <w:b/>
                <w:color w:val="000000"/>
                <w:sz w:val="24"/>
                <w:szCs w:val="24"/>
                <w:highlight w:val="none"/>
              </w:rPr>
              <w:t>环境监测</w:t>
            </w:r>
            <w:bookmarkEnd w:id="15"/>
            <w:bookmarkEnd w:id="16"/>
            <w:bookmarkEnd w:id="17"/>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1、监测目的、任务、意义</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监测机构的设置，是为了保证项目建成投产后，能迅速全面地反映项目的污染现状和变化趋势，为环境管理，污染管理，环境保护规划提供准确、可靠的监测数据和资料。</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环境监测的主要任务是，定期监测项目主要污染源，掌握项目排污状况，为制定污染控制对策提供依据。</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环境监测是环境保护的耳目，是环境管理必不可少的组成部分，因此公司应设置环境监测机构，对环境进行监测，及时发现环境污染问题，以便及时加以解决和控制。</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2、监测人员职责</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根据国家颁布的环境质量标准和污染物排放标准，参与制定监测工作计划。配备相应的环境监测设备和仪器、对排污口施行规范化管理、完成预定的监测计划、填写监测记录和编制监测报告并及时报告给环境管理人员、对监测结果做好档案管理工作。应定期参加技术培训，参加主管部门的技术考核。</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3、监测计划</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根据公司污染源分布实际情况，依据《</w:t>
            </w:r>
            <w:r>
              <w:rPr>
                <w:rFonts w:hint="eastAsia" w:ascii="Times New Roman" w:hAnsi="Times New Roman" w:eastAsia="宋体"/>
                <w:color w:val="000000"/>
                <w:sz w:val="24"/>
                <w:szCs w:val="24"/>
                <w:highlight w:val="none"/>
              </w:rPr>
              <w:t>排污单位自行监测技术指南 总则</w:t>
            </w:r>
            <w:r>
              <w:rPr>
                <w:rFonts w:ascii="Times New Roman" w:hAnsi="Times New Roman" w:eastAsia="宋体"/>
                <w:color w:val="000000"/>
                <w:sz w:val="24"/>
                <w:szCs w:val="24"/>
                <w:highlight w:val="none"/>
              </w:rPr>
              <w:t>》</w:t>
            </w:r>
            <w:r>
              <w:rPr>
                <w:rFonts w:hint="eastAsia" w:ascii="Times New Roman" w:hAnsi="Times New Roman" w:eastAsia="宋体"/>
                <w:color w:val="000000"/>
                <w:sz w:val="24"/>
                <w:szCs w:val="24"/>
                <w:highlight w:val="none"/>
              </w:rPr>
              <w:t>HJ 819-2017</w:t>
            </w:r>
            <w:r>
              <w:rPr>
                <w:rFonts w:hint="eastAsia"/>
                <w:color w:val="000000"/>
                <w:sz w:val="24"/>
                <w:szCs w:val="24"/>
                <w:highlight w:val="none"/>
                <w:lang w:eastAsia="zh-CN"/>
              </w:rPr>
              <w:t>、《排污许可证申请与核发技术规范 工业炉窑》HJ1121—2020</w:t>
            </w:r>
            <w:r>
              <w:rPr>
                <w:rFonts w:ascii="Times New Roman" w:hAnsi="Times New Roman" w:eastAsia="宋体"/>
                <w:color w:val="000000"/>
                <w:sz w:val="24"/>
                <w:szCs w:val="24"/>
                <w:highlight w:val="none"/>
              </w:rPr>
              <w:t>的布点原则，本评价建议按以下监测计划实施监测：</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①废气污染源监测</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（1）监测点位：1#</w:t>
            </w:r>
            <w:r>
              <w:rPr>
                <w:rFonts w:hint="eastAsia"/>
                <w:color w:val="000000"/>
                <w:sz w:val="24"/>
                <w:szCs w:val="24"/>
                <w:highlight w:val="none"/>
                <w:lang w:val="en-US" w:eastAsia="zh-CN"/>
              </w:rPr>
              <w:t>~6</w:t>
            </w:r>
            <w:r>
              <w:rPr>
                <w:rFonts w:hint="eastAsia" w:ascii="Times New Roman" w:hAnsi="Times New Roman" w:eastAsia="宋体"/>
                <w:color w:val="000000"/>
                <w:sz w:val="24"/>
                <w:szCs w:val="24"/>
                <w:highlight w:val="none"/>
                <w:lang w:val="en-US" w:eastAsia="zh-CN"/>
              </w:rPr>
              <w:t>#排气筒</w:t>
            </w:r>
            <w:r>
              <w:rPr>
                <w:rFonts w:ascii="Times New Roman" w:hAnsi="Times New Roman" w:eastAsia="宋体"/>
                <w:color w:val="000000"/>
                <w:sz w:val="24"/>
                <w:szCs w:val="24"/>
                <w:highlight w:val="none"/>
              </w:rPr>
              <w:t>及厂界无组织排放监控点处。</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（2）监测项目：</w:t>
            </w:r>
            <w:r>
              <w:rPr>
                <w:rFonts w:hint="eastAsia" w:ascii="Times New Roman" w:hAnsi="Times New Roman" w:eastAsia="宋体"/>
                <w:color w:val="000000"/>
                <w:kern w:val="0"/>
                <w:sz w:val="24"/>
                <w:highlight w:val="none"/>
                <w:lang w:val="en-US" w:eastAsia="zh-CN"/>
              </w:rPr>
              <w:t>二氧化硫、氮氧化物</w:t>
            </w:r>
            <w:r>
              <w:rPr>
                <w:rFonts w:ascii="Times New Roman" w:hAnsi="Times New Roman" w:eastAsia="宋体"/>
                <w:color w:val="000000"/>
                <w:sz w:val="24"/>
                <w:szCs w:val="24"/>
                <w:highlight w:val="none"/>
              </w:rPr>
              <w:t>、颗粒物。</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②废水污染源监测</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（1）监测点位：总排口处。</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（2）监测项目：COD、SS、BOD、氨氮。</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（3）监测频率：</w:t>
            </w:r>
            <w:r>
              <w:rPr>
                <w:rFonts w:hint="eastAsia"/>
                <w:color w:val="000000"/>
                <w:sz w:val="24"/>
                <w:szCs w:val="24"/>
                <w:highlight w:val="none"/>
                <w:lang w:val="en-US" w:eastAsia="zh-CN"/>
              </w:rPr>
              <w:t>半年</w:t>
            </w:r>
            <w:r>
              <w:rPr>
                <w:rFonts w:ascii="Times New Roman" w:hAnsi="Times New Roman" w:eastAsia="宋体"/>
                <w:color w:val="000000"/>
                <w:sz w:val="24"/>
                <w:szCs w:val="24"/>
                <w:highlight w:val="none"/>
              </w:rPr>
              <w:t>一次。</w:t>
            </w:r>
          </w:p>
          <w:p>
            <w:pPr>
              <w:pStyle w:val="92"/>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③噪声污染源监测</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对厂界噪声进行监测，</w:t>
            </w:r>
            <w:r>
              <w:rPr>
                <w:rFonts w:hint="eastAsia"/>
                <w:color w:val="000000"/>
                <w:sz w:val="24"/>
                <w:szCs w:val="24"/>
                <w:highlight w:val="none"/>
                <w:lang w:val="en-US" w:eastAsia="zh-CN"/>
              </w:rPr>
              <w:t>半年</w:t>
            </w:r>
            <w:r>
              <w:rPr>
                <w:rFonts w:ascii="Times New Roman" w:hAnsi="Times New Roman" w:eastAsia="宋体"/>
                <w:color w:val="000000"/>
                <w:sz w:val="24"/>
                <w:szCs w:val="24"/>
                <w:highlight w:val="none"/>
              </w:rPr>
              <w:t>一次。</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生产期厂内污染源监测点位、监测项目等详见下表。</w:t>
            </w:r>
          </w:p>
          <w:p>
            <w:pPr>
              <w:spacing w:line="360" w:lineRule="auto"/>
              <w:jc w:val="center"/>
              <w:rPr>
                <w:rFonts w:ascii="Times New Roman" w:hAnsi="Times New Roman" w:eastAsia="宋体"/>
                <w:b/>
                <w:color w:val="000000"/>
                <w:sz w:val="24"/>
                <w:szCs w:val="24"/>
                <w:highlight w:val="none"/>
              </w:rPr>
            </w:pPr>
            <w:r>
              <w:rPr>
                <w:rFonts w:ascii="Times New Roman" w:hAnsi="Times New Roman" w:eastAsia="宋体"/>
                <w:b/>
                <w:color w:val="000000"/>
                <w:sz w:val="24"/>
                <w:szCs w:val="24"/>
                <w:highlight w:val="none"/>
              </w:rPr>
              <w:t>表7-</w:t>
            </w:r>
            <w:r>
              <w:rPr>
                <w:rFonts w:hint="eastAsia" w:ascii="Times New Roman" w:hAnsi="Times New Roman" w:eastAsia="宋体"/>
                <w:b/>
                <w:color w:val="000000"/>
                <w:sz w:val="24"/>
                <w:szCs w:val="24"/>
                <w:highlight w:val="none"/>
                <w:lang w:val="en-US" w:eastAsia="zh-CN"/>
              </w:rPr>
              <w:t>10</w:t>
            </w:r>
            <w:r>
              <w:rPr>
                <w:rFonts w:ascii="Times New Roman" w:hAnsi="Times New Roman" w:eastAsia="宋体"/>
                <w:b/>
                <w:color w:val="000000"/>
                <w:sz w:val="24"/>
                <w:szCs w:val="24"/>
                <w:highlight w:val="none"/>
              </w:rPr>
              <w:t xml:space="preserve"> 监测计划一览表</w:t>
            </w:r>
          </w:p>
          <w:tbl>
            <w:tblPr>
              <w:tblStyle w:val="2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764"/>
              <w:gridCol w:w="2161"/>
              <w:gridCol w:w="1548"/>
              <w:gridCol w:w="1130"/>
              <w:gridCol w:w="2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4" w:type="dxa"/>
                  <w:tcBorders>
                    <w:top w:val="single" w:color="auto" w:sz="4" w:space="0"/>
                    <w:left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项目</w:t>
                  </w:r>
                </w:p>
              </w:tc>
              <w:tc>
                <w:tcPr>
                  <w:tcW w:w="2161" w:type="dxa"/>
                  <w:tcBorders>
                    <w:top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监测点位</w:t>
                  </w:r>
                </w:p>
              </w:tc>
              <w:tc>
                <w:tcPr>
                  <w:tcW w:w="1548" w:type="dxa"/>
                  <w:tcBorders>
                    <w:top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监测因子</w:t>
                  </w:r>
                </w:p>
              </w:tc>
              <w:tc>
                <w:tcPr>
                  <w:tcW w:w="1130" w:type="dxa"/>
                  <w:tcBorders>
                    <w:top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监测频率</w:t>
                  </w:r>
                </w:p>
              </w:tc>
              <w:tc>
                <w:tcPr>
                  <w:tcW w:w="2673" w:type="dxa"/>
                  <w:tcBorders>
                    <w:top w:val="single" w:color="auto" w:sz="4" w:space="0"/>
                    <w:bottom w:val="single" w:color="auto" w:sz="6" w:space="0"/>
                    <w:righ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执行标准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4" w:type="dxa"/>
                  <w:vMerge w:val="restart"/>
                  <w:tcBorders>
                    <w:top w:val="single" w:color="auto" w:sz="4" w:space="0"/>
                    <w:lef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废气</w:t>
                  </w:r>
                </w:p>
              </w:tc>
              <w:tc>
                <w:tcPr>
                  <w:tcW w:w="2161" w:type="dxa"/>
                  <w:tcBorders>
                    <w:top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1#排气筒排气口</w:t>
                  </w:r>
                </w:p>
              </w:tc>
              <w:tc>
                <w:tcPr>
                  <w:tcW w:w="1548" w:type="dxa"/>
                  <w:tcBorders>
                    <w:top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颗粒物</w:t>
                  </w:r>
                </w:p>
              </w:tc>
              <w:tc>
                <w:tcPr>
                  <w:tcW w:w="1130" w:type="dxa"/>
                  <w:tcBorders>
                    <w:top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每</w:t>
                  </w:r>
                  <w:r>
                    <w:rPr>
                      <w:rFonts w:hint="eastAsia" w:ascii="Times New Roman" w:hAnsi="Times New Roman" w:eastAsia="宋体"/>
                      <w:color w:val="000000"/>
                      <w:sz w:val="21"/>
                      <w:szCs w:val="21"/>
                      <w:highlight w:val="none"/>
                      <w:lang w:val="en-US" w:eastAsia="zh-CN"/>
                    </w:rPr>
                    <w:t>半</w:t>
                  </w:r>
                  <w:r>
                    <w:rPr>
                      <w:rFonts w:ascii="Times New Roman" w:hAnsi="Times New Roman" w:eastAsia="宋体"/>
                      <w:color w:val="000000"/>
                      <w:sz w:val="21"/>
                      <w:szCs w:val="21"/>
                      <w:highlight w:val="none"/>
                    </w:rPr>
                    <w:t>年一次</w:t>
                  </w:r>
                </w:p>
              </w:tc>
              <w:tc>
                <w:tcPr>
                  <w:tcW w:w="2673" w:type="dxa"/>
                  <w:vMerge w:val="restart"/>
                  <w:tcBorders>
                    <w:top w:val="single" w:color="auto" w:sz="4" w:space="0"/>
                    <w:right w:val="single" w:color="auto" w:sz="4" w:space="0"/>
                  </w:tcBorders>
                  <w:noWrap w:val="0"/>
                  <w:vAlign w:val="center"/>
                </w:tcPr>
                <w:p>
                  <w:pPr>
                    <w:pStyle w:val="104"/>
                    <w:spacing w:line="240" w:lineRule="atLeast"/>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上海市</w:t>
                  </w:r>
                  <w:r>
                    <w:rPr>
                      <w:rFonts w:ascii="Times New Roman" w:hAnsi="Times New Roman" w:eastAsia="宋体"/>
                      <w:color w:val="000000"/>
                      <w:sz w:val="21"/>
                      <w:szCs w:val="21"/>
                      <w:highlight w:val="none"/>
                    </w:rPr>
                    <w:t>《大气污染物综合排放标准》（</w:t>
                  </w:r>
                  <w:r>
                    <w:rPr>
                      <w:rFonts w:hint="eastAsia" w:ascii="Times New Roman" w:hAnsi="Times New Roman" w:eastAsia="宋体"/>
                      <w:color w:val="000000"/>
                      <w:sz w:val="21"/>
                      <w:szCs w:val="21"/>
                      <w:highlight w:val="none"/>
                    </w:rPr>
                    <w:t>DB31/933-2015</w:t>
                  </w:r>
                  <w:r>
                    <w:rPr>
                      <w:rFonts w:ascii="Times New Roman" w:hAnsi="Times New Roman" w:eastAsia="宋体"/>
                      <w:color w:val="000000"/>
                      <w:sz w:val="21"/>
                      <w:szCs w:val="21"/>
                      <w:highlight w:val="none"/>
                    </w:rPr>
                    <w:t>）</w:t>
                  </w:r>
                  <w:r>
                    <w:rPr>
                      <w:rFonts w:hint="eastAsia" w:ascii="Times New Roman" w:hAnsi="Times New Roman" w:eastAsia="宋体"/>
                      <w:color w:val="000000"/>
                      <w:sz w:val="21"/>
                      <w:szCs w:val="21"/>
                      <w:highlight w:val="none"/>
                      <w:lang w:val="en-US" w:eastAsia="zh-CN"/>
                    </w:rPr>
                    <w:t>中相关标准限值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4" w:type="dxa"/>
                  <w:vMerge w:val="continue"/>
                  <w:tcBorders>
                    <w:lef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p>
              </w:tc>
              <w:tc>
                <w:tcPr>
                  <w:tcW w:w="2161" w:type="dxa"/>
                  <w:tcBorders>
                    <w:top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2#排气筒排气口</w:t>
                  </w:r>
                </w:p>
              </w:tc>
              <w:tc>
                <w:tcPr>
                  <w:tcW w:w="1548" w:type="dxa"/>
                  <w:tcBorders>
                    <w:top w:val="single" w:color="auto" w:sz="4" w:space="0"/>
                    <w:bottom w:val="single" w:color="auto" w:sz="6"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颗粒物</w:t>
                  </w:r>
                </w:p>
              </w:tc>
              <w:tc>
                <w:tcPr>
                  <w:tcW w:w="1130" w:type="dxa"/>
                  <w:tcBorders>
                    <w:top w:val="single" w:color="auto" w:sz="4" w:space="0"/>
                    <w:bottom w:val="single" w:color="auto" w:sz="6"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每</w:t>
                  </w:r>
                  <w:r>
                    <w:rPr>
                      <w:rFonts w:hint="eastAsia" w:ascii="Times New Roman" w:hAnsi="Times New Roman" w:eastAsia="宋体"/>
                      <w:color w:val="000000"/>
                      <w:sz w:val="21"/>
                      <w:szCs w:val="21"/>
                      <w:highlight w:val="none"/>
                      <w:lang w:val="en-US" w:eastAsia="zh-CN"/>
                    </w:rPr>
                    <w:t>半</w:t>
                  </w:r>
                  <w:r>
                    <w:rPr>
                      <w:rFonts w:ascii="Times New Roman" w:hAnsi="Times New Roman" w:eastAsia="宋体"/>
                      <w:color w:val="000000"/>
                      <w:sz w:val="21"/>
                      <w:szCs w:val="21"/>
                      <w:highlight w:val="none"/>
                    </w:rPr>
                    <w:t>年一次</w:t>
                  </w:r>
                </w:p>
              </w:tc>
              <w:tc>
                <w:tcPr>
                  <w:tcW w:w="2673" w:type="dxa"/>
                  <w:vMerge w:val="continue"/>
                  <w:tcBorders>
                    <w:right w:val="single" w:color="auto" w:sz="4"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4" w:type="dxa"/>
                  <w:vMerge w:val="continue"/>
                  <w:tcBorders>
                    <w:lef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p>
              </w:tc>
              <w:tc>
                <w:tcPr>
                  <w:tcW w:w="2161" w:type="dxa"/>
                  <w:tcBorders>
                    <w:top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lang w:val="en-US" w:eastAsia="zh-CN"/>
                    </w:rPr>
                    <w:t>3#排气筒</w:t>
                  </w:r>
                </w:p>
              </w:tc>
              <w:tc>
                <w:tcPr>
                  <w:tcW w:w="1548" w:type="dxa"/>
                  <w:tcBorders>
                    <w:top w:val="single" w:color="auto" w:sz="4" w:space="0"/>
                    <w:bottom w:val="single" w:color="auto" w:sz="6"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颗粒物</w:t>
                  </w:r>
                </w:p>
              </w:tc>
              <w:tc>
                <w:tcPr>
                  <w:tcW w:w="1130" w:type="dxa"/>
                  <w:tcBorders>
                    <w:top w:val="single" w:color="auto" w:sz="4" w:space="0"/>
                    <w:bottom w:val="single" w:color="auto" w:sz="6"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每</w:t>
                  </w:r>
                  <w:r>
                    <w:rPr>
                      <w:rFonts w:hint="eastAsia" w:ascii="Times New Roman" w:hAnsi="Times New Roman" w:eastAsia="宋体"/>
                      <w:color w:val="000000"/>
                      <w:sz w:val="21"/>
                      <w:szCs w:val="21"/>
                      <w:highlight w:val="none"/>
                      <w:lang w:val="en-US" w:eastAsia="zh-CN"/>
                    </w:rPr>
                    <w:t>半</w:t>
                  </w:r>
                  <w:r>
                    <w:rPr>
                      <w:rFonts w:ascii="Times New Roman" w:hAnsi="Times New Roman" w:eastAsia="宋体"/>
                      <w:color w:val="000000"/>
                      <w:sz w:val="21"/>
                      <w:szCs w:val="21"/>
                      <w:highlight w:val="none"/>
                    </w:rPr>
                    <w:t>年一次</w:t>
                  </w:r>
                </w:p>
              </w:tc>
              <w:tc>
                <w:tcPr>
                  <w:tcW w:w="2673" w:type="dxa"/>
                  <w:vMerge w:val="continue"/>
                  <w:tcBorders>
                    <w:right w:val="single" w:color="auto" w:sz="4"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4" w:type="dxa"/>
                  <w:vMerge w:val="continue"/>
                  <w:tcBorders>
                    <w:lef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p>
              </w:tc>
              <w:tc>
                <w:tcPr>
                  <w:tcW w:w="2161" w:type="dxa"/>
                  <w:tcBorders>
                    <w:top w:val="single" w:color="auto" w:sz="4" w:space="0"/>
                    <w:bottom w:val="single" w:color="auto" w:sz="6" w:space="0"/>
                  </w:tcBorders>
                  <w:noWrap w:val="0"/>
                  <w:vAlign w:val="center"/>
                </w:tcPr>
                <w:p>
                  <w:pPr>
                    <w:pStyle w:val="104"/>
                    <w:spacing w:line="240" w:lineRule="atLeast"/>
                    <w:rPr>
                      <w:rFonts w:hint="eastAsia"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4#排气筒</w:t>
                  </w:r>
                </w:p>
              </w:tc>
              <w:tc>
                <w:tcPr>
                  <w:tcW w:w="1548" w:type="dxa"/>
                  <w:tcBorders>
                    <w:top w:val="single" w:color="auto" w:sz="4" w:space="0"/>
                    <w:bottom w:val="single" w:color="auto" w:sz="6"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颗粒物</w:t>
                  </w:r>
                </w:p>
              </w:tc>
              <w:tc>
                <w:tcPr>
                  <w:tcW w:w="1130" w:type="dxa"/>
                  <w:tcBorders>
                    <w:top w:val="single" w:color="auto" w:sz="4" w:space="0"/>
                    <w:bottom w:val="single" w:color="auto" w:sz="6"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每</w:t>
                  </w:r>
                  <w:r>
                    <w:rPr>
                      <w:rFonts w:hint="eastAsia" w:ascii="Times New Roman" w:hAnsi="Times New Roman" w:eastAsia="宋体"/>
                      <w:color w:val="000000"/>
                      <w:sz w:val="21"/>
                      <w:szCs w:val="21"/>
                      <w:highlight w:val="none"/>
                      <w:lang w:val="en-US" w:eastAsia="zh-CN"/>
                    </w:rPr>
                    <w:t>半</w:t>
                  </w:r>
                  <w:r>
                    <w:rPr>
                      <w:rFonts w:ascii="Times New Roman" w:hAnsi="Times New Roman" w:eastAsia="宋体"/>
                      <w:color w:val="000000"/>
                      <w:sz w:val="21"/>
                      <w:szCs w:val="21"/>
                      <w:highlight w:val="none"/>
                    </w:rPr>
                    <w:t>年一次</w:t>
                  </w:r>
                </w:p>
              </w:tc>
              <w:tc>
                <w:tcPr>
                  <w:tcW w:w="2673" w:type="dxa"/>
                  <w:vMerge w:val="continue"/>
                  <w:tcBorders>
                    <w:right w:val="single" w:color="auto" w:sz="4"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4" w:type="dxa"/>
                  <w:vMerge w:val="continue"/>
                  <w:tcBorders>
                    <w:lef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p>
              </w:tc>
              <w:tc>
                <w:tcPr>
                  <w:tcW w:w="2161" w:type="dxa"/>
                  <w:tcBorders>
                    <w:top w:val="single" w:color="auto" w:sz="4" w:space="0"/>
                    <w:bottom w:val="single" w:color="auto" w:sz="6" w:space="0"/>
                  </w:tcBorders>
                  <w:noWrap w:val="0"/>
                  <w:vAlign w:val="center"/>
                </w:tcPr>
                <w:p>
                  <w:pPr>
                    <w:pStyle w:val="104"/>
                    <w:spacing w:line="240" w:lineRule="atLeast"/>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5</w:t>
                  </w:r>
                  <w:r>
                    <w:rPr>
                      <w:rFonts w:hint="eastAsia" w:ascii="Times New Roman" w:hAnsi="Times New Roman" w:eastAsia="宋体"/>
                      <w:color w:val="000000"/>
                      <w:sz w:val="21"/>
                      <w:szCs w:val="21"/>
                      <w:highlight w:val="none"/>
                      <w:lang w:val="en-US" w:eastAsia="zh-CN"/>
                    </w:rPr>
                    <w:t>#</w:t>
                  </w:r>
                  <w:r>
                    <w:rPr>
                      <w:rFonts w:hint="eastAsia"/>
                      <w:color w:val="000000"/>
                      <w:sz w:val="21"/>
                      <w:szCs w:val="21"/>
                      <w:highlight w:val="none"/>
                      <w:lang w:val="en-US" w:eastAsia="zh-CN"/>
                    </w:rPr>
                    <w:t>、6#</w:t>
                  </w:r>
                  <w:r>
                    <w:rPr>
                      <w:rFonts w:hint="eastAsia" w:ascii="Times New Roman" w:hAnsi="Times New Roman" w:eastAsia="宋体"/>
                      <w:color w:val="000000"/>
                      <w:sz w:val="21"/>
                      <w:szCs w:val="21"/>
                      <w:highlight w:val="none"/>
                      <w:lang w:val="en-US" w:eastAsia="zh-CN"/>
                    </w:rPr>
                    <w:t>排气筒</w:t>
                  </w:r>
                </w:p>
              </w:tc>
              <w:tc>
                <w:tcPr>
                  <w:tcW w:w="1548" w:type="dxa"/>
                  <w:tcBorders>
                    <w:top w:val="single" w:color="auto" w:sz="4" w:space="0"/>
                    <w:bottom w:val="single" w:color="auto" w:sz="6" w:space="0"/>
                  </w:tcBorders>
                  <w:noWrap w:val="0"/>
                  <w:vAlign w:val="center"/>
                </w:tcPr>
                <w:p>
                  <w:pPr>
                    <w:pStyle w:val="104"/>
                    <w:spacing w:line="240" w:lineRule="atLeast"/>
                    <w:ind w:firstLine="0" w:firstLineChars="0"/>
                    <w:rPr>
                      <w:rFonts w:hint="default" w:ascii="Times New Roman" w:hAnsi="Times New Roman" w:eastAsia="宋体"/>
                      <w:color w:val="000000"/>
                      <w:sz w:val="21"/>
                      <w:szCs w:val="21"/>
                      <w:highlight w:val="none"/>
                      <w:lang w:val="en-US" w:eastAsia="zh-CN"/>
                    </w:rPr>
                  </w:pPr>
                  <w:r>
                    <w:rPr>
                      <w:rFonts w:ascii="Times New Roman" w:hAnsi="Times New Roman" w:eastAsia="宋体"/>
                      <w:color w:val="000000"/>
                      <w:sz w:val="21"/>
                      <w:szCs w:val="21"/>
                      <w:highlight w:val="none"/>
                    </w:rPr>
                    <w:t>颗粒物</w:t>
                  </w:r>
                  <w:r>
                    <w:rPr>
                      <w:rFonts w:hint="eastAsia" w:ascii="Times New Roman" w:hAnsi="Times New Roman" w:eastAsia="宋体"/>
                      <w:color w:val="000000"/>
                      <w:sz w:val="21"/>
                      <w:szCs w:val="21"/>
                      <w:highlight w:val="none"/>
                      <w:lang w:eastAsia="zh-CN"/>
                    </w:rPr>
                    <w:t>、</w:t>
                  </w:r>
                  <w:r>
                    <w:rPr>
                      <w:rFonts w:hint="eastAsia" w:ascii="Times New Roman" w:hAnsi="Times New Roman" w:eastAsia="宋体"/>
                      <w:color w:val="000000"/>
                      <w:sz w:val="21"/>
                      <w:szCs w:val="21"/>
                      <w:highlight w:val="none"/>
                      <w:lang w:val="en-US" w:eastAsia="zh-CN"/>
                    </w:rPr>
                    <w:t>二氧化硫、氮氧化物</w:t>
                  </w:r>
                </w:p>
              </w:tc>
              <w:tc>
                <w:tcPr>
                  <w:tcW w:w="1130" w:type="dxa"/>
                  <w:tcBorders>
                    <w:top w:val="single" w:color="auto" w:sz="4" w:space="0"/>
                    <w:bottom w:val="single" w:color="auto" w:sz="6" w:space="0"/>
                  </w:tcBorders>
                  <w:noWrap w:val="0"/>
                  <w:vAlign w:val="center"/>
                </w:tcPr>
                <w:p>
                  <w:pPr>
                    <w:pStyle w:val="104"/>
                    <w:spacing w:line="240" w:lineRule="atLeast"/>
                    <w:ind w:firstLine="0" w:firstLineChars="0"/>
                    <w:rPr>
                      <w:rFonts w:hint="eastAsia" w:ascii="Times New Roman" w:hAnsi="Times New Roman" w:eastAsia="宋体"/>
                      <w:color w:val="000000"/>
                      <w:sz w:val="21"/>
                      <w:szCs w:val="21"/>
                      <w:highlight w:val="none"/>
                      <w:lang w:val="en-US" w:eastAsia="zh-CN"/>
                    </w:rPr>
                  </w:pPr>
                  <w:r>
                    <w:rPr>
                      <w:rFonts w:hint="eastAsia"/>
                      <w:color w:val="000000"/>
                      <w:sz w:val="21"/>
                      <w:szCs w:val="21"/>
                      <w:highlight w:val="none"/>
                      <w:lang w:val="en-US" w:eastAsia="zh-CN"/>
                    </w:rPr>
                    <w:t>自动监测</w:t>
                  </w:r>
                </w:p>
              </w:tc>
              <w:tc>
                <w:tcPr>
                  <w:tcW w:w="2673" w:type="dxa"/>
                  <w:vMerge w:val="continue"/>
                  <w:tcBorders>
                    <w:right w:val="single" w:color="auto" w:sz="4" w:space="0"/>
                  </w:tcBorders>
                  <w:noWrap w:val="0"/>
                  <w:vAlign w:val="center"/>
                </w:tcPr>
                <w:p>
                  <w:pPr>
                    <w:pStyle w:val="104"/>
                    <w:spacing w:line="240" w:lineRule="atLeast"/>
                    <w:ind w:firstLine="0" w:firstLineChars="0"/>
                    <w:rPr>
                      <w:rFonts w:ascii="Times New Roman" w:hAnsi="Times New Roman" w:eastAsia="宋体"/>
                      <w:color w:val="00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90" w:hRule="atLeast"/>
                <w:jc w:val="center"/>
              </w:trPr>
              <w:tc>
                <w:tcPr>
                  <w:tcW w:w="764" w:type="dxa"/>
                  <w:vMerge w:val="continue"/>
                  <w:tcBorders>
                    <w:left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p>
              </w:tc>
              <w:tc>
                <w:tcPr>
                  <w:tcW w:w="2161" w:type="dxa"/>
                  <w:tcBorders>
                    <w:top w:val="single" w:color="auto" w:sz="6"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厂界无组织排放监控点</w:t>
                  </w:r>
                </w:p>
              </w:tc>
              <w:tc>
                <w:tcPr>
                  <w:tcW w:w="1548" w:type="dxa"/>
                  <w:tcBorders>
                    <w:top w:val="single" w:color="auto" w:sz="6"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颗粒物</w:t>
                  </w:r>
                </w:p>
              </w:tc>
              <w:tc>
                <w:tcPr>
                  <w:tcW w:w="1130" w:type="dxa"/>
                  <w:tcBorders>
                    <w:top w:val="single" w:color="auto" w:sz="6"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每</w:t>
                  </w:r>
                  <w:r>
                    <w:rPr>
                      <w:rFonts w:hint="eastAsia" w:ascii="Times New Roman" w:hAnsi="Times New Roman" w:eastAsia="宋体"/>
                      <w:color w:val="000000"/>
                      <w:sz w:val="21"/>
                      <w:szCs w:val="21"/>
                      <w:highlight w:val="none"/>
                      <w:lang w:val="en-US" w:eastAsia="zh-CN"/>
                    </w:rPr>
                    <w:t>季</w:t>
                  </w:r>
                  <w:r>
                    <w:rPr>
                      <w:rFonts w:ascii="Times New Roman" w:hAnsi="Times New Roman" w:eastAsia="宋体"/>
                      <w:color w:val="000000"/>
                      <w:sz w:val="21"/>
                      <w:szCs w:val="21"/>
                      <w:highlight w:val="none"/>
                    </w:rPr>
                    <w:t>一次</w:t>
                  </w:r>
                </w:p>
              </w:tc>
              <w:tc>
                <w:tcPr>
                  <w:tcW w:w="2673" w:type="dxa"/>
                  <w:vMerge w:val="continue"/>
                  <w:tcBorders>
                    <w:righ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91" w:hRule="atLeast"/>
                <w:jc w:val="center"/>
              </w:trPr>
              <w:tc>
                <w:tcPr>
                  <w:tcW w:w="764" w:type="dxa"/>
                  <w:tcBorders>
                    <w:top w:val="single" w:color="auto" w:sz="6" w:space="0"/>
                    <w:left w:val="single" w:color="auto" w:sz="4"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废水</w:t>
                  </w:r>
                </w:p>
              </w:tc>
              <w:tc>
                <w:tcPr>
                  <w:tcW w:w="2161" w:type="dxa"/>
                  <w:tcBorders>
                    <w:top w:val="single" w:color="auto" w:sz="6"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总排口处</w:t>
                  </w:r>
                </w:p>
              </w:tc>
              <w:tc>
                <w:tcPr>
                  <w:tcW w:w="1548" w:type="dxa"/>
                  <w:tcBorders>
                    <w:top w:val="single" w:color="auto" w:sz="6" w:space="0"/>
                    <w:bottom w:val="single" w:color="auto" w:sz="6"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COD、SS、BOD</w:t>
                  </w:r>
                  <w:r>
                    <w:rPr>
                      <w:rFonts w:ascii="Times New Roman" w:hAnsi="Times New Roman" w:eastAsia="宋体"/>
                      <w:color w:val="000000"/>
                      <w:sz w:val="21"/>
                      <w:szCs w:val="21"/>
                      <w:highlight w:val="none"/>
                      <w:vertAlign w:val="subscript"/>
                    </w:rPr>
                    <w:t>5</w:t>
                  </w:r>
                  <w:r>
                    <w:rPr>
                      <w:rFonts w:ascii="Times New Roman" w:hAnsi="Times New Roman" w:eastAsia="宋体"/>
                      <w:color w:val="000000"/>
                      <w:sz w:val="21"/>
                      <w:szCs w:val="21"/>
                      <w:highlight w:val="none"/>
                    </w:rPr>
                    <w:t>、NH</w:t>
                  </w:r>
                  <w:r>
                    <w:rPr>
                      <w:rFonts w:ascii="Times New Roman" w:hAnsi="Times New Roman" w:eastAsia="宋体"/>
                      <w:color w:val="000000"/>
                      <w:sz w:val="21"/>
                      <w:szCs w:val="21"/>
                      <w:highlight w:val="none"/>
                      <w:vertAlign w:val="subscript"/>
                    </w:rPr>
                    <w:t>3</w:t>
                  </w:r>
                  <w:r>
                    <w:rPr>
                      <w:rFonts w:ascii="Times New Roman" w:hAnsi="Times New Roman" w:eastAsia="宋体"/>
                      <w:color w:val="000000"/>
                      <w:sz w:val="21"/>
                      <w:szCs w:val="21"/>
                      <w:highlight w:val="none"/>
                    </w:rPr>
                    <w:t>-N</w:t>
                  </w:r>
                </w:p>
              </w:tc>
              <w:tc>
                <w:tcPr>
                  <w:tcW w:w="1130" w:type="dxa"/>
                  <w:tcBorders>
                    <w:top w:val="single" w:color="auto" w:sz="6" w:space="0"/>
                    <w:bottom w:val="single" w:color="auto" w:sz="6" w:space="0"/>
                  </w:tcBorders>
                  <w:noWrap w:val="0"/>
                  <w:vAlign w:val="center"/>
                </w:tcPr>
                <w:p>
                  <w:pPr>
                    <w:spacing w:line="240" w:lineRule="atLeast"/>
                    <w:jc w:val="center"/>
                    <w:rPr>
                      <w:rFonts w:ascii="Times New Roman" w:hAnsi="Times New Roman" w:eastAsia="宋体"/>
                      <w:color w:val="000000"/>
                      <w:sz w:val="21"/>
                      <w:szCs w:val="21"/>
                      <w:highlight w:val="none"/>
                    </w:rPr>
                  </w:pPr>
                  <w:r>
                    <w:rPr>
                      <w:rFonts w:hint="eastAsia"/>
                      <w:color w:val="000000"/>
                      <w:sz w:val="21"/>
                      <w:szCs w:val="21"/>
                      <w:highlight w:val="none"/>
                      <w:lang w:val="en-US" w:eastAsia="zh-CN"/>
                    </w:rPr>
                    <w:t>半年</w:t>
                  </w:r>
                  <w:r>
                    <w:rPr>
                      <w:rFonts w:ascii="Times New Roman" w:hAnsi="Times New Roman" w:eastAsia="宋体"/>
                      <w:color w:val="000000"/>
                      <w:sz w:val="21"/>
                      <w:szCs w:val="21"/>
                      <w:highlight w:val="none"/>
                    </w:rPr>
                    <w:t>一次</w:t>
                  </w:r>
                </w:p>
              </w:tc>
              <w:tc>
                <w:tcPr>
                  <w:tcW w:w="2673" w:type="dxa"/>
                  <w:tcBorders>
                    <w:top w:val="single" w:color="auto" w:sz="6" w:space="0"/>
                    <w:bottom w:val="single" w:color="auto" w:sz="6" w:space="0"/>
                    <w:righ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《污水综合排放标准》（GB8978—1996）中的</w:t>
                  </w:r>
                  <w:r>
                    <w:rPr>
                      <w:rFonts w:hint="eastAsia" w:ascii="Times New Roman" w:hAnsi="Times New Roman" w:eastAsia="宋体"/>
                      <w:color w:val="000000"/>
                      <w:sz w:val="21"/>
                      <w:szCs w:val="21"/>
                      <w:highlight w:val="none"/>
                      <w:lang w:val="en-US" w:eastAsia="zh-CN"/>
                    </w:rPr>
                    <w:t>一</w:t>
                  </w:r>
                  <w:r>
                    <w:rPr>
                      <w:rFonts w:ascii="Times New Roman" w:hAnsi="Times New Roman" w:eastAsia="宋体"/>
                      <w:color w:val="000000"/>
                      <w:sz w:val="21"/>
                      <w:szCs w:val="21"/>
                      <w:highlight w:val="none"/>
                    </w:rPr>
                    <w:t>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噪声</w:t>
                  </w:r>
                </w:p>
              </w:tc>
              <w:tc>
                <w:tcPr>
                  <w:tcW w:w="2161" w:type="dxa"/>
                  <w:tcBorders>
                    <w:top w:val="single" w:color="auto" w:sz="6" w:space="0"/>
                    <w:left w:val="single" w:color="auto" w:sz="4" w:space="0"/>
                    <w:bottom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厂界四周</w:t>
                  </w:r>
                </w:p>
              </w:tc>
              <w:tc>
                <w:tcPr>
                  <w:tcW w:w="1548" w:type="dxa"/>
                  <w:tcBorders>
                    <w:top w:val="single" w:color="auto" w:sz="6" w:space="0"/>
                    <w:bottom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Leq(A)</w:t>
                  </w:r>
                </w:p>
              </w:tc>
              <w:tc>
                <w:tcPr>
                  <w:tcW w:w="1130" w:type="dxa"/>
                  <w:tcBorders>
                    <w:top w:val="single" w:color="auto" w:sz="6" w:space="0"/>
                    <w:bottom w:val="single" w:color="auto" w:sz="4" w:space="0"/>
                  </w:tcBorders>
                  <w:noWrap w:val="0"/>
                  <w:vAlign w:val="center"/>
                </w:tcPr>
                <w:p>
                  <w:pPr>
                    <w:spacing w:line="240" w:lineRule="atLeast"/>
                    <w:jc w:val="center"/>
                    <w:rPr>
                      <w:rFonts w:ascii="Times New Roman" w:hAnsi="Times New Roman" w:eastAsia="宋体"/>
                      <w:color w:val="000000"/>
                      <w:sz w:val="21"/>
                      <w:szCs w:val="21"/>
                      <w:highlight w:val="none"/>
                    </w:rPr>
                  </w:pPr>
                  <w:r>
                    <w:rPr>
                      <w:rFonts w:hint="eastAsia"/>
                      <w:color w:val="000000"/>
                      <w:sz w:val="21"/>
                      <w:szCs w:val="21"/>
                      <w:highlight w:val="none"/>
                      <w:lang w:val="en-US" w:eastAsia="zh-CN"/>
                    </w:rPr>
                    <w:t>半年</w:t>
                  </w:r>
                  <w:r>
                    <w:rPr>
                      <w:rFonts w:ascii="Times New Roman" w:hAnsi="Times New Roman" w:eastAsia="宋体"/>
                      <w:color w:val="000000"/>
                      <w:sz w:val="21"/>
                      <w:szCs w:val="21"/>
                      <w:highlight w:val="none"/>
                    </w:rPr>
                    <w:t>一次</w:t>
                  </w:r>
                </w:p>
              </w:tc>
              <w:tc>
                <w:tcPr>
                  <w:tcW w:w="2673" w:type="dxa"/>
                  <w:tcBorders>
                    <w:top w:val="single" w:color="auto" w:sz="6" w:space="0"/>
                    <w:bottom w:val="single" w:color="auto" w:sz="4" w:space="0"/>
                    <w:right w:val="single" w:color="auto" w:sz="4" w:space="0"/>
                  </w:tcBorders>
                  <w:noWrap w:val="0"/>
                  <w:vAlign w:val="center"/>
                </w:tcPr>
                <w:p>
                  <w:pPr>
                    <w:pStyle w:val="104"/>
                    <w:spacing w:line="240" w:lineRule="atLeast"/>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执行《工业企业厂界环境噪声排放标准》（GB12348-2008）中3类标准</w:t>
                  </w:r>
                </w:p>
              </w:tc>
            </w:tr>
          </w:tbl>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本评价要求企业按本评价提出的监测点位和监测频次请有监测资质单位按时进行监测，并将监测数据定时上报环保部门，接受环保部门对本项目的环境监察</w:t>
            </w:r>
            <w:r>
              <w:rPr>
                <w:rFonts w:ascii="Times New Roman" w:hAnsi="Times New Roman" w:eastAsia="宋体"/>
                <w:color w:val="000000"/>
                <w:highlight w:val="none"/>
              </w:rPr>
              <w:t>。</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5、排污口规范化设置</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根据国家环保总局《关于开展排污口规范化整治试点工作的意见》、《关于加快排污口规范化整治试点工作的通知》和《安徽省污染源排放口规范化整治管理办法》精神，企业所有排放口（包括水、气、声、渣）必须按照“便于采集样品、便于计量监测、便于日常现场监督检查”的原则和规范化要求，排污口要立标管理，设立国家标准规定的标志牌，根据排污口污染物的排放特点，设置提示性或警告性环境保护图形标志牌，一般污染源设置提示性标志牌，毒性污染物设置警告性环境保护图形标志牌；绘制企业排污口分布图，对治理设施安装运行监控装置、排污口的规范化要符合有关要求。</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（1）废气排放口</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项目废气排气筒高度应符合国家大气污染物排放标准的有关规定，废气排放口必须符合规定的高度和按《污染源监测技术规范》便于采样、监测的要求，设置直径不大于75mm的采样口。如无法满足要求的，其采样口与环境监测部门共同确认。</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（2）废水排放口</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污水排放口位置应根据实际地形和排放污染物的种类情况确定，原则应设置一段长度不小于1 米长的明渠，排污口须满足采样监测要求。</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（3）固定噪声源</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按规定对固定噪声源进行治理，在固定噪声源处应按《环境保护图形标志》（GB15562.2-1995）要求设置环境保护图形标志牌。</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（4）固体废物储存场</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对危险废物贮存建造专用的贮存设施，并在固体废物贮存（处置）场所醒目处设置标志牌，定期送有资质处理的单位集中处置，符合规范要求。</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一般工业固体废物和生活垃圾应设置专用堆放场地，采取防止二次扬尘措施。</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（5）设置标志牌要求</w:t>
            </w:r>
          </w:p>
          <w:p>
            <w:pPr>
              <w:spacing w:line="360" w:lineRule="auto"/>
              <w:ind w:firstLine="480" w:firstLineChars="200"/>
              <w:rPr>
                <w:rFonts w:ascii="Times New Roman" w:hAnsi="Times New Roman" w:eastAsia="宋体"/>
                <w:color w:val="000000"/>
                <w:kern w:val="0"/>
                <w:sz w:val="24"/>
                <w:szCs w:val="24"/>
                <w:highlight w:val="none"/>
              </w:rPr>
            </w:pPr>
            <w:r>
              <w:rPr>
                <w:rFonts w:ascii="Times New Roman" w:hAnsi="Times New Roman" w:eastAsia="宋体"/>
                <w:color w:val="000000"/>
                <w:kern w:val="0"/>
                <w:sz w:val="24"/>
                <w:szCs w:val="24"/>
                <w:highlight w:val="none"/>
              </w:rPr>
              <w:t>对企业车间废气处理装置的排口分别设置平面固定式提示标志牌或树立式固定式提示标志牌，平面固定式标志牌为0.48cm×0.3cm的长方形冷轧钢板，树立式提示标志牌为0.42cm×0.42cm的正方形冷轧钢板，提示牌的背景和立柱为绿色，图案、边框、支架和铺助标志的文字为白色，文字字型为黑体，标志牌辅助标志内容包括排污单位名称、标志牌名称、排污口编号和主要污染物名称，并交付当地环保部门注明。</w:t>
            </w:r>
          </w:p>
          <w:p>
            <w:pPr>
              <w:tabs>
                <w:tab w:val="left" w:pos="1890"/>
              </w:tabs>
              <w:spacing w:line="360" w:lineRule="auto"/>
              <w:jc w:val="center"/>
              <w:rPr>
                <w:rFonts w:ascii="Times New Roman" w:hAnsi="Times New Roman" w:eastAsia="宋体"/>
                <w:b/>
                <w:color w:val="000000"/>
                <w:sz w:val="24"/>
                <w:szCs w:val="28"/>
                <w:highlight w:val="none"/>
              </w:rPr>
            </w:pPr>
            <w:r>
              <w:rPr>
                <w:rFonts w:ascii="Times New Roman" w:hAnsi="Times New Roman" w:eastAsia="宋体"/>
                <w:b/>
                <w:color w:val="000000"/>
                <w:sz w:val="24"/>
                <w:szCs w:val="28"/>
                <w:highlight w:val="none"/>
              </w:rPr>
              <w:drawing>
                <wp:inline distT="0" distB="0" distL="114300" distR="114300">
                  <wp:extent cx="5505450" cy="1772285"/>
                  <wp:effectExtent l="0" t="0" r="0" b="18415"/>
                  <wp:docPr id="271"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118"/>
                          <pic:cNvPicPr>
                            <a:picLocks noChangeAspect="1"/>
                          </pic:cNvPicPr>
                        </pic:nvPicPr>
                        <pic:blipFill>
                          <a:blip r:embed="rId12"/>
                          <a:stretch>
                            <a:fillRect/>
                          </a:stretch>
                        </pic:blipFill>
                        <pic:spPr>
                          <a:xfrm>
                            <a:off x="0" y="0"/>
                            <a:ext cx="5505450" cy="1772285"/>
                          </a:xfrm>
                          <a:prstGeom prst="rect">
                            <a:avLst/>
                          </a:prstGeom>
                          <a:noFill/>
                          <a:ln>
                            <a:noFill/>
                          </a:ln>
                        </pic:spPr>
                      </pic:pic>
                    </a:graphicData>
                  </a:graphic>
                </wp:inline>
              </w:drawing>
            </w:r>
          </w:p>
          <w:p>
            <w:pPr>
              <w:tabs>
                <w:tab w:val="left" w:pos="1890"/>
              </w:tabs>
              <w:spacing w:line="360" w:lineRule="auto"/>
              <w:ind w:firstLine="482" w:firstLineChars="200"/>
              <w:jc w:val="center"/>
              <w:rPr>
                <w:rFonts w:ascii="Times New Roman" w:hAnsi="Times New Roman" w:eastAsia="宋体"/>
                <w:b/>
                <w:color w:val="000000"/>
                <w:sz w:val="24"/>
                <w:szCs w:val="28"/>
                <w:highlight w:val="none"/>
              </w:rPr>
            </w:pPr>
            <w:r>
              <w:rPr>
                <w:rFonts w:ascii="Times New Roman" w:hAnsi="Times New Roman" w:eastAsia="宋体"/>
                <w:b/>
                <w:color w:val="000000"/>
                <w:sz w:val="24"/>
                <w:szCs w:val="28"/>
                <w:highlight w:val="none"/>
              </w:rPr>
              <w:t>图7-</w:t>
            </w:r>
            <w:r>
              <w:rPr>
                <w:rFonts w:hint="eastAsia" w:ascii="Times New Roman" w:hAnsi="Times New Roman" w:eastAsia="宋体"/>
                <w:b/>
                <w:color w:val="000000"/>
                <w:sz w:val="24"/>
                <w:szCs w:val="28"/>
                <w:highlight w:val="none"/>
                <w:lang w:val="en-US" w:eastAsia="zh-CN"/>
              </w:rPr>
              <w:t>1</w:t>
            </w:r>
            <w:r>
              <w:rPr>
                <w:rFonts w:ascii="Times New Roman" w:hAnsi="Times New Roman" w:eastAsia="宋体"/>
                <w:b/>
                <w:color w:val="000000"/>
                <w:sz w:val="24"/>
                <w:szCs w:val="28"/>
                <w:highlight w:val="none"/>
              </w:rPr>
              <w:t xml:space="preserve">  各排污口（源）标志牌设置示意图</w:t>
            </w:r>
          </w:p>
          <w:p>
            <w:pPr>
              <w:spacing w:line="360" w:lineRule="auto"/>
              <w:ind w:firstLine="480" w:firstLineChars="200"/>
              <w:rPr>
                <w:rFonts w:ascii="Times New Roman" w:hAnsi="Times New Roman" w:eastAsia="宋体"/>
                <w:color w:val="000000"/>
                <w:sz w:val="24"/>
                <w:szCs w:val="24"/>
                <w:highlight w:val="none"/>
              </w:rPr>
            </w:pPr>
            <w:r>
              <w:rPr>
                <w:rFonts w:hint="eastAsia" w:ascii="Times New Roman" w:hAnsi="Times New Roman" w:eastAsia="宋体"/>
                <w:color w:val="000000"/>
                <w:sz w:val="24"/>
                <w:szCs w:val="24"/>
                <w:highlight w:val="none"/>
              </w:rPr>
              <w:t>七</w:t>
            </w:r>
            <w:r>
              <w:rPr>
                <w:rFonts w:ascii="Times New Roman" w:hAnsi="Times New Roman" w:eastAsia="宋体"/>
                <w:color w:val="000000"/>
                <w:sz w:val="24"/>
                <w:szCs w:val="24"/>
                <w:highlight w:val="none"/>
              </w:rPr>
              <w:t>、环保投资估算</w:t>
            </w:r>
          </w:p>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本项目总投资为</w:t>
            </w:r>
            <w:r>
              <w:rPr>
                <w:rFonts w:hint="eastAsia" w:ascii="Times New Roman" w:hAnsi="Times New Roman" w:eastAsia="宋体"/>
                <w:color w:val="000000"/>
                <w:sz w:val="24"/>
                <w:szCs w:val="24"/>
                <w:highlight w:val="none"/>
                <w:lang w:val="en-US" w:eastAsia="zh-CN"/>
              </w:rPr>
              <w:t>1700</w:t>
            </w:r>
            <w:r>
              <w:rPr>
                <w:rFonts w:ascii="Times New Roman" w:hAnsi="Times New Roman" w:eastAsia="宋体"/>
                <w:color w:val="000000"/>
                <w:sz w:val="24"/>
                <w:szCs w:val="24"/>
                <w:highlight w:val="none"/>
              </w:rPr>
              <w:t>0万元，其中环保投资为</w:t>
            </w:r>
            <w:r>
              <w:rPr>
                <w:rFonts w:hint="eastAsia" w:ascii="Times New Roman" w:hAnsi="Times New Roman" w:eastAsia="宋体"/>
                <w:color w:val="000000"/>
                <w:sz w:val="24"/>
                <w:szCs w:val="24"/>
                <w:highlight w:val="none"/>
                <w:lang w:val="en-US" w:eastAsia="zh-CN"/>
              </w:rPr>
              <w:t>800</w:t>
            </w:r>
            <w:r>
              <w:rPr>
                <w:rFonts w:ascii="Times New Roman" w:hAnsi="Times New Roman" w:eastAsia="宋体"/>
                <w:color w:val="000000"/>
                <w:sz w:val="24"/>
                <w:szCs w:val="24"/>
                <w:highlight w:val="none"/>
              </w:rPr>
              <w:t>万元，占总投资的</w:t>
            </w:r>
            <w:r>
              <w:rPr>
                <w:rFonts w:hint="eastAsia" w:ascii="Times New Roman" w:hAnsi="Times New Roman" w:eastAsia="宋体"/>
                <w:color w:val="000000"/>
                <w:sz w:val="24"/>
                <w:szCs w:val="24"/>
                <w:highlight w:val="none"/>
                <w:lang w:val="en-US" w:eastAsia="zh-CN"/>
              </w:rPr>
              <w:t>4.7</w:t>
            </w:r>
            <w:r>
              <w:rPr>
                <w:rFonts w:ascii="Times New Roman" w:hAnsi="Times New Roman" w:eastAsia="宋体"/>
                <w:color w:val="000000"/>
                <w:sz w:val="24"/>
                <w:szCs w:val="24"/>
                <w:highlight w:val="none"/>
              </w:rPr>
              <w:t>%，环保投资估算详见下表。</w:t>
            </w:r>
          </w:p>
          <w:p>
            <w:pPr>
              <w:pStyle w:val="14"/>
              <w:spacing w:after="0" w:line="360" w:lineRule="auto"/>
              <w:ind w:left="0" w:leftChars="0"/>
              <w:jc w:val="center"/>
              <w:rPr>
                <w:rFonts w:ascii="Times New Roman" w:hAnsi="Times New Roman" w:eastAsia="宋体"/>
                <w:b/>
                <w:color w:val="000000"/>
                <w:sz w:val="24"/>
                <w:szCs w:val="24"/>
                <w:highlight w:val="none"/>
              </w:rPr>
            </w:pPr>
            <w:r>
              <w:rPr>
                <w:rFonts w:ascii="Times New Roman" w:hAnsi="Times New Roman" w:eastAsia="宋体"/>
                <w:b/>
                <w:bCs/>
                <w:color w:val="000000"/>
                <w:sz w:val="24"/>
                <w:szCs w:val="24"/>
                <w:highlight w:val="none"/>
              </w:rPr>
              <w:t>表7-</w:t>
            </w:r>
            <w:r>
              <w:rPr>
                <w:rFonts w:hint="eastAsia" w:ascii="Times New Roman" w:hAnsi="Times New Roman" w:eastAsia="宋体"/>
                <w:b/>
                <w:bCs/>
                <w:color w:val="000000"/>
                <w:sz w:val="24"/>
                <w:szCs w:val="24"/>
                <w:highlight w:val="none"/>
                <w:lang w:val="en-US" w:eastAsia="zh-CN"/>
              </w:rPr>
              <w:t>1</w:t>
            </w:r>
            <w:r>
              <w:rPr>
                <w:rFonts w:hint="eastAsia" w:ascii="Times New Roman" w:hAnsi="Times New Roman" w:eastAsia="宋体"/>
                <w:b/>
                <w:bCs/>
                <w:color w:val="000000"/>
                <w:sz w:val="24"/>
                <w:szCs w:val="24"/>
                <w:highlight w:val="none"/>
              </w:rPr>
              <w:t>1</w:t>
            </w:r>
            <w:r>
              <w:rPr>
                <w:rFonts w:ascii="Times New Roman" w:hAnsi="Times New Roman" w:eastAsia="宋体"/>
                <w:b/>
                <w:bCs/>
                <w:color w:val="000000"/>
                <w:sz w:val="24"/>
                <w:szCs w:val="24"/>
                <w:highlight w:val="none"/>
              </w:rPr>
              <w:t xml:space="preserve">  </w:t>
            </w:r>
            <w:r>
              <w:rPr>
                <w:rFonts w:ascii="Times New Roman" w:hAnsi="Times New Roman" w:eastAsia="宋体"/>
                <w:b/>
                <w:color w:val="000000"/>
                <w:sz w:val="24"/>
                <w:szCs w:val="24"/>
                <w:highlight w:val="none"/>
              </w:rPr>
              <w:t>处理设施环保投资估算</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1185"/>
              <w:gridCol w:w="2632"/>
              <w:gridCol w:w="1440"/>
              <w:gridCol w:w="2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noWrap w:val="0"/>
                  <w:vAlign w:val="center"/>
                </w:tcPr>
                <w:p>
                  <w:pPr>
                    <w:ind w:left="-105" w:leftChars="-50" w:right="-105" w:rightChars="-50"/>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时段</w:t>
                  </w:r>
                </w:p>
              </w:tc>
              <w:tc>
                <w:tcPr>
                  <w:tcW w:w="1185" w:type="dxa"/>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污染源</w:t>
                  </w:r>
                </w:p>
              </w:tc>
              <w:tc>
                <w:tcPr>
                  <w:tcW w:w="2632" w:type="dxa"/>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处理设施名称</w:t>
                  </w:r>
                </w:p>
              </w:tc>
              <w:tc>
                <w:tcPr>
                  <w:tcW w:w="1440" w:type="dxa"/>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投资（万元）</w:t>
                  </w:r>
                </w:p>
              </w:tc>
              <w:tc>
                <w:tcPr>
                  <w:tcW w:w="2532" w:type="dxa"/>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restart"/>
                  <w:noWrap w:val="0"/>
                  <w:vAlign w:val="center"/>
                </w:tcPr>
                <w:p>
                  <w:pPr>
                    <w:ind w:left="-105" w:leftChars="-50" w:right="-105" w:rightChars="-50"/>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营运期</w:t>
                  </w:r>
                </w:p>
              </w:tc>
              <w:tc>
                <w:tcPr>
                  <w:tcW w:w="1185" w:type="dxa"/>
                  <w:noWrap w:val="0"/>
                  <w:vAlign w:val="center"/>
                </w:tcPr>
                <w:p>
                  <w:pPr>
                    <w:spacing w:line="240" w:lineRule="auto"/>
                    <w:ind w:firstLine="0" w:firstLineChars="0"/>
                    <w:rPr>
                      <w:rFonts w:ascii="Times New Roman" w:hAnsi="Times New Roman" w:eastAsia="宋体"/>
                      <w:color w:val="000000"/>
                      <w:sz w:val="21"/>
                      <w:szCs w:val="21"/>
                      <w:highlight w:val="none"/>
                      <w:lang w:eastAsia="en-US"/>
                    </w:rPr>
                  </w:pPr>
                  <w:r>
                    <w:rPr>
                      <w:rFonts w:hint="eastAsia" w:hAnsi="宋体"/>
                      <w:color w:val="auto"/>
                      <w:sz w:val="21"/>
                      <w:szCs w:val="21"/>
                    </w:rPr>
                    <w:t>上料配料及缓冲仓</w:t>
                  </w:r>
                </w:p>
              </w:tc>
              <w:tc>
                <w:tcPr>
                  <w:tcW w:w="2632" w:type="dxa"/>
                  <w:noWrap w:val="0"/>
                  <w:vAlign w:val="center"/>
                </w:tcPr>
                <w:p>
                  <w:pPr>
                    <w:spacing w:line="240" w:lineRule="auto"/>
                    <w:ind w:firstLine="0" w:firstLineChars="0"/>
                    <w:jc w:val="center"/>
                    <w:rPr>
                      <w:rFonts w:ascii="Times New Roman" w:hAnsi="Times New Roman" w:eastAsia="宋体"/>
                      <w:color w:val="000000"/>
                      <w:sz w:val="21"/>
                      <w:szCs w:val="21"/>
                      <w:highlight w:val="none"/>
                    </w:rPr>
                  </w:pPr>
                  <w:r>
                    <w:rPr>
                      <w:rFonts w:hint="eastAsia"/>
                      <w:color w:val="auto"/>
                      <w:sz w:val="21"/>
                      <w:szCs w:val="21"/>
                    </w:rPr>
                    <w:t>FGM64-5</w:t>
                  </w:r>
                  <w:r>
                    <w:rPr>
                      <w:rFonts w:hAnsi="宋体"/>
                      <w:color w:val="auto"/>
                      <w:sz w:val="21"/>
                      <w:szCs w:val="21"/>
                    </w:rPr>
                    <w:t>气箱脉冲袋式除尘器</w:t>
                  </w:r>
                </w:p>
              </w:tc>
              <w:tc>
                <w:tcPr>
                  <w:tcW w:w="1440" w:type="dxa"/>
                  <w:vMerge w:val="restart"/>
                  <w:noWrap w:val="0"/>
                  <w:vAlign w:val="center"/>
                </w:tcPr>
                <w:p>
                  <w:pPr>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700</w:t>
                  </w:r>
                </w:p>
              </w:tc>
              <w:tc>
                <w:tcPr>
                  <w:tcW w:w="2532" w:type="dxa"/>
                  <w:vMerge w:val="restart"/>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满足</w:t>
                  </w:r>
                  <w:r>
                    <w:rPr>
                      <w:rFonts w:hint="eastAsia" w:ascii="Times New Roman" w:hAnsi="Times New Roman" w:eastAsia="宋体"/>
                      <w:color w:val="000000"/>
                      <w:sz w:val="21"/>
                      <w:szCs w:val="21"/>
                      <w:highlight w:val="none"/>
                      <w:lang w:val="en-US" w:eastAsia="zh-CN"/>
                    </w:rPr>
                    <w:t>上海市</w:t>
                  </w:r>
                  <w:r>
                    <w:rPr>
                      <w:rFonts w:ascii="Times New Roman" w:hAnsi="Times New Roman" w:eastAsia="宋体"/>
                      <w:color w:val="000000"/>
                      <w:sz w:val="21"/>
                      <w:szCs w:val="21"/>
                      <w:highlight w:val="none"/>
                    </w:rPr>
                    <w:t>《大气污染物综合排放标准》（</w:t>
                  </w:r>
                  <w:r>
                    <w:rPr>
                      <w:rFonts w:hint="eastAsia" w:ascii="Times New Roman" w:hAnsi="Times New Roman" w:eastAsia="宋体"/>
                      <w:color w:val="000000"/>
                      <w:sz w:val="21"/>
                      <w:szCs w:val="21"/>
                      <w:highlight w:val="none"/>
                    </w:rPr>
                    <w:t>DB31/933-2015</w:t>
                  </w:r>
                  <w:r>
                    <w:rPr>
                      <w:rFonts w:ascii="Times New Roman" w:hAnsi="Times New Roman" w:eastAsia="宋体"/>
                      <w:color w:val="000000"/>
                      <w:sz w:val="21"/>
                      <w:szCs w:val="21"/>
                      <w:highlight w:val="none"/>
                    </w:rPr>
                    <w:t>）</w:t>
                  </w:r>
                  <w:r>
                    <w:rPr>
                      <w:rFonts w:hint="eastAsia" w:ascii="Times New Roman" w:hAnsi="Times New Roman" w:eastAsia="宋体"/>
                      <w:color w:val="000000"/>
                      <w:sz w:val="21"/>
                      <w:szCs w:val="21"/>
                      <w:highlight w:val="none"/>
                      <w:lang w:val="en-US" w:eastAsia="zh-CN"/>
                    </w:rPr>
                    <w:t>中相关标准限值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noWrap w:val="0"/>
                  <w:vAlign w:val="center"/>
                </w:tcPr>
                <w:p>
                  <w:pPr>
                    <w:spacing w:line="240" w:lineRule="auto"/>
                    <w:ind w:firstLine="0" w:firstLineChars="0"/>
                    <w:rPr>
                      <w:rFonts w:ascii="Times New Roman" w:hAnsi="Times New Roman" w:eastAsia="宋体"/>
                      <w:color w:val="000000"/>
                      <w:sz w:val="21"/>
                      <w:szCs w:val="21"/>
                      <w:highlight w:val="none"/>
                    </w:rPr>
                  </w:pPr>
                  <w:r>
                    <w:rPr>
                      <w:rFonts w:hint="eastAsia" w:hAnsi="宋体"/>
                      <w:color w:val="auto"/>
                      <w:sz w:val="21"/>
                      <w:szCs w:val="21"/>
                    </w:rPr>
                    <w:t>废砖破粉碎</w:t>
                  </w:r>
                </w:p>
              </w:tc>
              <w:tc>
                <w:tcPr>
                  <w:tcW w:w="2632"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color w:val="auto"/>
                      <w:sz w:val="21"/>
                      <w:szCs w:val="21"/>
                    </w:rPr>
                    <w:t>FGM</w:t>
                  </w:r>
                  <w:r>
                    <w:rPr>
                      <w:color w:val="auto"/>
                      <w:sz w:val="21"/>
                      <w:szCs w:val="21"/>
                    </w:rPr>
                    <w:t>96</w:t>
                  </w:r>
                  <w:r>
                    <w:rPr>
                      <w:rFonts w:hint="eastAsia"/>
                      <w:color w:val="auto"/>
                      <w:sz w:val="21"/>
                      <w:szCs w:val="21"/>
                    </w:rPr>
                    <w:t>--5</w:t>
                  </w:r>
                  <w:r>
                    <w:rPr>
                      <w:rFonts w:hAnsi="宋体"/>
                      <w:color w:val="auto"/>
                      <w:sz w:val="21"/>
                      <w:szCs w:val="21"/>
                    </w:rPr>
                    <w:t>气箱脉冲袋式除尘器</w:t>
                  </w:r>
                </w:p>
              </w:tc>
              <w:tc>
                <w:tcPr>
                  <w:tcW w:w="1440" w:type="dxa"/>
                  <w:vMerge w:val="continue"/>
                  <w:noWrap w:val="0"/>
                  <w:vAlign w:val="center"/>
                </w:tcPr>
                <w:p>
                  <w:pPr>
                    <w:jc w:val="center"/>
                    <w:rPr>
                      <w:rFonts w:ascii="Times New Roman" w:hAnsi="Times New Roman" w:eastAsia="宋体"/>
                      <w:color w:val="000000"/>
                      <w:sz w:val="21"/>
                      <w:szCs w:val="21"/>
                      <w:highlight w:val="none"/>
                    </w:rPr>
                  </w:pPr>
                </w:p>
              </w:tc>
              <w:tc>
                <w:tcPr>
                  <w:tcW w:w="2532" w:type="dxa"/>
                  <w:vMerge w:val="continue"/>
                  <w:noWrap w:val="0"/>
                  <w:vAlign w:val="center"/>
                </w:tcPr>
                <w:p>
                  <w:pPr>
                    <w:jc w:val="center"/>
                    <w:rPr>
                      <w:rFonts w:ascii="Times New Roman" w:hAnsi="Times New Roman" w:eastAsia="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noWrap w:val="0"/>
                  <w:vAlign w:val="center"/>
                </w:tcPr>
                <w:p>
                  <w:pPr>
                    <w:spacing w:line="240" w:lineRule="auto"/>
                    <w:ind w:firstLine="0" w:firstLineChars="0"/>
                    <w:rPr>
                      <w:rFonts w:ascii="Times New Roman" w:hAnsi="Times New Roman" w:eastAsia="宋体"/>
                      <w:color w:val="000000"/>
                      <w:sz w:val="21"/>
                      <w:szCs w:val="21"/>
                      <w:highlight w:val="none"/>
                      <w:lang w:eastAsia="en-US"/>
                    </w:rPr>
                  </w:pPr>
                  <w:r>
                    <w:rPr>
                      <w:rFonts w:hint="eastAsia"/>
                      <w:color w:val="auto"/>
                      <w:sz w:val="21"/>
                      <w:szCs w:val="21"/>
                    </w:rPr>
                    <w:t>除尘粉仓、混合机退料仓、废砖仓</w:t>
                  </w:r>
                </w:p>
              </w:tc>
              <w:tc>
                <w:tcPr>
                  <w:tcW w:w="2632" w:type="dxa"/>
                  <w:noWrap w:val="0"/>
                  <w:vAlign w:val="center"/>
                </w:tcPr>
                <w:p>
                  <w:pPr>
                    <w:spacing w:line="240" w:lineRule="auto"/>
                    <w:ind w:firstLine="0" w:firstLineChars="0"/>
                    <w:jc w:val="center"/>
                    <w:rPr>
                      <w:rFonts w:ascii="Times New Roman" w:hAnsi="Times New Roman" w:eastAsia="宋体" w:cs="Times New Roman"/>
                      <w:color w:val="000000"/>
                      <w:sz w:val="21"/>
                      <w:szCs w:val="21"/>
                      <w:highlight w:val="none"/>
                    </w:rPr>
                  </w:pPr>
                  <w:r>
                    <w:rPr>
                      <w:rFonts w:hint="eastAsia"/>
                      <w:color w:val="auto"/>
                      <w:sz w:val="21"/>
                      <w:szCs w:val="21"/>
                    </w:rPr>
                    <w:t>φ</w:t>
                  </w:r>
                  <w:r>
                    <w:rPr>
                      <w:color w:val="auto"/>
                      <w:sz w:val="21"/>
                      <w:szCs w:val="21"/>
                    </w:rPr>
                    <w:t>4</w:t>
                  </w:r>
                  <w:r>
                    <w:rPr>
                      <w:rFonts w:hint="eastAsia"/>
                      <w:color w:val="auto"/>
                      <w:sz w:val="21"/>
                      <w:szCs w:val="21"/>
                    </w:rPr>
                    <w:t>00仓顶滤筒收尘器</w:t>
                  </w:r>
                </w:p>
              </w:tc>
              <w:tc>
                <w:tcPr>
                  <w:tcW w:w="1440" w:type="dxa"/>
                  <w:vMerge w:val="continue"/>
                  <w:noWrap w:val="0"/>
                  <w:vAlign w:val="center"/>
                </w:tcPr>
                <w:p>
                  <w:pPr>
                    <w:jc w:val="center"/>
                    <w:rPr>
                      <w:rFonts w:hint="default" w:ascii="Times New Roman" w:hAnsi="Times New Roman" w:eastAsia="宋体"/>
                      <w:color w:val="000000"/>
                      <w:sz w:val="21"/>
                      <w:szCs w:val="21"/>
                      <w:highlight w:val="none"/>
                      <w:lang w:val="en-US" w:eastAsia="zh-CN"/>
                    </w:rPr>
                  </w:pPr>
                </w:p>
              </w:tc>
              <w:tc>
                <w:tcPr>
                  <w:tcW w:w="2532" w:type="dxa"/>
                  <w:vMerge w:val="continue"/>
                  <w:noWrap w:val="0"/>
                  <w:vAlign w:val="center"/>
                </w:tcPr>
                <w:p>
                  <w:pPr>
                    <w:jc w:val="center"/>
                    <w:rPr>
                      <w:rFonts w:ascii="Times New Roman" w:hAnsi="Times New Roman" w:eastAsia="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noWrap w:val="0"/>
                  <w:vAlign w:val="center"/>
                </w:tcPr>
                <w:p>
                  <w:pPr>
                    <w:spacing w:line="240" w:lineRule="auto"/>
                    <w:ind w:firstLine="0" w:firstLineChars="0"/>
                    <w:rPr>
                      <w:rFonts w:ascii="Times New Roman" w:hAnsi="Times New Roman" w:eastAsia="宋体"/>
                      <w:color w:val="000000"/>
                      <w:sz w:val="21"/>
                      <w:szCs w:val="21"/>
                      <w:highlight w:val="none"/>
                      <w:lang w:eastAsia="en-US"/>
                    </w:rPr>
                  </w:pPr>
                  <w:r>
                    <w:rPr>
                      <w:rFonts w:hint="eastAsia"/>
                      <w:color w:val="auto"/>
                      <w:sz w:val="21"/>
                      <w:szCs w:val="21"/>
                    </w:rPr>
                    <w:t>压砖机</w:t>
                  </w:r>
                </w:p>
              </w:tc>
              <w:tc>
                <w:tcPr>
                  <w:tcW w:w="2632" w:type="dxa"/>
                  <w:noWrap w:val="0"/>
                  <w:vAlign w:val="center"/>
                </w:tcPr>
                <w:p>
                  <w:pPr>
                    <w:spacing w:line="240" w:lineRule="auto"/>
                    <w:ind w:firstLine="420" w:firstLineChars="200"/>
                    <w:rPr>
                      <w:rFonts w:ascii="Times New Roman" w:hAnsi="Times New Roman" w:eastAsia="宋体"/>
                      <w:color w:val="000000"/>
                      <w:sz w:val="21"/>
                      <w:szCs w:val="21"/>
                      <w:highlight w:val="none"/>
                    </w:rPr>
                  </w:pPr>
                  <w:r>
                    <w:rPr>
                      <w:rFonts w:hint="eastAsia"/>
                      <w:color w:val="auto"/>
                      <w:sz w:val="21"/>
                      <w:szCs w:val="21"/>
                    </w:rPr>
                    <w:t>PMD-7脉冲袋除尘器</w:t>
                  </w:r>
                </w:p>
              </w:tc>
              <w:tc>
                <w:tcPr>
                  <w:tcW w:w="1440" w:type="dxa"/>
                  <w:vMerge w:val="continue"/>
                  <w:noWrap w:val="0"/>
                  <w:vAlign w:val="center"/>
                </w:tcPr>
                <w:p>
                  <w:pPr>
                    <w:jc w:val="center"/>
                    <w:rPr>
                      <w:rFonts w:ascii="Times New Roman" w:hAnsi="Times New Roman" w:eastAsia="宋体"/>
                      <w:color w:val="000000"/>
                      <w:sz w:val="21"/>
                      <w:szCs w:val="21"/>
                      <w:highlight w:val="none"/>
                    </w:rPr>
                  </w:pPr>
                </w:p>
              </w:tc>
              <w:tc>
                <w:tcPr>
                  <w:tcW w:w="2532" w:type="dxa"/>
                  <w:vMerge w:val="continue"/>
                  <w:noWrap w:val="0"/>
                  <w:vAlign w:val="center"/>
                </w:tcPr>
                <w:p>
                  <w:pPr>
                    <w:jc w:val="center"/>
                    <w:rPr>
                      <w:rFonts w:hint="eastAsia" w:ascii="Times New Roman" w:hAnsi="Times New Roman" w:eastAsia="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noWrap w:val="0"/>
                  <w:vAlign w:val="center"/>
                </w:tcPr>
                <w:p>
                  <w:pPr>
                    <w:spacing w:line="240" w:lineRule="auto"/>
                    <w:ind w:firstLine="0" w:firstLineChars="0"/>
                    <w:rPr>
                      <w:rFonts w:hint="eastAsia" w:eastAsia="宋体"/>
                      <w:color w:val="auto"/>
                      <w:sz w:val="21"/>
                      <w:szCs w:val="21"/>
                      <w:lang w:val="en-US" w:eastAsia="zh-CN"/>
                    </w:rPr>
                  </w:pPr>
                  <w:r>
                    <w:rPr>
                      <w:rFonts w:hint="eastAsia"/>
                      <w:color w:val="auto"/>
                      <w:sz w:val="21"/>
                      <w:szCs w:val="21"/>
                      <w:lang w:val="en-US" w:eastAsia="zh-CN"/>
                    </w:rPr>
                    <w:t>干燥窑</w:t>
                  </w:r>
                </w:p>
              </w:tc>
              <w:tc>
                <w:tcPr>
                  <w:tcW w:w="2632" w:type="dxa"/>
                  <w:noWrap w:val="0"/>
                  <w:vAlign w:val="center"/>
                </w:tcPr>
                <w:p>
                  <w:pPr>
                    <w:spacing w:line="240" w:lineRule="auto"/>
                    <w:ind w:firstLine="420" w:firstLineChars="200"/>
                    <w:rPr>
                      <w:rFonts w:hint="default" w:eastAsia="宋体"/>
                      <w:color w:val="auto"/>
                      <w:sz w:val="21"/>
                      <w:szCs w:val="21"/>
                      <w:lang w:val="en-US" w:eastAsia="zh-CN"/>
                    </w:rPr>
                  </w:pPr>
                  <w:r>
                    <w:rPr>
                      <w:rFonts w:hint="eastAsia"/>
                      <w:color w:val="auto"/>
                      <w:sz w:val="21"/>
                      <w:szCs w:val="21"/>
                      <w:lang w:val="en-US" w:eastAsia="zh-CN"/>
                    </w:rPr>
                    <w:t>除尘系统</w:t>
                  </w:r>
                </w:p>
              </w:tc>
              <w:tc>
                <w:tcPr>
                  <w:tcW w:w="1440" w:type="dxa"/>
                  <w:vMerge w:val="continue"/>
                  <w:noWrap w:val="0"/>
                  <w:vAlign w:val="center"/>
                </w:tcPr>
                <w:p>
                  <w:pPr>
                    <w:jc w:val="center"/>
                    <w:rPr>
                      <w:rFonts w:ascii="Times New Roman" w:hAnsi="Times New Roman" w:eastAsia="宋体"/>
                      <w:color w:val="000000"/>
                      <w:sz w:val="21"/>
                      <w:szCs w:val="21"/>
                      <w:highlight w:val="none"/>
                    </w:rPr>
                  </w:pPr>
                </w:p>
              </w:tc>
              <w:tc>
                <w:tcPr>
                  <w:tcW w:w="2532" w:type="dxa"/>
                  <w:vMerge w:val="continue"/>
                  <w:noWrap w:val="0"/>
                  <w:vAlign w:val="center"/>
                </w:tcPr>
                <w:p>
                  <w:pPr>
                    <w:jc w:val="center"/>
                    <w:rPr>
                      <w:rFonts w:hint="eastAsia" w:ascii="Times New Roman" w:hAnsi="Times New Roman" w:eastAsia="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noWrap w:val="0"/>
                  <w:vAlign w:val="center"/>
                </w:tcPr>
                <w:p>
                  <w:pPr>
                    <w:spacing w:line="240" w:lineRule="auto"/>
                    <w:ind w:firstLine="0" w:firstLineChars="0"/>
                    <w:rPr>
                      <w:rFonts w:ascii="Times New Roman" w:hAnsi="Times New Roman" w:eastAsia="宋体"/>
                      <w:color w:val="000000"/>
                      <w:sz w:val="21"/>
                      <w:szCs w:val="21"/>
                      <w:highlight w:val="none"/>
                      <w:lang w:eastAsia="en-US"/>
                    </w:rPr>
                  </w:pPr>
                  <w:r>
                    <w:rPr>
                      <w:rFonts w:hint="eastAsia"/>
                      <w:color w:val="auto"/>
                      <w:sz w:val="21"/>
                      <w:szCs w:val="21"/>
                    </w:rPr>
                    <w:t>隧道窑</w:t>
                  </w:r>
                </w:p>
              </w:tc>
              <w:tc>
                <w:tcPr>
                  <w:tcW w:w="2632" w:type="dxa"/>
                  <w:noWrap w:val="0"/>
                  <w:vAlign w:val="center"/>
                </w:tcPr>
                <w:p>
                  <w:pPr>
                    <w:spacing w:line="240" w:lineRule="auto"/>
                    <w:ind w:firstLine="420" w:firstLineChars="200"/>
                    <w:jc w:val="both"/>
                    <w:rPr>
                      <w:rFonts w:hint="default" w:ascii="Times New Roman" w:hAnsi="Times New Roman" w:eastAsia="宋体"/>
                      <w:color w:val="000000"/>
                      <w:sz w:val="21"/>
                      <w:szCs w:val="21"/>
                      <w:highlight w:val="none"/>
                      <w:lang w:val="en-US" w:eastAsia="zh-CN"/>
                    </w:rPr>
                  </w:pPr>
                  <w:r>
                    <w:rPr>
                      <w:rFonts w:hint="eastAsia"/>
                      <w:color w:val="auto"/>
                      <w:sz w:val="21"/>
                      <w:szCs w:val="21"/>
                      <w:lang w:val="en-US" w:eastAsia="zh-CN"/>
                    </w:rPr>
                    <w:t>2套</w:t>
                  </w:r>
                  <w:r>
                    <w:rPr>
                      <w:rFonts w:hint="eastAsia" w:eastAsia="宋体"/>
                      <w:color w:val="auto"/>
                      <w:sz w:val="21"/>
                      <w:szCs w:val="21"/>
                      <w:lang w:val="en-US" w:eastAsia="zh-CN"/>
                    </w:rPr>
                    <w:t>除尘系统</w:t>
                  </w:r>
                </w:p>
              </w:tc>
              <w:tc>
                <w:tcPr>
                  <w:tcW w:w="1440" w:type="dxa"/>
                  <w:vMerge w:val="continue"/>
                  <w:noWrap w:val="0"/>
                  <w:vAlign w:val="center"/>
                </w:tcPr>
                <w:p>
                  <w:pPr>
                    <w:jc w:val="center"/>
                    <w:rPr>
                      <w:rFonts w:ascii="Times New Roman" w:hAnsi="Times New Roman" w:eastAsia="宋体"/>
                      <w:color w:val="000000"/>
                      <w:sz w:val="21"/>
                      <w:szCs w:val="21"/>
                      <w:highlight w:val="none"/>
                    </w:rPr>
                  </w:pPr>
                </w:p>
              </w:tc>
              <w:tc>
                <w:tcPr>
                  <w:tcW w:w="2532" w:type="dxa"/>
                  <w:vMerge w:val="continue"/>
                  <w:noWrap w:val="0"/>
                  <w:vAlign w:val="center"/>
                </w:tcPr>
                <w:p>
                  <w:pPr>
                    <w:jc w:val="center"/>
                    <w:rPr>
                      <w:rFonts w:hint="eastAsia" w:ascii="Times New Roman" w:hAnsi="Times New Roman" w:eastAsia="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vMerge w:val="restart"/>
                  <w:noWrap w:val="0"/>
                  <w:vAlign w:val="center"/>
                </w:tcPr>
                <w:p>
                  <w:pPr>
                    <w:pStyle w:val="74"/>
                    <w:rPr>
                      <w:rFonts w:ascii="Times New Roman" w:hAnsi="Times New Roman" w:eastAsia="宋体" w:cs="Times New Roman"/>
                      <w:color w:val="000000"/>
                      <w:sz w:val="21"/>
                      <w:szCs w:val="21"/>
                      <w:highlight w:val="none"/>
                    </w:rPr>
                  </w:pPr>
                  <w:r>
                    <w:rPr>
                      <w:rFonts w:ascii="Times New Roman" w:hAnsi="Times New Roman" w:eastAsia="宋体" w:cs="Times New Roman"/>
                      <w:color w:val="000000"/>
                      <w:sz w:val="21"/>
                      <w:szCs w:val="21"/>
                      <w:highlight w:val="none"/>
                    </w:rPr>
                    <w:t>污水处理与收集</w:t>
                  </w:r>
                </w:p>
              </w:tc>
              <w:tc>
                <w:tcPr>
                  <w:tcW w:w="2632" w:type="dxa"/>
                  <w:noWrap w:val="0"/>
                  <w:vAlign w:val="center"/>
                </w:tcPr>
                <w:p>
                  <w:pPr>
                    <w:pStyle w:val="74"/>
                    <w:rPr>
                      <w:rFonts w:hint="default" w:ascii="Times New Roman" w:hAnsi="Times New Roman" w:eastAsia="宋体" w:cs="Times New Roman"/>
                      <w:color w:val="000000"/>
                      <w:sz w:val="21"/>
                      <w:szCs w:val="21"/>
                      <w:highlight w:val="none"/>
                      <w:lang w:val="en-US" w:eastAsia="zh-CN"/>
                    </w:rPr>
                  </w:pPr>
                  <w:r>
                    <w:rPr>
                      <w:rFonts w:ascii="Times New Roman" w:hAnsi="Times New Roman" w:eastAsia="宋体" w:cs="Times New Roman"/>
                      <w:color w:val="000000"/>
                      <w:sz w:val="21"/>
                      <w:szCs w:val="21"/>
                      <w:highlight w:val="none"/>
                    </w:rPr>
                    <w:t>生活污水</w:t>
                  </w:r>
                  <w:r>
                    <w:rPr>
                      <w:rFonts w:hint="eastAsia" w:ascii="Times New Roman" w:hAnsi="Times New Roman" w:eastAsia="宋体" w:cs="Times New Roman"/>
                      <w:color w:val="000000"/>
                      <w:sz w:val="21"/>
                      <w:szCs w:val="21"/>
                      <w:highlight w:val="none"/>
                    </w:rPr>
                    <w:t>依托扩建前已建成的</w:t>
                  </w:r>
                  <w:r>
                    <w:rPr>
                      <w:rFonts w:hint="eastAsia" w:ascii="Times New Roman" w:hAnsi="Times New Roman" w:eastAsia="宋体" w:cs="Times New Roman"/>
                      <w:color w:val="000000"/>
                      <w:sz w:val="21"/>
                      <w:szCs w:val="21"/>
                      <w:highlight w:val="none"/>
                      <w:lang w:val="en-US" w:eastAsia="zh-CN"/>
                    </w:rPr>
                    <w:t>污水处理装置</w:t>
                  </w:r>
                </w:p>
              </w:tc>
              <w:tc>
                <w:tcPr>
                  <w:tcW w:w="1440" w:type="dxa"/>
                  <w:noWrap w:val="0"/>
                  <w:vAlign w:val="center"/>
                </w:tcPr>
                <w:p>
                  <w:pPr>
                    <w:jc w:val="center"/>
                    <w:rPr>
                      <w:rFonts w:hint="eastAsia"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w:t>
                  </w:r>
                </w:p>
              </w:tc>
              <w:tc>
                <w:tcPr>
                  <w:tcW w:w="2532" w:type="dxa"/>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《污水综合排放标准》（GB8978-1996）中的</w:t>
                  </w:r>
                  <w:r>
                    <w:rPr>
                      <w:rFonts w:hint="eastAsia" w:ascii="Times New Roman" w:hAnsi="Times New Roman" w:eastAsia="宋体"/>
                      <w:color w:val="000000"/>
                      <w:sz w:val="21"/>
                      <w:szCs w:val="21"/>
                      <w:highlight w:val="none"/>
                      <w:lang w:val="en-US" w:eastAsia="zh-CN"/>
                    </w:rPr>
                    <w:t>一</w:t>
                  </w:r>
                  <w:r>
                    <w:rPr>
                      <w:rFonts w:ascii="Times New Roman" w:hAnsi="Times New Roman" w:eastAsia="宋体"/>
                      <w:color w:val="000000"/>
                      <w:sz w:val="21"/>
                      <w:szCs w:val="21"/>
                      <w:highlight w:val="none"/>
                    </w:rPr>
                    <w:t>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vMerge w:val="continue"/>
                  <w:noWrap w:val="0"/>
                  <w:vAlign w:val="center"/>
                </w:tcPr>
                <w:p>
                  <w:pPr>
                    <w:pStyle w:val="74"/>
                    <w:rPr>
                      <w:rFonts w:ascii="Times New Roman" w:hAnsi="Times New Roman" w:eastAsia="宋体" w:cs="Times New Roman"/>
                      <w:color w:val="000000"/>
                      <w:sz w:val="21"/>
                      <w:szCs w:val="21"/>
                      <w:highlight w:val="none"/>
                    </w:rPr>
                  </w:pPr>
                </w:p>
              </w:tc>
              <w:tc>
                <w:tcPr>
                  <w:tcW w:w="2632" w:type="dxa"/>
                  <w:noWrap w:val="0"/>
                  <w:vAlign w:val="center"/>
                </w:tcPr>
                <w:p>
                  <w:pPr>
                    <w:pStyle w:val="74"/>
                    <w:rPr>
                      <w:rFonts w:ascii="Times New Roman" w:hAnsi="Times New Roman" w:eastAsia="宋体" w:cs="Times New Roman"/>
                      <w:color w:val="000000"/>
                      <w:sz w:val="21"/>
                      <w:szCs w:val="21"/>
                      <w:highlight w:val="none"/>
                    </w:rPr>
                  </w:pPr>
                  <w:r>
                    <w:rPr>
                      <w:rFonts w:ascii="Times New Roman" w:hAnsi="Times New Roman" w:eastAsia="宋体" w:cs="Times New Roman"/>
                      <w:color w:val="000000"/>
                      <w:sz w:val="21"/>
                      <w:szCs w:val="21"/>
                      <w:highlight w:val="none"/>
                    </w:rPr>
                    <w:t>雨水排放至</w:t>
                  </w:r>
                  <w:r>
                    <w:rPr>
                      <w:rFonts w:hint="eastAsia" w:ascii="Times New Roman" w:hAnsi="Times New Roman" w:eastAsia="宋体" w:cs="Times New Roman"/>
                      <w:color w:val="000000"/>
                      <w:sz w:val="21"/>
                      <w:szCs w:val="21"/>
                      <w:highlight w:val="none"/>
                    </w:rPr>
                    <w:t>扩建前已建成的</w:t>
                  </w:r>
                  <w:r>
                    <w:rPr>
                      <w:rFonts w:ascii="Times New Roman" w:hAnsi="Times New Roman" w:eastAsia="宋体" w:cs="Times New Roman"/>
                      <w:color w:val="000000"/>
                      <w:sz w:val="21"/>
                      <w:szCs w:val="21"/>
                      <w:highlight w:val="none"/>
                    </w:rPr>
                    <w:t>雨污管网</w:t>
                  </w:r>
                </w:p>
              </w:tc>
              <w:tc>
                <w:tcPr>
                  <w:tcW w:w="1440" w:type="dxa"/>
                  <w:noWrap w:val="0"/>
                  <w:vAlign w:val="center"/>
                </w:tcPr>
                <w:p>
                  <w:pPr>
                    <w:jc w:val="center"/>
                    <w:rPr>
                      <w:rFonts w:ascii="Times New Roman" w:hAnsi="Times New Roman" w:eastAsia="宋体"/>
                      <w:color w:val="000000"/>
                      <w:sz w:val="21"/>
                      <w:szCs w:val="21"/>
                      <w:highlight w:val="none"/>
                    </w:rPr>
                  </w:pPr>
                  <w:r>
                    <w:rPr>
                      <w:rFonts w:hint="eastAsia" w:ascii="Times New Roman" w:hAnsi="Times New Roman" w:eastAsia="宋体"/>
                      <w:color w:val="000000"/>
                      <w:sz w:val="21"/>
                      <w:szCs w:val="21"/>
                      <w:highlight w:val="none"/>
                    </w:rPr>
                    <w:t>/</w:t>
                  </w:r>
                </w:p>
              </w:tc>
              <w:tc>
                <w:tcPr>
                  <w:tcW w:w="2532" w:type="dxa"/>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雨污分流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vMerge w:val="restart"/>
                  <w:noWrap w:val="0"/>
                  <w:vAlign w:val="center"/>
                </w:tcPr>
                <w:p>
                  <w:pPr>
                    <w:pStyle w:val="74"/>
                    <w:rPr>
                      <w:rFonts w:ascii="Times New Roman" w:hAnsi="Times New Roman" w:eastAsia="宋体" w:cs="Times New Roman"/>
                      <w:color w:val="000000"/>
                      <w:sz w:val="21"/>
                      <w:szCs w:val="21"/>
                      <w:highlight w:val="none"/>
                    </w:rPr>
                  </w:pPr>
                  <w:r>
                    <w:rPr>
                      <w:rFonts w:ascii="Times New Roman" w:hAnsi="Times New Roman" w:eastAsia="宋体" w:cs="Times New Roman"/>
                      <w:color w:val="000000"/>
                      <w:sz w:val="21"/>
                      <w:szCs w:val="21"/>
                      <w:highlight w:val="none"/>
                    </w:rPr>
                    <w:t>固废处理</w:t>
                  </w:r>
                </w:p>
              </w:tc>
              <w:tc>
                <w:tcPr>
                  <w:tcW w:w="2632" w:type="dxa"/>
                  <w:noWrap w:val="0"/>
                  <w:vAlign w:val="center"/>
                </w:tcPr>
                <w:p>
                  <w:pPr>
                    <w:pStyle w:val="74"/>
                    <w:rPr>
                      <w:rFonts w:ascii="Times New Roman" w:hAnsi="Times New Roman" w:eastAsia="宋体" w:cs="Times New Roman"/>
                      <w:color w:val="000000"/>
                      <w:sz w:val="21"/>
                      <w:szCs w:val="21"/>
                      <w:highlight w:val="none"/>
                    </w:rPr>
                  </w:pPr>
                  <w:r>
                    <w:rPr>
                      <w:rFonts w:ascii="Times New Roman" w:hAnsi="Times New Roman" w:eastAsia="宋体" w:cs="Times New Roman"/>
                      <w:color w:val="000000"/>
                      <w:sz w:val="21"/>
                      <w:szCs w:val="21"/>
                      <w:highlight w:val="none"/>
                    </w:rPr>
                    <w:t>生活垃圾收集桶</w:t>
                  </w:r>
                </w:p>
              </w:tc>
              <w:tc>
                <w:tcPr>
                  <w:tcW w:w="1440" w:type="dxa"/>
                  <w:noWrap w:val="0"/>
                  <w:vAlign w:val="center"/>
                </w:tcPr>
                <w:p>
                  <w:pPr>
                    <w:jc w:val="center"/>
                    <w:rPr>
                      <w:rFonts w:hint="eastAsia" w:ascii="Times New Roman" w:hAnsi="Times New Roman" w:eastAsia="宋体"/>
                      <w:color w:val="000000"/>
                      <w:sz w:val="21"/>
                      <w:szCs w:val="21"/>
                      <w:highlight w:val="none"/>
                      <w:lang w:eastAsia="zh-CN"/>
                    </w:rPr>
                  </w:pPr>
                  <w:r>
                    <w:rPr>
                      <w:rFonts w:hint="eastAsia" w:ascii="Times New Roman" w:hAnsi="Times New Roman" w:eastAsia="宋体"/>
                      <w:color w:val="000000"/>
                      <w:sz w:val="21"/>
                      <w:szCs w:val="21"/>
                      <w:highlight w:val="none"/>
                      <w:lang w:val="en-US" w:eastAsia="zh-CN"/>
                    </w:rPr>
                    <w:t>5</w:t>
                  </w:r>
                </w:p>
              </w:tc>
              <w:tc>
                <w:tcPr>
                  <w:tcW w:w="2532" w:type="dxa"/>
                  <w:vMerge w:val="restart"/>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符合环境卫生管理要求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vMerge w:val="continue"/>
                  <w:noWrap w:val="0"/>
                  <w:vAlign w:val="center"/>
                </w:tcPr>
                <w:p>
                  <w:pPr>
                    <w:pStyle w:val="74"/>
                    <w:rPr>
                      <w:rFonts w:ascii="Times New Roman" w:hAnsi="Times New Roman" w:eastAsia="宋体" w:cs="Times New Roman"/>
                      <w:color w:val="000000"/>
                      <w:sz w:val="21"/>
                      <w:szCs w:val="21"/>
                      <w:highlight w:val="none"/>
                    </w:rPr>
                  </w:pPr>
                </w:p>
              </w:tc>
              <w:tc>
                <w:tcPr>
                  <w:tcW w:w="2632" w:type="dxa"/>
                  <w:noWrap w:val="0"/>
                  <w:vAlign w:val="center"/>
                </w:tcPr>
                <w:p>
                  <w:pPr>
                    <w:pStyle w:val="74"/>
                    <w:rPr>
                      <w:rFonts w:ascii="Times New Roman" w:hAnsi="Times New Roman" w:eastAsia="宋体" w:cs="Times New Roman"/>
                      <w:color w:val="000000"/>
                      <w:sz w:val="21"/>
                      <w:szCs w:val="21"/>
                      <w:highlight w:val="none"/>
                    </w:rPr>
                  </w:pPr>
                  <w:r>
                    <w:rPr>
                      <w:rFonts w:ascii="Times New Roman" w:hAnsi="Times New Roman" w:eastAsia="宋体" w:cs="Times New Roman"/>
                      <w:color w:val="000000"/>
                      <w:sz w:val="21"/>
                      <w:szCs w:val="21"/>
                      <w:highlight w:val="none"/>
                    </w:rPr>
                    <w:t>一般固废利用已建成的一般固废暂存场所</w:t>
                  </w:r>
                </w:p>
              </w:tc>
              <w:tc>
                <w:tcPr>
                  <w:tcW w:w="1440" w:type="dxa"/>
                  <w:noWrap w:val="0"/>
                  <w:vAlign w:val="center"/>
                </w:tcPr>
                <w:p>
                  <w:pPr>
                    <w:jc w:val="center"/>
                    <w:rPr>
                      <w:rFonts w:hint="eastAsia" w:ascii="Times New Roman" w:hAnsi="Times New Roman" w:eastAsia="宋体"/>
                      <w:color w:val="000000"/>
                      <w:sz w:val="21"/>
                      <w:szCs w:val="21"/>
                      <w:highlight w:val="none"/>
                      <w:lang w:eastAsia="zh-CN"/>
                    </w:rPr>
                  </w:pPr>
                  <w:r>
                    <w:rPr>
                      <w:rFonts w:hint="eastAsia" w:ascii="Times New Roman" w:hAnsi="Times New Roman" w:eastAsia="宋体"/>
                      <w:color w:val="000000"/>
                      <w:sz w:val="21"/>
                      <w:szCs w:val="21"/>
                      <w:highlight w:val="none"/>
                      <w:lang w:val="en-US" w:eastAsia="zh-CN"/>
                    </w:rPr>
                    <w:t>5</w:t>
                  </w:r>
                </w:p>
              </w:tc>
              <w:tc>
                <w:tcPr>
                  <w:tcW w:w="2532" w:type="dxa"/>
                  <w:vMerge w:val="continue"/>
                  <w:noWrap w:val="0"/>
                  <w:vAlign w:val="center"/>
                </w:tcPr>
                <w:p>
                  <w:pPr>
                    <w:jc w:val="center"/>
                    <w:rPr>
                      <w:rFonts w:ascii="Times New Roman" w:hAnsi="Times New Roman" w:eastAsia="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dxa"/>
                  <w:vMerge w:val="continue"/>
                  <w:noWrap w:val="0"/>
                  <w:vAlign w:val="center"/>
                </w:tcPr>
                <w:p>
                  <w:pPr>
                    <w:ind w:left="-105" w:leftChars="-50" w:right="-105" w:rightChars="-50"/>
                    <w:jc w:val="center"/>
                    <w:rPr>
                      <w:rFonts w:ascii="Times New Roman" w:hAnsi="Times New Roman" w:eastAsia="宋体"/>
                      <w:color w:val="000000"/>
                      <w:sz w:val="21"/>
                      <w:szCs w:val="21"/>
                      <w:highlight w:val="none"/>
                    </w:rPr>
                  </w:pPr>
                </w:p>
              </w:tc>
              <w:tc>
                <w:tcPr>
                  <w:tcW w:w="1185" w:type="dxa"/>
                  <w:noWrap w:val="0"/>
                  <w:vAlign w:val="center"/>
                </w:tcPr>
                <w:p>
                  <w:pPr>
                    <w:pStyle w:val="74"/>
                    <w:rPr>
                      <w:rFonts w:ascii="Times New Roman" w:hAnsi="Times New Roman" w:eastAsia="宋体" w:cs="Times New Roman"/>
                      <w:color w:val="000000"/>
                      <w:sz w:val="21"/>
                      <w:szCs w:val="21"/>
                      <w:highlight w:val="none"/>
                    </w:rPr>
                  </w:pPr>
                  <w:r>
                    <w:rPr>
                      <w:rFonts w:ascii="Times New Roman" w:hAnsi="Times New Roman" w:eastAsia="宋体" w:cs="Times New Roman"/>
                      <w:color w:val="000000"/>
                      <w:sz w:val="21"/>
                      <w:szCs w:val="21"/>
                      <w:highlight w:val="none"/>
                    </w:rPr>
                    <w:t>噪声治理</w:t>
                  </w:r>
                </w:p>
              </w:tc>
              <w:tc>
                <w:tcPr>
                  <w:tcW w:w="2632" w:type="dxa"/>
                  <w:noWrap w:val="0"/>
                  <w:vAlign w:val="center"/>
                </w:tcPr>
                <w:p>
                  <w:pPr>
                    <w:pStyle w:val="74"/>
                    <w:rPr>
                      <w:rFonts w:ascii="Times New Roman" w:hAnsi="Times New Roman" w:eastAsia="宋体" w:cs="Times New Roman"/>
                      <w:color w:val="000000"/>
                      <w:sz w:val="21"/>
                      <w:szCs w:val="21"/>
                      <w:highlight w:val="none"/>
                    </w:rPr>
                  </w:pPr>
                  <w:r>
                    <w:rPr>
                      <w:rFonts w:ascii="Times New Roman" w:hAnsi="Times New Roman" w:eastAsia="宋体" w:cs="Times New Roman"/>
                      <w:color w:val="000000"/>
                      <w:sz w:val="21"/>
                      <w:szCs w:val="21"/>
                      <w:highlight w:val="none"/>
                    </w:rPr>
                    <w:t>优选低噪设备；设隔声、减震基座等</w:t>
                  </w:r>
                </w:p>
              </w:tc>
              <w:tc>
                <w:tcPr>
                  <w:tcW w:w="1440" w:type="dxa"/>
                  <w:noWrap w:val="0"/>
                  <w:vAlign w:val="center"/>
                </w:tcPr>
                <w:p>
                  <w:pPr>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90</w:t>
                  </w:r>
                </w:p>
              </w:tc>
              <w:tc>
                <w:tcPr>
                  <w:tcW w:w="2532" w:type="dxa"/>
                  <w:noWrap w:val="0"/>
                  <w:vAlign w:val="center"/>
                </w:tcPr>
                <w:p>
                  <w:pPr>
                    <w:ind w:hanging="16"/>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厂界噪声满足《工业企业厂界环境噪声排放标准》（GB12348-2008）中的3类区标准要求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4" w:type="dxa"/>
                  <w:gridSpan w:val="3"/>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合计</w:t>
                  </w:r>
                </w:p>
              </w:tc>
              <w:tc>
                <w:tcPr>
                  <w:tcW w:w="1440" w:type="dxa"/>
                  <w:noWrap w:val="0"/>
                  <w:vAlign w:val="center"/>
                </w:tcPr>
                <w:p>
                  <w:pPr>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800</w:t>
                  </w:r>
                </w:p>
              </w:tc>
              <w:tc>
                <w:tcPr>
                  <w:tcW w:w="2532" w:type="dxa"/>
                  <w:noWrap w:val="0"/>
                  <w:vAlign w:val="center"/>
                </w:tcPr>
                <w:p>
                  <w:pPr>
                    <w:jc w:val="center"/>
                    <w:rPr>
                      <w:rFonts w:ascii="Times New Roman" w:hAnsi="Times New Roman" w:eastAsia="宋体"/>
                      <w:color w:val="000000"/>
                      <w:sz w:val="21"/>
                      <w:szCs w:val="21"/>
                      <w:highlight w:val="none"/>
                    </w:rPr>
                  </w:pPr>
                  <w:r>
                    <w:rPr>
                      <w:rFonts w:ascii="Times New Roman" w:hAnsi="Times New Roman" w:eastAsia="宋体"/>
                      <w:color w:val="000000"/>
                      <w:sz w:val="21"/>
                      <w:szCs w:val="21"/>
                      <w:highlight w:val="none"/>
                    </w:rPr>
                    <w:t>——</w:t>
                  </w:r>
                </w:p>
              </w:tc>
            </w:tr>
          </w:tbl>
          <w:p>
            <w:pPr>
              <w:spacing w:line="360" w:lineRule="auto"/>
              <w:ind w:firstLine="480" w:firstLineChars="200"/>
              <w:rPr>
                <w:rFonts w:ascii="Times New Roman" w:hAnsi="Times New Roman" w:eastAsia="宋体"/>
                <w:bCs/>
                <w:color w:val="000000"/>
                <w:sz w:val="24"/>
                <w:highlight w:val="none"/>
              </w:rPr>
            </w:pPr>
            <w:r>
              <w:rPr>
                <w:rFonts w:hint="eastAsia" w:ascii="Times New Roman" w:hAnsi="Times New Roman" w:eastAsia="宋体"/>
                <w:bCs/>
                <w:color w:val="000000"/>
                <w:sz w:val="24"/>
                <w:highlight w:val="none"/>
              </w:rPr>
              <w:t>八</w:t>
            </w:r>
            <w:r>
              <w:rPr>
                <w:rFonts w:ascii="Times New Roman" w:hAnsi="Times New Roman" w:eastAsia="宋体"/>
                <w:bCs/>
                <w:color w:val="000000"/>
                <w:sz w:val="24"/>
                <w:highlight w:val="none"/>
              </w:rPr>
              <w:t>、“三同时”验收</w:t>
            </w:r>
          </w:p>
          <w:p>
            <w:pPr>
              <w:spacing w:line="360" w:lineRule="auto"/>
              <w:ind w:firstLine="480" w:firstLineChars="200"/>
              <w:rPr>
                <w:rFonts w:ascii="Times New Roman" w:hAnsi="Times New Roman" w:eastAsia="宋体"/>
                <w:b/>
                <w:bCs/>
                <w:color w:val="000000"/>
                <w:sz w:val="24"/>
                <w:highlight w:val="none"/>
              </w:rPr>
            </w:pPr>
            <w:r>
              <w:rPr>
                <w:rFonts w:ascii="Times New Roman" w:hAnsi="Times New Roman" w:eastAsia="宋体"/>
                <w:color w:val="000000"/>
                <w:sz w:val="24"/>
                <w:highlight w:val="none"/>
              </w:rPr>
              <w:t>拟建项目所有环保设施均应执行“三同时”制度，具体验收内容见表。</w:t>
            </w:r>
          </w:p>
          <w:p>
            <w:pPr>
              <w:pStyle w:val="27"/>
              <w:spacing w:after="0" w:line="360" w:lineRule="auto"/>
              <w:ind w:firstLine="241"/>
              <w:jc w:val="center"/>
              <w:rPr>
                <w:rFonts w:ascii="Times New Roman" w:hAnsi="Times New Roman" w:eastAsia="宋体"/>
                <w:b/>
                <w:bCs/>
                <w:color w:val="000000"/>
                <w:sz w:val="24"/>
                <w:highlight w:val="none"/>
              </w:rPr>
            </w:pPr>
            <w:r>
              <w:rPr>
                <w:rFonts w:ascii="Times New Roman" w:hAnsi="Times New Roman" w:eastAsia="宋体"/>
                <w:b/>
                <w:bCs/>
                <w:color w:val="000000"/>
                <w:sz w:val="24"/>
                <w:highlight w:val="none"/>
              </w:rPr>
              <w:t>表7-</w:t>
            </w:r>
            <w:r>
              <w:rPr>
                <w:rFonts w:hint="eastAsia" w:ascii="Times New Roman" w:hAnsi="Times New Roman" w:eastAsia="宋体"/>
                <w:b/>
                <w:bCs/>
                <w:color w:val="000000"/>
                <w:sz w:val="24"/>
                <w:highlight w:val="none"/>
                <w:lang w:val="en-US" w:eastAsia="zh-CN"/>
              </w:rPr>
              <w:t>1</w:t>
            </w:r>
            <w:r>
              <w:rPr>
                <w:rFonts w:hint="eastAsia" w:ascii="Times New Roman" w:hAnsi="Times New Roman" w:eastAsia="宋体"/>
                <w:b/>
                <w:bCs/>
                <w:color w:val="000000"/>
                <w:sz w:val="24"/>
                <w:highlight w:val="none"/>
              </w:rPr>
              <w:t>2</w:t>
            </w:r>
            <w:r>
              <w:rPr>
                <w:rFonts w:ascii="Times New Roman" w:hAnsi="Times New Roman" w:eastAsia="宋体"/>
                <w:b/>
                <w:bCs/>
                <w:color w:val="000000"/>
                <w:sz w:val="24"/>
                <w:highlight w:val="none"/>
              </w:rPr>
              <w:t xml:space="preserve">  环保措施“三同时”验收一览表</w:t>
            </w:r>
          </w:p>
          <w:tbl>
            <w:tblPr>
              <w:tblStyle w:val="28"/>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75"/>
              <w:gridCol w:w="687"/>
              <w:gridCol w:w="1094"/>
              <w:gridCol w:w="3293"/>
              <w:gridCol w:w="275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项目</w:t>
                  </w:r>
                </w:p>
              </w:tc>
              <w:tc>
                <w:tcPr>
                  <w:tcW w:w="687"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污染源分类</w:t>
                  </w:r>
                </w:p>
              </w:tc>
              <w:tc>
                <w:tcPr>
                  <w:tcW w:w="1094"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污染防治对象</w:t>
                  </w:r>
                </w:p>
              </w:tc>
              <w:tc>
                <w:tcPr>
                  <w:tcW w:w="3293"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主要工程内容</w:t>
                  </w:r>
                </w:p>
              </w:tc>
              <w:tc>
                <w:tcPr>
                  <w:tcW w:w="2752"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预期效果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restart"/>
                  <w:noWrap w:val="0"/>
                  <w:tcMar>
                    <w:left w:w="34" w:type="dxa"/>
                    <w:right w:w="34" w:type="dxa"/>
                  </w:tcMar>
                  <w:textDirection w:val="tbRlV"/>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营运期</w:t>
                  </w:r>
                </w:p>
              </w:tc>
              <w:tc>
                <w:tcPr>
                  <w:tcW w:w="687"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水污</w:t>
                  </w:r>
                </w:p>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染源</w:t>
                  </w:r>
                </w:p>
              </w:tc>
              <w:tc>
                <w:tcPr>
                  <w:tcW w:w="1094"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生活污水</w:t>
                  </w:r>
                </w:p>
              </w:tc>
              <w:tc>
                <w:tcPr>
                  <w:tcW w:w="3293" w:type="dxa"/>
                  <w:noWrap w:val="0"/>
                  <w:tcMar>
                    <w:left w:w="34" w:type="dxa"/>
                    <w:right w:w="34" w:type="dxa"/>
                  </w:tcMar>
                  <w:vAlign w:val="center"/>
                </w:tcPr>
                <w:p>
                  <w:pPr>
                    <w:jc w:val="center"/>
                    <w:rPr>
                      <w:rFonts w:hint="default" w:ascii="Times New Roman" w:hAnsi="Times New Roman" w:eastAsia="宋体"/>
                      <w:color w:val="000000"/>
                      <w:szCs w:val="21"/>
                      <w:highlight w:val="none"/>
                      <w:lang w:val="en-US" w:eastAsia="zh-CN"/>
                    </w:rPr>
                  </w:pPr>
                  <w:r>
                    <w:rPr>
                      <w:rFonts w:ascii="Times New Roman" w:hAnsi="Times New Roman" w:eastAsia="宋体"/>
                      <w:color w:val="000000"/>
                      <w:szCs w:val="21"/>
                      <w:highlight w:val="none"/>
                    </w:rPr>
                    <w:t>污水经</w:t>
                  </w:r>
                  <w:r>
                    <w:rPr>
                      <w:rFonts w:hint="eastAsia" w:ascii="Times New Roman" w:hAnsi="Times New Roman" w:eastAsia="宋体"/>
                      <w:color w:val="000000"/>
                      <w:szCs w:val="21"/>
                      <w:highlight w:val="none"/>
                    </w:rPr>
                    <w:t>扩建前已建成的</w:t>
                  </w:r>
                  <w:r>
                    <w:rPr>
                      <w:rFonts w:hint="eastAsia" w:ascii="Times New Roman" w:hAnsi="Times New Roman" w:eastAsia="宋体"/>
                      <w:color w:val="000000"/>
                      <w:szCs w:val="21"/>
                      <w:highlight w:val="none"/>
                      <w:lang w:val="en-US" w:eastAsia="zh-CN"/>
                    </w:rPr>
                    <w:t>污水处理装置处理后排入南塘湖</w:t>
                  </w:r>
                </w:p>
              </w:tc>
              <w:tc>
                <w:tcPr>
                  <w:tcW w:w="2752"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highlight w:val="none"/>
                    </w:rPr>
                    <w:t>《污水综合排放标准》（GB8978-1996）中的</w:t>
                  </w:r>
                  <w:r>
                    <w:rPr>
                      <w:rFonts w:hint="eastAsia" w:ascii="Times New Roman" w:hAnsi="Times New Roman" w:eastAsia="宋体"/>
                      <w:color w:val="000000"/>
                      <w:highlight w:val="none"/>
                      <w:lang w:val="en-US" w:eastAsia="zh-CN"/>
                    </w:rPr>
                    <w:t>一</w:t>
                  </w:r>
                  <w:r>
                    <w:rPr>
                      <w:rFonts w:ascii="Times New Roman" w:hAnsi="Times New Roman" w:eastAsia="宋体"/>
                      <w:color w:val="000000"/>
                      <w:highlight w:val="none"/>
                    </w:rPr>
                    <w:t>级标准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restart"/>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大气</w:t>
                  </w:r>
                </w:p>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污染源</w:t>
                  </w:r>
                </w:p>
              </w:tc>
              <w:tc>
                <w:tcPr>
                  <w:tcW w:w="1094" w:type="dxa"/>
                  <w:noWrap w:val="0"/>
                  <w:tcMar>
                    <w:left w:w="34" w:type="dxa"/>
                    <w:right w:w="34" w:type="dxa"/>
                  </w:tcMar>
                  <w:vAlign w:val="center"/>
                </w:tcPr>
                <w:p>
                  <w:pPr>
                    <w:spacing w:line="240" w:lineRule="auto"/>
                    <w:ind w:firstLine="0" w:firstLineChars="0"/>
                    <w:rPr>
                      <w:rFonts w:ascii="Times New Roman" w:hAnsi="Times New Roman" w:eastAsia="宋体"/>
                      <w:color w:val="000000"/>
                      <w:szCs w:val="21"/>
                      <w:highlight w:val="none"/>
                    </w:rPr>
                  </w:pPr>
                  <w:r>
                    <w:rPr>
                      <w:rFonts w:hint="eastAsia" w:hAnsi="宋体"/>
                      <w:color w:val="auto"/>
                      <w:sz w:val="21"/>
                      <w:szCs w:val="21"/>
                    </w:rPr>
                    <w:t>上料配料及缓冲仓</w:t>
                  </w:r>
                </w:p>
              </w:tc>
              <w:tc>
                <w:tcPr>
                  <w:tcW w:w="3293" w:type="dxa"/>
                  <w:noWrap w:val="0"/>
                  <w:tcMar>
                    <w:left w:w="34" w:type="dxa"/>
                    <w:right w:w="34" w:type="dxa"/>
                  </w:tcMar>
                  <w:vAlign w:val="center"/>
                </w:tcPr>
                <w:p>
                  <w:pPr>
                    <w:spacing w:line="240" w:lineRule="auto"/>
                    <w:ind w:firstLine="0" w:firstLineChars="0"/>
                    <w:jc w:val="center"/>
                    <w:rPr>
                      <w:rFonts w:ascii="Times New Roman" w:hAnsi="Times New Roman" w:eastAsia="宋体" w:cs="Times New Roman"/>
                      <w:color w:val="000000"/>
                      <w:szCs w:val="21"/>
                      <w:highlight w:val="none"/>
                    </w:rPr>
                  </w:pPr>
                  <w:r>
                    <w:rPr>
                      <w:rFonts w:hint="eastAsia"/>
                      <w:color w:val="auto"/>
                      <w:sz w:val="21"/>
                      <w:szCs w:val="21"/>
                    </w:rPr>
                    <w:t>FGM64-5</w:t>
                  </w:r>
                  <w:r>
                    <w:rPr>
                      <w:rFonts w:hAnsi="宋体"/>
                      <w:color w:val="auto"/>
                      <w:sz w:val="21"/>
                      <w:szCs w:val="21"/>
                    </w:rPr>
                    <w:t>气箱脉冲袋式除尘器</w:t>
                  </w:r>
                </w:p>
              </w:tc>
              <w:tc>
                <w:tcPr>
                  <w:tcW w:w="2752" w:type="dxa"/>
                  <w:vMerge w:val="restart"/>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 w:val="21"/>
                      <w:szCs w:val="21"/>
                      <w:highlight w:val="none"/>
                    </w:rPr>
                    <w:t>满足</w:t>
                  </w:r>
                  <w:r>
                    <w:rPr>
                      <w:rFonts w:hint="eastAsia" w:ascii="Times New Roman" w:hAnsi="Times New Roman" w:eastAsia="宋体"/>
                      <w:color w:val="000000"/>
                      <w:sz w:val="21"/>
                      <w:szCs w:val="21"/>
                      <w:highlight w:val="none"/>
                      <w:lang w:val="en-US" w:eastAsia="zh-CN"/>
                    </w:rPr>
                    <w:t>上海市</w:t>
                  </w:r>
                  <w:r>
                    <w:rPr>
                      <w:rFonts w:ascii="Times New Roman" w:hAnsi="Times New Roman" w:eastAsia="宋体"/>
                      <w:color w:val="000000"/>
                      <w:sz w:val="21"/>
                      <w:szCs w:val="21"/>
                      <w:highlight w:val="none"/>
                    </w:rPr>
                    <w:t>《大气污染物综合排放标准》（</w:t>
                  </w:r>
                  <w:r>
                    <w:rPr>
                      <w:rFonts w:hint="eastAsia" w:ascii="Times New Roman" w:hAnsi="Times New Roman" w:eastAsia="宋体"/>
                      <w:color w:val="000000"/>
                      <w:sz w:val="21"/>
                      <w:szCs w:val="21"/>
                      <w:highlight w:val="none"/>
                    </w:rPr>
                    <w:t>DB31/933-2015</w:t>
                  </w:r>
                  <w:r>
                    <w:rPr>
                      <w:rFonts w:ascii="Times New Roman" w:hAnsi="Times New Roman" w:eastAsia="宋体"/>
                      <w:color w:val="000000"/>
                      <w:sz w:val="21"/>
                      <w:szCs w:val="21"/>
                      <w:highlight w:val="none"/>
                    </w:rPr>
                    <w:t>）</w:t>
                  </w:r>
                  <w:r>
                    <w:rPr>
                      <w:rFonts w:hint="eastAsia" w:ascii="Times New Roman" w:hAnsi="Times New Roman" w:eastAsia="宋体"/>
                      <w:color w:val="000000"/>
                      <w:sz w:val="21"/>
                      <w:szCs w:val="21"/>
                      <w:highlight w:val="none"/>
                      <w:lang w:val="en-US" w:eastAsia="zh-CN"/>
                    </w:rPr>
                    <w:t>中相关标准限值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noWrap w:val="0"/>
                  <w:tcMar>
                    <w:left w:w="34" w:type="dxa"/>
                    <w:right w:w="34" w:type="dxa"/>
                  </w:tcMar>
                  <w:vAlign w:val="center"/>
                </w:tcPr>
                <w:p>
                  <w:pPr>
                    <w:spacing w:line="240" w:lineRule="auto"/>
                    <w:ind w:firstLine="0" w:firstLineChars="0"/>
                    <w:rPr>
                      <w:rFonts w:ascii="Times New Roman" w:hAnsi="Times New Roman" w:eastAsia="宋体"/>
                      <w:color w:val="000000"/>
                      <w:szCs w:val="21"/>
                      <w:highlight w:val="none"/>
                    </w:rPr>
                  </w:pPr>
                  <w:r>
                    <w:rPr>
                      <w:rFonts w:hint="eastAsia" w:hAnsi="宋体"/>
                      <w:color w:val="auto"/>
                      <w:sz w:val="21"/>
                      <w:szCs w:val="21"/>
                    </w:rPr>
                    <w:t>废砖破粉碎</w:t>
                  </w:r>
                </w:p>
              </w:tc>
              <w:tc>
                <w:tcPr>
                  <w:tcW w:w="3293" w:type="dxa"/>
                  <w:noWrap w:val="0"/>
                  <w:tcMar>
                    <w:left w:w="34" w:type="dxa"/>
                    <w:right w:w="34" w:type="dxa"/>
                  </w:tcMar>
                  <w:vAlign w:val="center"/>
                </w:tcPr>
                <w:p>
                  <w:pPr>
                    <w:spacing w:line="240" w:lineRule="auto"/>
                    <w:ind w:firstLine="0" w:firstLineChars="0"/>
                    <w:jc w:val="center"/>
                    <w:rPr>
                      <w:rFonts w:ascii="Times New Roman" w:hAnsi="Times New Roman" w:eastAsia="宋体" w:cs="Times New Roman"/>
                      <w:color w:val="000000"/>
                      <w:szCs w:val="21"/>
                      <w:highlight w:val="none"/>
                    </w:rPr>
                  </w:pPr>
                  <w:r>
                    <w:rPr>
                      <w:rFonts w:hint="eastAsia"/>
                      <w:color w:val="auto"/>
                      <w:sz w:val="21"/>
                      <w:szCs w:val="21"/>
                    </w:rPr>
                    <w:t>FGM</w:t>
                  </w:r>
                  <w:r>
                    <w:rPr>
                      <w:color w:val="auto"/>
                      <w:sz w:val="21"/>
                      <w:szCs w:val="21"/>
                    </w:rPr>
                    <w:t>96</w:t>
                  </w:r>
                  <w:r>
                    <w:rPr>
                      <w:rFonts w:hint="eastAsia"/>
                      <w:color w:val="auto"/>
                      <w:sz w:val="21"/>
                      <w:szCs w:val="21"/>
                    </w:rPr>
                    <w:t>--5</w:t>
                  </w:r>
                  <w:r>
                    <w:rPr>
                      <w:rFonts w:hAnsi="宋体"/>
                      <w:color w:val="auto"/>
                      <w:sz w:val="21"/>
                      <w:szCs w:val="21"/>
                    </w:rPr>
                    <w:t>气箱脉冲袋式除尘器</w:t>
                  </w: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tcBorders>
                    <w:top w:val="single" w:color="auto" w:sz="4" w:space="0"/>
                  </w:tcBorders>
                  <w:noWrap w:val="0"/>
                  <w:tcMar>
                    <w:left w:w="34" w:type="dxa"/>
                    <w:right w:w="34" w:type="dxa"/>
                  </w:tcMar>
                  <w:vAlign w:val="center"/>
                </w:tcPr>
                <w:p>
                  <w:pPr>
                    <w:spacing w:line="240" w:lineRule="auto"/>
                    <w:ind w:firstLine="0" w:firstLineChars="0"/>
                    <w:rPr>
                      <w:rFonts w:ascii="Times New Roman" w:hAnsi="Times New Roman" w:eastAsia="宋体"/>
                      <w:color w:val="000000"/>
                      <w:szCs w:val="21"/>
                      <w:highlight w:val="none"/>
                    </w:rPr>
                  </w:pPr>
                  <w:r>
                    <w:rPr>
                      <w:rFonts w:hint="eastAsia"/>
                      <w:color w:val="auto"/>
                      <w:sz w:val="21"/>
                      <w:szCs w:val="21"/>
                    </w:rPr>
                    <w:t>除尘粉仓、混合机退料仓、废砖仓</w:t>
                  </w:r>
                </w:p>
              </w:tc>
              <w:tc>
                <w:tcPr>
                  <w:tcW w:w="3293" w:type="dxa"/>
                  <w:tcBorders>
                    <w:top w:val="single" w:color="auto" w:sz="4" w:space="0"/>
                  </w:tcBorders>
                  <w:noWrap w:val="0"/>
                  <w:tcMar>
                    <w:left w:w="34" w:type="dxa"/>
                    <w:right w:w="34" w:type="dxa"/>
                  </w:tcMar>
                  <w:vAlign w:val="center"/>
                </w:tcPr>
                <w:p>
                  <w:pPr>
                    <w:spacing w:line="240" w:lineRule="auto"/>
                    <w:ind w:firstLine="0" w:firstLineChars="0"/>
                    <w:jc w:val="center"/>
                    <w:rPr>
                      <w:rFonts w:ascii="Times New Roman" w:hAnsi="Times New Roman" w:eastAsia="宋体"/>
                      <w:color w:val="000000"/>
                      <w:szCs w:val="21"/>
                      <w:highlight w:val="none"/>
                    </w:rPr>
                  </w:pPr>
                  <w:r>
                    <w:rPr>
                      <w:rFonts w:hint="eastAsia"/>
                      <w:color w:val="auto"/>
                      <w:sz w:val="21"/>
                      <w:szCs w:val="21"/>
                    </w:rPr>
                    <w:t>φ</w:t>
                  </w:r>
                  <w:r>
                    <w:rPr>
                      <w:color w:val="auto"/>
                      <w:sz w:val="21"/>
                      <w:szCs w:val="21"/>
                    </w:rPr>
                    <w:t>4</w:t>
                  </w:r>
                  <w:r>
                    <w:rPr>
                      <w:rFonts w:hint="eastAsia"/>
                      <w:color w:val="auto"/>
                      <w:sz w:val="21"/>
                      <w:szCs w:val="21"/>
                    </w:rPr>
                    <w:t>00仓顶滤筒收尘器</w:t>
                  </w:r>
                </w:p>
              </w:tc>
              <w:tc>
                <w:tcPr>
                  <w:tcW w:w="2752" w:type="dxa"/>
                  <w:vMerge w:val="continue"/>
                  <w:noWrap w:val="0"/>
                  <w:tcMar>
                    <w:left w:w="34" w:type="dxa"/>
                    <w:right w:w="34" w:type="dxa"/>
                  </w:tcMar>
                  <w:vAlign w:val="center"/>
                </w:tcPr>
                <w:p>
                  <w:pPr>
                    <w:jc w:val="center"/>
                    <w:rPr>
                      <w:rFonts w:ascii="Times New Roman" w:hAnsi="Times New Roman" w:eastAsia="宋体"/>
                      <w:color w:val="000000"/>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tcBorders>
                    <w:top w:val="single" w:color="auto" w:sz="4" w:space="0"/>
                  </w:tcBorders>
                  <w:noWrap w:val="0"/>
                  <w:tcMar>
                    <w:left w:w="34" w:type="dxa"/>
                    <w:right w:w="34" w:type="dxa"/>
                  </w:tcMar>
                  <w:vAlign w:val="center"/>
                </w:tcPr>
                <w:p>
                  <w:pPr>
                    <w:spacing w:line="240" w:lineRule="auto"/>
                    <w:ind w:firstLine="0" w:firstLineChars="0"/>
                    <w:rPr>
                      <w:rFonts w:ascii="Times New Roman" w:hAnsi="Times New Roman" w:eastAsia="宋体"/>
                      <w:color w:val="000000"/>
                      <w:szCs w:val="21"/>
                      <w:highlight w:val="none"/>
                    </w:rPr>
                  </w:pPr>
                  <w:r>
                    <w:rPr>
                      <w:rFonts w:hint="eastAsia"/>
                      <w:color w:val="auto"/>
                      <w:sz w:val="21"/>
                      <w:szCs w:val="21"/>
                    </w:rPr>
                    <w:t>压砖机</w:t>
                  </w:r>
                </w:p>
              </w:tc>
              <w:tc>
                <w:tcPr>
                  <w:tcW w:w="3293" w:type="dxa"/>
                  <w:tcBorders>
                    <w:top w:val="single" w:color="auto" w:sz="4" w:space="0"/>
                  </w:tcBorders>
                  <w:noWrap w:val="0"/>
                  <w:tcMar>
                    <w:left w:w="34" w:type="dxa"/>
                    <w:right w:w="34" w:type="dxa"/>
                  </w:tcMar>
                  <w:vAlign w:val="center"/>
                </w:tcPr>
                <w:p>
                  <w:pPr>
                    <w:spacing w:line="240" w:lineRule="auto"/>
                    <w:ind w:firstLine="420" w:firstLineChars="200"/>
                    <w:rPr>
                      <w:rFonts w:ascii="Times New Roman" w:hAnsi="Times New Roman" w:eastAsia="宋体"/>
                      <w:color w:val="000000"/>
                      <w:szCs w:val="21"/>
                      <w:highlight w:val="none"/>
                    </w:rPr>
                  </w:pPr>
                  <w:r>
                    <w:rPr>
                      <w:rFonts w:hint="eastAsia"/>
                      <w:color w:val="auto"/>
                      <w:sz w:val="21"/>
                      <w:szCs w:val="21"/>
                    </w:rPr>
                    <w:t>PMD-7脉冲袋除尘器</w:t>
                  </w: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tcBorders>
                    <w:top w:val="single" w:color="auto" w:sz="4" w:space="0"/>
                  </w:tcBorders>
                  <w:noWrap w:val="0"/>
                  <w:tcMar>
                    <w:left w:w="34" w:type="dxa"/>
                    <w:right w:w="34" w:type="dxa"/>
                  </w:tcMar>
                  <w:vAlign w:val="center"/>
                </w:tcPr>
                <w:p>
                  <w:pPr>
                    <w:spacing w:line="240" w:lineRule="auto"/>
                    <w:ind w:firstLine="0" w:firstLineChars="0"/>
                    <w:rPr>
                      <w:rFonts w:hint="eastAsia"/>
                      <w:color w:val="auto"/>
                      <w:sz w:val="21"/>
                      <w:szCs w:val="21"/>
                    </w:rPr>
                  </w:pPr>
                  <w:r>
                    <w:rPr>
                      <w:rFonts w:hint="eastAsia"/>
                      <w:color w:val="auto"/>
                      <w:sz w:val="21"/>
                      <w:szCs w:val="21"/>
                      <w:lang w:val="en-US" w:eastAsia="zh-CN"/>
                    </w:rPr>
                    <w:t>干燥窑</w:t>
                  </w:r>
                </w:p>
              </w:tc>
              <w:tc>
                <w:tcPr>
                  <w:tcW w:w="3293" w:type="dxa"/>
                  <w:tcBorders>
                    <w:top w:val="single" w:color="auto" w:sz="4" w:space="0"/>
                  </w:tcBorders>
                  <w:noWrap w:val="0"/>
                  <w:tcMar>
                    <w:left w:w="34" w:type="dxa"/>
                    <w:right w:w="34" w:type="dxa"/>
                  </w:tcMar>
                  <w:vAlign w:val="center"/>
                </w:tcPr>
                <w:p>
                  <w:pPr>
                    <w:spacing w:line="240" w:lineRule="auto"/>
                    <w:ind w:firstLine="420" w:firstLineChars="200"/>
                    <w:rPr>
                      <w:rFonts w:hint="eastAsia"/>
                      <w:color w:val="auto"/>
                      <w:sz w:val="21"/>
                      <w:szCs w:val="21"/>
                    </w:rPr>
                  </w:pPr>
                  <w:r>
                    <w:rPr>
                      <w:rFonts w:hint="eastAsia"/>
                      <w:color w:val="auto"/>
                      <w:sz w:val="21"/>
                      <w:szCs w:val="21"/>
                      <w:lang w:val="en-US" w:eastAsia="zh-CN"/>
                    </w:rPr>
                    <w:t>除尘系统</w:t>
                  </w: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tcBorders>
                    <w:top w:val="single" w:color="auto" w:sz="4" w:space="0"/>
                  </w:tcBorders>
                  <w:noWrap w:val="0"/>
                  <w:tcMar>
                    <w:left w:w="34" w:type="dxa"/>
                    <w:right w:w="34" w:type="dxa"/>
                  </w:tcMar>
                  <w:vAlign w:val="center"/>
                </w:tcPr>
                <w:p>
                  <w:pPr>
                    <w:spacing w:line="240" w:lineRule="auto"/>
                    <w:ind w:firstLine="0" w:firstLineChars="0"/>
                    <w:rPr>
                      <w:rFonts w:ascii="Times New Roman" w:hAnsi="Times New Roman" w:eastAsia="宋体"/>
                      <w:color w:val="000000"/>
                      <w:szCs w:val="21"/>
                      <w:highlight w:val="none"/>
                    </w:rPr>
                  </w:pPr>
                  <w:r>
                    <w:rPr>
                      <w:rFonts w:hint="eastAsia"/>
                      <w:color w:val="auto"/>
                      <w:sz w:val="21"/>
                      <w:szCs w:val="21"/>
                    </w:rPr>
                    <w:t>隧道窑</w:t>
                  </w:r>
                </w:p>
              </w:tc>
              <w:tc>
                <w:tcPr>
                  <w:tcW w:w="3293" w:type="dxa"/>
                  <w:tcBorders>
                    <w:top w:val="single" w:color="auto" w:sz="4" w:space="0"/>
                  </w:tcBorders>
                  <w:noWrap w:val="0"/>
                  <w:tcMar>
                    <w:left w:w="34" w:type="dxa"/>
                    <w:right w:w="34" w:type="dxa"/>
                  </w:tcMar>
                  <w:vAlign w:val="center"/>
                </w:tcPr>
                <w:p>
                  <w:pPr>
                    <w:spacing w:line="240" w:lineRule="auto"/>
                    <w:ind w:firstLine="420" w:firstLineChars="200"/>
                    <w:jc w:val="both"/>
                    <w:rPr>
                      <w:rFonts w:hint="default" w:ascii="Times New Roman" w:hAnsi="Times New Roman" w:eastAsia="宋体"/>
                      <w:color w:val="000000"/>
                      <w:szCs w:val="21"/>
                      <w:highlight w:val="none"/>
                      <w:lang w:val="en-US" w:eastAsia="zh-CN"/>
                    </w:rPr>
                  </w:pPr>
                  <w:r>
                    <w:rPr>
                      <w:rFonts w:hint="eastAsia"/>
                      <w:color w:val="auto"/>
                      <w:sz w:val="21"/>
                      <w:szCs w:val="21"/>
                      <w:lang w:val="en-US" w:eastAsia="zh-CN"/>
                    </w:rPr>
                    <w:t>2套</w:t>
                  </w:r>
                  <w:r>
                    <w:rPr>
                      <w:rFonts w:hint="eastAsia" w:eastAsia="宋体"/>
                      <w:color w:val="auto"/>
                      <w:sz w:val="21"/>
                      <w:szCs w:val="21"/>
                      <w:lang w:val="en-US" w:eastAsia="zh-CN"/>
                    </w:rPr>
                    <w:t>除尘系统</w:t>
                  </w: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噪声</w:t>
                  </w:r>
                </w:p>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污染源</w:t>
                  </w:r>
                </w:p>
              </w:tc>
              <w:tc>
                <w:tcPr>
                  <w:tcW w:w="1094"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设备噪声</w:t>
                  </w:r>
                </w:p>
              </w:tc>
              <w:tc>
                <w:tcPr>
                  <w:tcW w:w="3293"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选用低噪声设备、隔声降噪、减震措施</w:t>
                  </w:r>
                </w:p>
              </w:tc>
              <w:tc>
                <w:tcPr>
                  <w:tcW w:w="2752" w:type="dxa"/>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满足《工业企业厂界环境噪声排放标准》（GB12348-2008）3类标准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restart"/>
                  <w:noWrap w:val="0"/>
                  <w:tcMar>
                    <w:left w:w="34" w:type="dxa"/>
                    <w:right w:w="34" w:type="dxa"/>
                  </w:tcMar>
                  <w:vAlign w:val="center"/>
                </w:tcPr>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固体</w:t>
                  </w:r>
                </w:p>
                <w:p>
                  <w:pPr>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废物</w:t>
                  </w:r>
                </w:p>
              </w:tc>
              <w:tc>
                <w:tcPr>
                  <w:tcW w:w="1094" w:type="dxa"/>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布袋除尘器收集的粉尘</w:t>
                  </w:r>
                </w:p>
              </w:tc>
              <w:tc>
                <w:tcPr>
                  <w:tcW w:w="3293" w:type="dxa"/>
                  <w:noWrap w:val="0"/>
                  <w:tcMar>
                    <w:left w:w="34" w:type="dxa"/>
                    <w:right w:w="34" w:type="dxa"/>
                  </w:tcMar>
                  <w:vAlign w:val="center"/>
                </w:tcPr>
                <w:p>
                  <w:pPr>
                    <w:pStyle w:val="91"/>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回用于生产</w:t>
                  </w:r>
                </w:p>
              </w:tc>
              <w:tc>
                <w:tcPr>
                  <w:tcW w:w="2752" w:type="dxa"/>
                  <w:vMerge w:val="restart"/>
                  <w:noWrap w:val="0"/>
                  <w:tcMar>
                    <w:left w:w="34" w:type="dxa"/>
                    <w:right w:w="34" w:type="dxa"/>
                  </w:tcMar>
                  <w:vAlign w:val="center"/>
                </w:tcPr>
                <w:p>
                  <w:pPr>
                    <w:jc w:val="center"/>
                    <w:rPr>
                      <w:rFonts w:ascii="Times New Roman" w:hAnsi="Times New Roman" w:eastAsia="宋体"/>
                      <w:color w:val="000000"/>
                      <w:szCs w:val="22"/>
                      <w:highlight w:val="none"/>
                    </w:rPr>
                  </w:pPr>
                  <w:r>
                    <w:rPr>
                      <w:rFonts w:ascii="Times New Roman" w:hAnsi="Times New Roman" w:eastAsia="宋体"/>
                      <w:color w:val="000000"/>
                      <w:szCs w:val="22"/>
                      <w:highlight w:val="none"/>
                    </w:rPr>
                    <w:t>综合利用及处置率</w:t>
                  </w:r>
                </w:p>
                <w:p>
                  <w:pPr>
                    <w:jc w:val="center"/>
                    <w:rPr>
                      <w:rFonts w:ascii="Times New Roman" w:hAnsi="Times New Roman" w:eastAsia="宋体"/>
                      <w:color w:val="000000"/>
                      <w:szCs w:val="21"/>
                      <w:highlight w:val="none"/>
                    </w:rPr>
                  </w:pPr>
                  <w:r>
                    <w:rPr>
                      <w:rFonts w:ascii="Times New Roman" w:hAnsi="Times New Roman" w:eastAsia="宋体"/>
                      <w:color w:val="000000"/>
                      <w:szCs w:val="22"/>
                      <w:highlight w:val="none"/>
                    </w:rPr>
                    <w:t>100%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振动筛筛选出来的废渣</w:t>
                  </w:r>
                </w:p>
              </w:tc>
              <w:tc>
                <w:tcPr>
                  <w:tcW w:w="3293" w:type="dxa"/>
                  <w:vMerge w:val="restart"/>
                  <w:noWrap w:val="0"/>
                  <w:tcMar>
                    <w:left w:w="34" w:type="dxa"/>
                    <w:right w:w="34" w:type="dxa"/>
                  </w:tcMar>
                  <w:vAlign w:val="center"/>
                </w:tcPr>
                <w:p>
                  <w:pPr>
                    <w:pStyle w:val="91"/>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物资单位处置</w:t>
                  </w: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成型过程中产生的废品</w:t>
                  </w:r>
                </w:p>
              </w:tc>
              <w:tc>
                <w:tcPr>
                  <w:tcW w:w="3293" w:type="dxa"/>
                  <w:vMerge w:val="continue"/>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烧成过程中产生的废品</w:t>
                  </w:r>
                </w:p>
              </w:tc>
              <w:tc>
                <w:tcPr>
                  <w:tcW w:w="3293" w:type="dxa"/>
                  <w:vMerge w:val="continue"/>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noWrap w:val="0"/>
                  <w:tcMar>
                    <w:left w:w="34" w:type="dxa"/>
                    <w:right w:w="34" w:type="dxa"/>
                  </w:tcMar>
                  <w:vAlign w:val="center"/>
                </w:tcPr>
                <w:p>
                  <w:pPr>
                    <w:pStyle w:val="91"/>
                    <w:spacing w:line="240" w:lineRule="atLeast"/>
                    <w:ind w:firstLine="0" w:firstLineChars="0"/>
                    <w:jc w:val="center"/>
                    <w:rPr>
                      <w:rFonts w:hint="eastAsia" w:ascii="Times New Roman" w:hAnsi="Times New Roman" w:eastAsia="宋体"/>
                      <w:color w:val="000000"/>
                      <w:szCs w:val="21"/>
                      <w:highlight w:val="none"/>
                    </w:rPr>
                  </w:pPr>
                  <w:r>
                    <w:rPr>
                      <w:rFonts w:hint="eastAsia" w:ascii="Times New Roman" w:hAnsi="Times New Roman" w:eastAsia="宋体"/>
                      <w:color w:val="000000"/>
                      <w:szCs w:val="21"/>
                      <w:highlight w:val="none"/>
                    </w:rPr>
                    <w:t>磁选机筛选出来的废渣</w:t>
                  </w:r>
                </w:p>
              </w:tc>
              <w:tc>
                <w:tcPr>
                  <w:tcW w:w="3293" w:type="dxa"/>
                  <w:vMerge w:val="continue"/>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lang w:eastAsia="en-US"/>
                    </w:rPr>
                  </w:pP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75"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687"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c>
                <w:tcPr>
                  <w:tcW w:w="1094" w:type="dxa"/>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ascii="Times New Roman" w:hAnsi="Times New Roman" w:eastAsia="宋体"/>
                      <w:color w:val="000000"/>
                      <w:szCs w:val="21"/>
                      <w:highlight w:val="none"/>
                      <w:lang w:eastAsia="en-US"/>
                    </w:rPr>
                    <w:t>生活垃圾</w:t>
                  </w:r>
                </w:p>
              </w:tc>
              <w:tc>
                <w:tcPr>
                  <w:tcW w:w="3293" w:type="dxa"/>
                  <w:tcBorders>
                    <w:top w:val="single" w:color="auto" w:sz="4" w:space="0"/>
                  </w:tcBorders>
                  <w:noWrap w:val="0"/>
                  <w:tcMar>
                    <w:left w:w="34" w:type="dxa"/>
                    <w:right w:w="34" w:type="dxa"/>
                  </w:tcMar>
                  <w:vAlign w:val="center"/>
                </w:tcPr>
                <w:p>
                  <w:pPr>
                    <w:pStyle w:val="91"/>
                    <w:spacing w:line="240" w:lineRule="atLeast"/>
                    <w:ind w:firstLine="0" w:firstLineChars="0"/>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由</w:t>
                  </w:r>
                  <w:r>
                    <w:rPr>
                      <w:rFonts w:ascii="Times New Roman" w:hAnsi="Times New Roman" w:eastAsia="宋体"/>
                      <w:color w:val="000000"/>
                      <w:szCs w:val="21"/>
                      <w:highlight w:val="none"/>
                      <w:lang w:eastAsia="en-US"/>
                    </w:rPr>
                    <w:t>环卫部门处置</w:t>
                  </w:r>
                </w:p>
              </w:tc>
              <w:tc>
                <w:tcPr>
                  <w:tcW w:w="2752" w:type="dxa"/>
                  <w:vMerge w:val="continue"/>
                  <w:noWrap w:val="0"/>
                  <w:tcMar>
                    <w:left w:w="34" w:type="dxa"/>
                    <w:right w:w="34" w:type="dxa"/>
                  </w:tcMar>
                  <w:vAlign w:val="center"/>
                </w:tcPr>
                <w:p>
                  <w:pPr>
                    <w:jc w:val="center"/>
                    <w:rPr>
                      <w:rFonts w:ascii="Times New Roman" w:hAnsi="Times New Roman" w:eastAsia="宋体"/>
                      <w:color w:val="000000"/>
                      <w:szCs w:val="21"/>
                      <w:highlight w:val="none"/>
                    </w:rPr>
                  </w:pPr>
                </w:p>
              </w:tc>
            </w:tr>
          </w:tbl>
          <w:p>
            <w:pPr>
              <w:pStyle w:val="13"/>
              <w:spacing w:line="360" w:lineRule="auto"/>
              <w:ind w:firstLine="0"/>
              <w:rPr>
                <w:rFonts w:ascii="Times New Roman" w:hAnsi="Times New Roman" w:eastAsia="宋体"/>
                <w:color w:val="000000"/>
                <w:sz w:val="24"/>
                <w:highlight w:val="none"/>
              </w:rPr>
            </w:pPr>
          </w:p>
        </w:tc>
      </w:tr>
    </w:tbl>
    <w:p>
      <w:pPr>
        <w:pStyle w:val="3"/>
        <w:rPr>
          <w:rFonts w:ascii="Times New Roman" w:hAnsi="Times New Roman" w:eastAsia="宋体"/>
        </w:rPr>
      </w:pPr>
      <w:bookmarkStart w:id="18" w:name="_Hlk484172954"/>
      <w:r>
        <w:rPr>
          <w:rFonts w:hint="eastAsia" w:ascii="Times New Roman" w:hAnsi="Times New Roman" w:eastAsia="宋体"/>
          <w:lang w:eastAsia="zh-CN"/>
        </w:rPr>
        <w:t>八、</w:t>
      </w:r>
      <w:r>
        <w:rPr>
          <w:rFonts w:ascii="Times New Roman" w:hAnsi="Times New Roman" w:eastAsia="宋体"/>
        </w:rPr>
        <w:t>建设项目拟采取的防治措施及预期治理效果</w:t>
      </w:r>
    </w:p>
    <w:bookmarkEnd w:id="18"/>
    <w:tbl>
      <w:tblPr>
        <w:tblStyle w:val="28"/>
        <w:tblW w:w="937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85"/>
        <w:gridCol w:w="465"/>
        <w:gridCol w:w="1389"/>
        <w:gridCol w:w="1632"/>
        <w:gridCol w:w="2874"/>
        <w:gridCol w:w="26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gridSpan w:val="2"/>
            <w:tcBorders>
              <w:top w:val="single" w:color="auto" w:sz="4" w:space="0"/>
              <w:left w:val="single" w:color="auto" w:sz="4" w:space="0"/>
              <w:tl2br w:val="single" w:color="auto" w:sz="6" w:space="0"/>
            </w:tcBorders>
            <w:noWrap w:val="0"/>
            <w:vAlign w:val="top"/>
          </w:tcPr>
          <w:p>
            <w:pPr>
              <w:spacing w:line="240" w:lineRule="atLeast"/>
              <w:jc w:val="right"/>
              <w:rPr>
                <w:rFonts w:ascii="Times New Roman" w:hAnsi="Times New Roman" w:eastAsia="宋体"/>
                <w:sz w:val="24"/>
                <w:szCs w:val="24"/>
                <w:highlight w:val="none"/>
              </w:rPr>
            </w:pPr>
            <w:r>
              <w:rPr>
                <w:rFonts w:ascii="Times New Roman" w:hAnsi="Times New Roman" w:eastAsia="宋体"/>
                <w:sz w:val="24"/>
                <w:szCs w:val="24"/>
                <w:highlight w:val="none"/>
              </w:rPr>
              <w:t>内容</w:t>
            </w:r>
          </w:p>
          <w:p>
            <w:pPr>
              <w:spacing w:line="240" w:lineRule="atLeast"/>
              <w:rPr>
                <w:rFonts w:ascii="Times New Roman" w:hAnsi="Times New Roman" w:eastAsia="宋体"/>
                <w:sz w:val="24"/>
                <w:szCs w:val="24"/>
                <w:highlight w:val="none"/>
              </w:rPr>
            </w:pPr>
            <w:r>
              <w:rPr>
                <w:rFonts w:ascii="Times New Roman" w:hAnsi="Times New Roman" w:eastAsia="宋体"/>
                <w:sz w:val="24"/>
                <w:szCs w:val="24"/>
                <w:highlight w:val="none"/>
              </w:rPr>
              <w:t>类型</w:t>
            </w:r>
          </w:p>
        </w:tc>
        <w:tc>
          <w:tcPr>
            <w:tcW w:w="1389" w:type="dxa"/>
            <w:tcBorders>
              <w:top w:val="single" w:color="auto" w:sz="4" w:space="0"/>
            </w:tcBorders>
            <w:noWrap w:val="0"/>
            <w:vAlign w:val="center"/>
          </w:tcPr>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排放源</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（编号）</w:t>
            </w:r>
          </w:p>
        </w:tc>
        <w:tc>
          <w:tcPr>
            <w:tcW w:w="1632" w:type="dxa"/>
            <w:tcBorders>
              <w:top w:val="single" w:color="auto" w:sz="4" w:space="0"/>
            </w:tcBorders>
            <w:noWrap w:val="0"/>
            <w:vAlign w:val="center"/>
          </w:tcPr>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污染物名称</w:t>
            </w:r>
          </w:p>
        </w:tc>
        <w:tc>
          <w:tcPr>
            <w:tcW w:w="2874" w:type="dxa"/>
            <w:tcBorders>
              <w:top w:val="single" w:color="auto" w:sz="4" w:space="0"/>
              <w:bottom w:val="single" w:color="auto" w:sz="4" w:space="0"/>
            </w:tcBorders>
            <w:noWrap w:val="0"/>
            <w:vAlign w:val="center"/>
          </w:tcPr>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防治措施</w:t>
            </w:r>
          </w:p>
        </w:tc>
        <w:tc>
          <w:tcPr>
            <w:tcW w:w="2628" w:type="dxa"/>
            <w:tcBorders>
              <w:top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预期治理效果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restart"/>
            <w:tcBorders>
              <w:top w:val="single" w:color="auto" w:sz="4" w:space="0"/>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营运期</w:t>
            </w:r>
          </w:p>
        </w:tc>
        <w:tc>
          <w:tcPr>
            <w:tcW w:w="465" w:type="dxa"/>
            <w:vMerge w:val="restart"/>
            <w:tcBorders>
              <w:top w:val="single" w:color="auto" w:sz="4" w:space="0"/>
              <w:left w:val="single" w:color="auto" w:sz="4" w:space="0"/>
            </w:tcBorders>
            <w:noWrap w:val="0"/>
            <w:vAlign w:val="center"/>
          </w:tcPr>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大</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气</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污</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染</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物</w:t>
            </w:r>
          </w:p>
          <w:p>
            <w:pPr>
              <w:spacing w:line="240" w:lineRule="atLeast"/>
              <w:jc w:val="center"/>
              <w:rPr>
                <w:rFonts w:ascii="Times New Roman" w:hAnsi="Times New Roman" w:eastAsia="宋体"/>
                <w:sz w:val="24"/>
                <w:szCs w:val="24"/>
                <w:highlight w:val="none"/>
              </w:rPr>
            </w:pPr>
          </w:p>
        </w:tc>
        <w:tc>
          <w:tcPr>
            <w:tcW w:w="1389" w:type="dxa"/>
            <w:tcBorders>
              <w:top w:val="single" w:color="auto" w:sz="4" w:space="0"/>
            </w:tcBorders>
            <w:noWrap w:val="0"/>
            <w:vAlign w:val="center"/>
          </w:tcPr>
          <w:p>
            <w:pPr>
              <w:spacing w:line="240" w:lineRule="auto"/>
              <w:ind w:firstLine="0" w:firstLineChars="0"/>
              <w:rPr>
                <w:rFonts w:ascii="Times New Roman" w:hAnsi="Times New Roman" w:eastAsia="宋体"/>
                <w:sz w:val="24"/>
                <w:szCs w:val="24"/>
                <w:highlight w:val="none"/>
              </w:rPr>
            </w:pPr>
            <w:r>
              <w:rPr>
                <w:rFonts w:hint="eastAsia" w:hAnsi="宋体"/>
                <w:color w:val="auto"/>
                <w:sz w:val="24"/>
                <w:szCs w:val="24"/>
              </w:rPr>
              <w:t>上料配料及缓冲仓</w:t>
            </w:r>
          </w:p>
        </w:tc>
        <w:tc>
          <w:tcPr>
            <w:tcW w:w="1632" w:type="dxa"/>
            <w:tcBorders>
              <w:top w:val="single" w:color="auto" w:sz="4" w:space="0"/>
            </w:tcBorders>
            <w:noWrap w:val="0"/>
            <w:vAlign w:val="center"/>
          </w:tcPr>
          <w:p>
            <w:pPr>
              <w:jc w:val="center"/>
              <w:rPr>
                <w:rFonts w:ascii="Times New Roman" w:hAnsi="Times New Roman" w:eastAsia="宋体"/>
                <w:sz w:val="24"/>
                <w:szCs w:val="24"/>
                <w:highlight w:val="none"/>
              </w:rPr>
            </w:pPr>
            <w:r>
              <w:rPr>
                <w:rFonts w:ascii="Times New Roman" w:hAnsi="Times New Roman" w:eastAsia="宋体"/>
                <w:sz w:val="24"/>
                <w:szCs w:val="24"/>
                <w:highlight w:val="none"/>
              </w:rPr>
              <w:t>颗粒物</w:t>
            </w:r>
          </w:p>
        </w:tc>
        <w:tc>
          <w:tcPr>
            <w:tcW w:w="2874" w:type="dxa"/>
            <w:tcBorders>
              <w:top w:val="single" w:color="auto" w:sz="4" w:space="0"/>
              <w:bottom w:val="single" w:color="auto" w:sz="4" w:space="0"/>
            </w:tcBorders>
            <w:noWrap w:val="0"/>
            <w:vAlign w:val="center"/>
          </w:tcPr>
          <w:p>
            <w:pPr>
              <w:spacing w:line="240" w:lineRule="auto"/>
              <w:ind w:firstLine="0" w:firstLineChars="0"/>
              <w:jc w:val="center"/>
              <w:rPr>
                <w:rFonts w:ascii="Times New Roman" w:hAnsi="Times New Roman" w:eastAsia="宋体" w:cs="Times New Roman"/>
                <w:color w:val="FF0000"/>
                <w:sz w:val="24"/>
                <w:szCs w:val="24"/>
                <w:highlight w:val="none"/>
              </w:rPr>
            </w:pPr>
            <w:r>
              <w:rPr>
                <w:rFonts w:hint="eastAsia"/>
                <w:color w:val="auto"/>
                <w:sz w:val="24"/>
                <w:szCs w:val="24"/>
              </w:rPr>
              <w:t>FGM64-5</w:t>
            </w:r>
            <w:r>
              <w:rPr>
                <w:rFonts w:hAnsi="宋体"/>
                <w:color w:val="auto"/>
                <w:sz w:val="24"/>
                <w:szCs w:val="24"/>
              </w:rPr>
              <w:t>气箱脉冲袋式除尘器</w:t>
            </w:r>
          </w:p>
        </w:tc>
        <w:tc>
          <w:tcPr>
            <w:tcW w:w="2628" w:type="dxa"/>
            <w:vMerge w:val="restart"/>
            <w:tcBorders>
              <w:top w:val="single" w:color="auto" w:sz="4" w:space="0"/>
              <w:right w:val="single" w:color="auto" w:sz="4" w:space="0"/>
            </w:tcBorders>
            <w:noWrap w:val="0"/>
            <w:vAlign w:val="center"/>
          </w:tcPr>
          <w:p>
            <w:pPr>
              <w:jc w:val="center"/>
              <w:rPr>
                <w:rFonts w:ascii="Times New Roman" w:hAnsi="Times New Roman" w:eastAsia="宋体"/>
                <w:color w:val="FF0000"/>
                <w:sz w:val="24"/>
                <w:szCs w:val="24"/>
                <w:highlight w:val="none"/>
              </w:rPr>
            </w:pPr>
            <w:r>
              <w:rPr>
                <w:rFonts w:ascii="Times New Roman" w:hAnsi="Times New Roman" w:eastAsia="宋体"/>
                <w:color w:val="000000"/>
                <w:sz w:val="24"/>
                <w:szCs w:val="24"/>
                <w:highlight w:val="none"/>
              </w:rPr>
              <w:t>满足</w:t>
            </w:r>
            <w:r>
              <w:rPr>
                <w:rFonts w:hint="eastAsia" w:ascii="Times New Roman" w:hAnsi="Times New Roman" w:eastAsia="宋体"/>
                <w:color w:val="000000"/>
                <w:sz w:val="24"/>
                <w:szCs w:val="24"/>
                <w:highlight w:val="none"/>
                <w:lang w:val="en-US" w:eastAsia="zh-CN"/>
              </w:rPr>
              <w:t>上海市</w:t>
            </w:r>
            <w:r>
              <w:rPr>
                <w:rFonts w:ascii="Times New Roman" w:hAnsi="Times New Roman" w:eastAsia="宋体"/>
                <w:color w:val="000000"/>
                <w:sz w:val="24"/>
                <w:szCs w:val="24"/>
                <w:highlight w:val="none"/>
              </w:rPr>
              <w:t>《大气污染物综合排放标准》（</w:t>
            </w:r>
            <w:r>
              <w:rPr>
                <w:rFonts w:hint="eastAsia" w:ascii="Times New Roman" w:hAnsi="Times New Roman" w:eastAsia="宋体"/>
                <w:color w:val="000000"/>
                <w:sz w:val="24"/>
                <w:szCs w:val="24"/>
                <w:highlight w:val="none"/>
              </w:rPr>
              <w:t>DB31/933-2015</w:t>
            </w:r>
            <w:r>
              <w:rPr>
                <w:rFonts w:ascii="Times New Roman" w:hAnsi="Times New Roman" w:eastAsia="宋体"/>
                <w:color w:val="000000"/>
                <w:sz w:val="24"/>
                <w:szCs w:val="24"/>
                <w:highlight w:val="none"/>
              </w:rPr>
              <w:t>）</w:t>
            </w:r>
            <w:r>
              <w:rPr>
                <w:rFonts w:hint="eastAsia" w:ascii="Times New Roman" w:hAnsi="Times New Roman" w:eastAsia="宋体"/>
                <w:color w:val="000000"/>
                <w:sz w:val="24"/>
                <w:szCs w:val="24"/>
                <w:highlight w:val="none"/>
                <w:lang w:val="en-US" w:eastAsia="zh-CN"/>
              </w:rPr>
              <w:t>中相关标准限值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1389" w:type="dxa"/>
            <w:tcBorders>
              <w:top w:val="single" w:color="auto" w:sz="4" w:space="0"/>
            </w:tcBorders>
            <w:noWrap w:val="0"/>
            <w:vAlign w:val="center"/>
          </w:tcPr>
          <w:p>
            <w:pPr>
              <w:spacing w:line="240" w:lineRule="auto"/>
              <w:ind w:firstLine="0" w:firstLineChars="0"/>
              <w:rPr>
                <w:rFonts w:ascii="Times New Roman" w:hAnsi="Times New Roman" w:eastAsia="宋体"/>
                <w:sz w:val="24"/>
                <w:szCs w:val="24"/>
                <w:highlight w:val="none"/>
              </w:rPr>
            </w:pPr>
            <w:r>
              <w:rPr>
                <w:rFonts w:hint="eastAsia" w:hAnsi="宋体"/>
                <w:color w:val="auto"/>
                <w:sz w:val="24"/>
                <w:szCs w:val="24"/>
              </w:rPr>
              <w:t>废砖破粉碎</w:t>
            </w:r>
          </w:p>
        </w:tc>
        <w:tc>
          <w:tcPr>
            <w:tcW w:w="1632" w:type="dxa"/>
            <w:tcBorders>
              <w:top w:val="single" w:color="auto" w:sz="4" w:space="0"/>
            </w:tcBorders>
            <w:noWrap w:val="0"/>
            <w:vAlign w:val="center"/>
          </w:tcPr>
          <w:p>
            <w:pPr>
              <w:jc w:val="center"/>
              <w:rPr>
                <w:rFonts w:ascii="Times New Roman" w:hAnsi="Times New Roman" w:eastAsia="宋体"/>
                <w:sz w:val="24"/>
                <w:szCs w:val="24"/>
                <w:highlight w:val="none"/>
              </w:rPr>
            </w:pPr>
            <w:r>
              <w:rPr>
                <w:rFonts w:ascii="Times New Roman" w:hAnsi="Times New Roman" w:eastAsia="宋体"/>
                <w:sz w:val="24"/>
                <w:szCs w:val="24"/>
                <w:highlight w:val="none"/>
              </w:rPr>
              <w:t>颗粒物</w:t>
            </w:r>
          </w:p>
        </w:tc>
        <w:tc>
          <w:tcPr>
            <w:tcW w:w="2874" w:type="dxa"/>
            <w:tcBorders>
              <w:top w:val="single" w:color="auto" w:sz="4" w:space="0"/>
              <w:bottom w:val="single" w:color="auto" w:sz="4" w:space="0"/>
            </w:tcBorders>
            <w:noWrap w:val="0"/>
            <w:vAlign w:val="center"/>
          </w:tcPr>
          <w:p>
            <w:pPr>
              <w:spacing w:line="240" w:lineRule="auto"/>
              <w:ind w:firstLine="0" w:firstLineChars="0"/>
              <w:jc w:val="center"/>
              <w:rPr>
                <w:rFonts w:ascii="Times New Roman" w:hAnsi="Times New Roman" w:eastAsia="宋体" w:cs="Times New Roman"/>
                <w:color w:val="000000"/>
                <w:sz w:val="24"/>
                <w:szCs w:val="24"/>
                <w:highlight w:val="none"/>
              </w:rPr>
            </w:pPr>
            <w:r>
              <w:rPr>
                <w:rFonts w:hint="eastAsia"/>
                <w:color w:val="auto"/>
                <w:sz w:val="24"/>
                <w:szCs w:val="24"/>
              </w:rPr>
              <w:t>FGM</w:t>
            </w:r>
            <w:r>
              <w:rPr>
                <w:color w:val="auto"/>
                <w:sz w:val="24"/>
                <w:szCs w:val="24"/>
              </w:rPr>
              <w:t>96</w:t>
            </w:r>
            <w:r>
              <w:rPr>
                <w:rFonts w:hint="eastAsia"/>
                <w:color w:val="auto"/>
                <w:sz w:val="24"/>
                <w:szCs w:val="24"/>
              </w:rPr>
              <w:t>--5</w:t>
            </w:r>
            <w:r>
              <w:rPr>
                <w:rFonts w:hAnsi="宋体"/>
                <w:color w:val="auto"/>
                <w:sz w:val="24"/>
                <w:szCs w:val="24"/>
              </w:rPr>
              <w:t>气箱脉冲袋式除尘器</w:t>
            </w:r>
          </w:p>
        </w:tc>
        <w:tc>
          <w:tcPr>
            <w:tcW w:w="2628" w:type="dxa"/>
            <w:vMerge w:val="continue"/>
            <w:tcBorders>
              <w:right w:val="single" w:color="auto" w:sz="4" w:space="0"/>
            </w:tcBorders>
            <w:noWrap w:val="0"/>
            <w:vAlign w:val="center"/>
          </w:tcPr>
          <w:p>
            <w:pPr>
              <w:jc w:val="center"/>
              <w:rPr>
                <w:rFonts w:ascii="Times New Roman" w:hAnsi="Times New Roman" w:eastAsia="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1389" w:type="dxa"/>
            <w:tcBorders>
              <w:top w:val="single" w:color="auto" w:sz="4" w:space="0"/>
            </w:tcBorders>
            <w:noWrap w:val="0"/>
            <w:vAlign w:val="center"/>
          </w:tcPr>
          <w:p>
            <w:pPr>
              <w:spacing w:line="240" w:lineRule="auto"/>
              <w:ind w:firstLine="0" w:firstLineChars="0"/>
              <w:rPr>
                <w:rFonts w:ascii="Times New Roman" w:hAnsi="Times New Roman" w:eastAsia="宋体"/>
                <w:sz w:val="24"/>
                <w:szCs w:val="24"/>
                <w:highlight w:val="none"/>
              </w:rPr>
            </w:pPr>
            <w:r>
              <w:rPr>
                <w:rFonts w:hint="eastAsia"/>
                <w:color w:val="auto"/>
                <w:sz w:val="24"/>
                <w:szCs w:val="24"/>
              </w:rPr>
              <w:t>除尘粉仓、混合机退料仓、废砖仓</w:t>
            </w:r>
          </w:p>
        </w:tc>
        <w:tc>
          <w:tcPr>
            <w:tcW w:w="1632" w:type="dxa"/>
            <w:tcBorders>
              <w:top w:val="single" w:color="auto" w:sz="4" w:space="0"/>
            </w:tcBorders>
            <w:noWrap w:val="0"/>
            <w:vAlign w:val="center"/>
          </w:tcPr>
          <w:p>
            <w:pPr>
              <w:jc w:val="center"/>
              <w:rPr>
                <w:rFonts w:ascii="Times New Roman" w:hAnsi="Times New Roman" w:eastAsia="宋体"/>
                <w:sz w:val="24"/>
                <w:szCs w:val="24"/>
                <w:highlight w:val="none"/>
              </w:rPr>
            </w:pPr>
            <w:r>
              <w:rPr>
                <w:rFonts w:ascii="Times New Roman" w:hAnsi="Times New Roman" w:eastAsia="宋体"/>
                <w:sz w:val="24"/>
                <w:szCs w:val="24"/>
                <w:highlight w:val="none"/>
              </w:rPr>
              <w:t>颗粒物</w:t>
            </w:r>
          </w:p>
        </w:tc>
        <w:tc>
          <w:tcPr>
            <w:tcW w:w="2874" w:type="dxa"/>
            <w:tcBorders>
              <w:top w:val="single" w:color="auto" w:sz="4" w:space="0"/>
              <w:bottom w:val="single" w:color="auto" w:sz="4" w:space="0"/>
            </w:tcBorders>
            <w:noWrap w:val="0"/>
            <w:vAlign w:val="center"/>
          </w:tcPr>
          <w:p>
            <w:pPr>
              <w:spacing w:line="240" w:lineRule="auto"/>
              <w:ind w:firstLine="0" w:firstLineChars="0"/>
              <w:jc w:val="center"/>
              <w:rPr>
                <w:rFonts w:ascii="Times New Roman" w:hAnsi="Times New Roman" w:eastAsia="宋体"/>
                <w:color w:val="FF0000"/>
                <w:sz w:val="24"/>
                <w:szCs w:val="24"/>
                <w:highlight w:val="none"/>
              </w:rPr>
            </w:pPr>
            <w:r>
              <w:rPr>
                <w:rFonts w:hint="eastAsia"/>
                <w:color w:val="auto"/>
                <w:sz w:val="24"/>
                <w:szCs w:val="24"/>
              </w:rPr>
              <w:t>φ</w:t>
            </w:r>
            <w:r>
              <w:rPr>
                <w:color w:val="auto"/>
                <w:sz w:val="24"/>
                <w:szCs w:val="24"/>
              </w:rPr>
              <w:t>4</w:t>
            </w:r>
            <w:r>
              <w:rPr>
                <w:rFonts w:hint="eastAsia"/>
                <w:color w:val="auto"/>
                <w:sz w:val="24"/>
                <w:szCs w:val="24"/>
              </w:rPr>
              <w:t>00仓顶滤筒收尘器</w:t>
            </w:r>
          </w:p>
        </w:tc>
        <w:tc>
          <w:tcPr>
            <w:tcW w:w="2628" w:type="dxa"/>
            <w:vMerge w:val="continue"/>
            <w:tcBorders>
              <w:right w:val="single" w:color="auto" w:sz="4" w:space="0"/>
            </w:tcBorders>
            <w:noWrap w:val="0"/>
            <w:vAlign w:val="center"/>
          </w:tcPr>
          <w:p>
            <w:pPr>
              <w:jc w:val="center"/>
              <w:rPr>
                <w:rFonts w:ascii="Times New Roman" w:hAnsi="Times New Roman" w:eastAsia="宋体"/>
                <w:color w:val="FF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1389" w:type="dxa"/>
            <w:tcBorders>
              <w:top w:val="single" w:color="auto" w:sz="4" w:space="0"/>
            </w:tcBorders>
            <w:noWrap w:val="0"/>
            <w:vAlign w:val="center"/>
          </w:tcPr>
          <w:p>
            <w:pPr>
              <w:spacing w:line="240" w:lineRule="auto"/>
              <w:ind w:firstLine="0" w:firstLineChars="0"/>
              <w:rPr>
                <w:rFonts w:hint="eastAsia" w:ascii="Times New Roman" w:hAnsi="Times New Roman" w:eastAsia="宋体"/>
                <w:sz w:val="24"/>
                <w:szCs w:val="24"/>
                <w:highlight w:val="none"/>
                <w:lang w:val="en-US" w:eastAsia="zh-CN"/>
              </w:rPr>
            </w:pPr>
            <w:r>
              <w:rPr>
                <w:rFonts w:hint="eastAsia"/>
                <w:color w:val="auto"/>
                <w:sz w:val="24"/>
                <w:szCs w:val="24"/>
              </w:rPr>
              <w:t>压砖机</w:t>
            </w:r>
          </w:p>
        </w:tc>
        <w:tc>
          <w:tcPr>
            <w:tcW w:w="1632" w:type="dxa"/>
            <w:tcBorders>
              <w:top w:val="single" w:color="auto" w:sz="4" w:space="0"/>
            </w:tcBorders>
            <w:noWrap w:val="0"/>
            <w:vAlign w:val="center"/>
          </w:tcPr>
          <w:p>
            <w:pPr>
              <w:jc w:val="center"/>
              <w:rPr>
                <w:rFonts w:ascii="Times New Roman" w:hAnsi="Times New Roman" w:eastAsia="宋体"/>
                <w:sz w:val="24"/>
                <w:szCs w:val="24"/>
                <w:highlight w:val="none"/>
              </w:rPr>
            </w:pPr>
            <w:r>
              <w:rPr>
                <w:rFonts w:ascii="Times New Roman" w:hAnsi="Times New Roman" w:eastAsia="宋体"/>
                <w:sz w:val="24"/>
                <w:szCs w:val="24"/>
                <w:highlight w:val="none"/>
              </w:rPr>
              <w:t>颗粒物</w:t>
            </w:r>
          </w:p>
        </w:tc>
        <w:tc>
          <w:tcPr>
            <w:tcW w:w="2874" w:type="dxa"/>
            <w:tcBorders>
              <w:top w:val="single" w:color="auto" w:sz="4" w:space="0"/>
              <w:bottom w:val="single" w:color="auto" w:sz="4" w:space="0"/>
            </w:tcBorders>
            <w:noWrap w:val="0"/>
            <w:vAlign w:val="center"/>
          </w:tcPr>
          <w:p>
            <w:pPr>
              <w:spacing w:line="240" w:lineRule="auto"/>
              <w:ind w:firstLine="240" w:firstLineChars="100"/>
              <w:rPr>
                <w:rFonts w:ascii="Times New Roman" w:hAnsi="Times New Roman" w:eastAsia="宋体"/>
                <w:color w:val="000000"/>
                <w:sz w:val="24"/>
                <w:szCs w:val="24"/>
                <w:highlight w:val="none"/>
              </w:rPr>
            </w:pPr>
            <w:r>
              <w:rPr>
                <w:rFonts w:hint="eastAsia"/>
                <w:color w:val="auto"/>
                <w:sz w:val="24"/>
                <w:szCs w:val="24"/>
              </w:rPr>
              <w:t>PMD-7脉冲袋除尘器</w:t>
            </w:r>
          </w:p>
        </w:tc>
        <w:tc>
          <w:tcPr>
            <w:tcW w:w="2628" w:type="dxa"/>
            <w:vMerge w:val="continue"/>
            <w:tcBorders>
              <w:right w:val="single" w:color="auto" w:sz="4" w:space="0"/>
            </w:tcBorders>
            <w:noWrap w:val="0"/>
            <w:vAlign w:val="center"/>
          </w:tcPr>
          <w:p>
            <w:pPr>
              <w:jc w:val="center"/>
              <w:rPr>
                <w:rFonts w:ascii="Times New Roman" w:hAnsi="Times New Roman" w:eastAsia="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1389" w:type="dxa"/>
            <w:tcBorders>
              <w:top w:val="single" w:color="auto" w:sz="4" w:space="0"/>
            </w:tcBorders>
            <w:noWrap w:val="0"/>
            <w:vAlign w:val="center"/>
          </w:tcPr>
          <w:p>
            <w:pPr>
              <w:spacing w:line="240" w:lineRule="auto"/>
              <w:ind w:firstLine="0" w:firstLineChars="0"/>
              <w:rPr>
                <w:rFonts w:hint="eastAsia" w:eastAsia="宋体"/>
                <w:color w:val="auto"/>
                <w:sz w:val="24"/>
                <w:szCs w:val="24"/>
                <w:lang w:val="en-US" w:eastAsia="zh-CN"/>
              </w:rPr>
            </w:pPr>
            <w:r>
              <w:rPr>
                <w:rFonts w:hint="eastAsia"/>
                <w:color w:val="auto"/>
                <w:sz w:val="24"/>
                <w:szCs w:val="24"/>
                <w:lang w:val="en-US" w:eastAsia="zh-CN"/>
              </w:rPr>
              <w:t>干燥窑</w:t>
            </w:r>
          </w:p>
        </w:tc>
        <w:tc>
          <w:tcPr>
            <w:tcW w:w="1632" w:type="dxa"/>
            <w:tcBorders>
              <w:top w:val="single" w:color="auto" w:sz="4" w:space="0"/>
            </w:tcBorders>
            <w:noWrap w:val="0"/>
            <w:vAlign w:val="center"/>
          </w:tcPr>
          <w:p>
            <w:pPr>
              <w:jc w:val="center"/>
              <w:rPr>
                <w:rFonts w:ascii="Times New Roman" w:hAnsi="Times New Roman" w:eastAsia="宋体"/>
                <w:sz w:val="24"/>
                <w:szCs w:val="24"/>
                <w:highlight w:val="none"/>
              </w:rPr>
            </w:pPr>
            <w:r>
              <w:rPr>
                <w:rFonts w:ascii="Times New Roman" w:hAnsi="Times New Roman" w:eastAsia="宋体"/>
                <w:sz w:val="24"/>
                <w:szCs w:val="24"/>
                <w:highlight w:val="none"/>
              </w:rPr>
              <w:t>颗粒物</w:t>
            </w:r>
          </w:p>
        </w:tc>
        <w:tc>
          <w:tcPr>
            <w:tcW w:w="2874" w:type="dxa"/>
            <w:tcBorders>
              <w:top w:val="single" w:color="auto" w:sz="4" w:space="0"/>
              <w:bottom w:val="single" w:color="auto" w:sz="4" w:space="0"/>
            </w:tcBorders>
            <w:noWrap w:val="0"/>
            <w:vAlign w:val="center"/>
          </w:tcPr>
          <w:p>
            <w:pPr>
              <w:spacing w:line="240" w:lineRule="auto"/>
              <w:ind w:firstLine="240" w:firstLineChars="100"/>
              <w:jc w:val="center"/>
              <w:rPr>
                <w:rFonts w:hint="default" w:eastAsia="宋体"/>
                <w:color w:val="auto"/>
                <w:sz w:val="24"/>
                <w:szCs w:val="24"/>
                <w:lang w:val="en-US" w:eastAsia="zh-CN"/>
              </w:rPr>
            </w:pPr>
            <w:r>
              <w:rPr>
                <w:rFonts w:hint="eastAsia"/>
                <w:color w:val="auto"/>
                <w:sz w:val="24"/>
                <w:szCs w:val="24"/>
                <w:lang w:val="en-US" w:eastAsia="zh-CN"/>
              </w:rPr>
              <w:t>除尘系统</w:t>
            </w:r>
          </w:p>
        </w:tc>
        <w:tc>
          <w:tcPr>
            <w:tcW w:w="2628" w:type="dxa"/>
            <w:vMerge w:val="continue"/>
            <w:tcBorders>
              <w:right w:val="single" w:color="auto" w:sz="4" w:space="0"/>
            </w:tcBorders>
            <w:noWrap w:val="0"/>
            <w:vAlign w:val="center"/>
          </w:tcPr>
          <w:p>
            <w:pPr>
              <w:jc w:val="center"/>
              <w:rPr>
                <w:rFonts w:ascii="Times New Roman" w:hAnsi="Times New Roman" w:eastAsia="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1389" w:type="dxa"/>
            <w:tcBorders>
              <w:top w:val="single" w:color="auto" w:sz="4" w:space="0"/>
            </w:tcBorders>
            <w:noWrap w:val="0"/>
            <w:vAlign w:val="center"/>
          </w:tcPr>
          <w:p>
            <w:pPr>
              <w:spacing w:line="240" w:lineRule="auto"/>
              <w:ind w:firstLine="0" w:firstLineChars="0"/>
              <w:rPr>
                <w:rFonts w:hint="eastAsia" w:ascii="Times New Roman" w:hAnsi="Times New Roman" w:eastAsia="宋体"/>
                <w:sz w:val="24"/>
                <w:szCs w:val="24"/>
                <w:highlight w:val="none"/>
                <w:lang w:val="en-US" w:eastAsia="zh-CN"/>
              </w:rPr>
            </w:pPr>
            <w:r>
              <w:rPr>
                <w:rFonts w:hint="eastAsia"/>
                <w:color w:val="auto"/>
                <w:sz w:val="24"/>
                <w:szCs w:val="24"/>
              </w:rPr>
              <w:t>隧道窑</w:t>
            </w:r>
          </w:p>
        </w:tc>
        <w:tc>
          <w:tcPr>
            <w:tcW w:w="1632" w:type="dxa"/>
            <w:tcBorders>
              <w:top w:val="single" w:color="auto" w:sz="4" w:space="0"/>
            </w:tcBorders>
            <w:noWrap w:val="0"/>
            <w:vAlign w:val="center"/>
          </w:tcPr>
          <w:p>
            <w:pPr>
              <w:jc w:val="center"/>
              <w:rPr>
                <w:rFonts w:hint="default" w:ascii="Times New Roman" w:hAnsi="Times New Roman" w:eastAsia="宋体"/>
                <w:sz w:val="24"/>
                <w:szCs w:val="24"/>
                <w:highlight w:val="none"/>
                <w:lang w:val="en-US" w:eastAsia="zh-CN"/>
              </w:rPr>
            </w:pPr>
            <w:r>
              <w:rPr>
                <w:rFonts w:ascii="Times New Roman" w:hAnsi="Times New Roman" w:eastAsia="宋体"/>
                <w:sz w:val="24"/>
                <w:szCs w:val="24"/>
                <w:highlight w:val="none"/>
              </w:rPr>
              <w:t>颗粒物</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二氧化硫、氮氧化物</w:t>
            </w:r>
          </w:p>
        </w:tc>
        <w:tc>
          <w:tcPr>
            <w:tcW w:w="2874" w:type="dxa"/>
            <w:tcBorders>
              <w:top w:val="single" w:color="auto" w:sz="4" w:space="0"/>
              <w:bottom w:val="single" w:color="auto" w:sz="4" w:space="0"/>
            </w:tcBorders>
            <w:noWrap w:val="0"/>
            <w:vAlign w:val="center"/>
          </w:tcPr>
          <w:p>
            <w:pPr>
              <w:spacing w:line="240" w:lineRule="auto"/>
              <w:ind w:firstLine="0" w:firstLineChars="0"/>
              <w:jc w:val="center"/>
              <w:rPr>
                <w:rFonts w:hint="default" w:ascii="Times New Roman" w:hAnsi="Times New Roman" w:eastAsia="宋体"/>
                <w:color w:val="000000"/>
                <w:sz w:val="24"/>
                <w:szCs w:val="24"/>
                <w:highlight w:val="none"/>
                <w:lang w:val="en-US" w:eastAsia="zh-CN"/>
              </w:rPr>
            </w:pPr>
            <w:r>
              <w:rPr>
                <w:rFonts w:hint="eastAsia"/>
                <w:color w:val="auto"/>
                <w:sz w:val="24"/>
                <w:szCs w:val="24"/>
                <w:lang w:val="en-US" w:eastAsia="zh-CN"/>
              </w:rPr>
              <w:t>2套</w:t>
            </w:r>
            <w:r>
              <w:rPr>
                <w:rFonts w:hint="eastAsia" w:eastAsia="宋体"/>
                <w:color w:val="auto"/>
                <w:sz w:val="24"/>
                <w:szCs w:val="24"/>
                <w:lang w:val="en-US" w:eastAsia="zh-CN"/>
              </w:rPr>
              <w:t>除尘系统</w:t>
            </w:r>
          </w:p>
        </w:tc>
        <w:tc>
          <w:tcPr>
            <w:tcW w:w="2628" w:type="dxa"/>
            <w:vMerge w:val="continue"/>
            <w:tcBorders>
              <w:right w:val="single" w:color="auto" w:sz="4" w:space="0"/>
            </w:tcBorders>
            <w:noWrap w:val="0"/>
            <w:vAlign w:val="center"/>
          </w:tcPr>
          <w:p>
            <w:pPr>
              <w:jc w:val="center"/>
              <w:rPr>
                <w:rFonts w:ascii="Times New Roman" w:hAnsi="Times New Roman" w:eastAsia="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highlight w:val="none"/>
              </w:rPr>
            </w:pPr>
          </w:p>
        </w:tc>
        <w:tc>
          <w:tcPr>
            <w:tcW w:w="465" w:type="dxa"/>
            <w:tcBorders>
              <w:top w:val="single" w:color="auto" w:sz="4" w:space="0"/>
              <w:left w:val="single" w:color="auto" w:sz="4" w:space="0"/>
            </w:tcBorders>
            <w:noWrap w:val="0"/>
            <w:vAlign w:val="center"/>
          </w:tcPr>
          <w:p>
            <w:pPr>
              <w:spacing w:line="240" w:lineRule="atLeast"/>
              <w:jc w:val="center"/>
              <w:rPr>
                <w:rFonts w:ascii="Times New Roman" w:hAnsi="Times New Roman" w:eastAsia="宋体"/>
                <w:sz w:val="24"/>
                <w:szCs w:val="24"/>
                <w:highlight w:val="none"/>
              </w:rPr>
            </w:pPr>
          </w:p>
          <w:p>
            <w:pPr>
              <w:spacing w:line="240" w:lineRule="atLeast"/>
              <w:jc w:val="center"/>
              <w:rPr>
                <w:rFonts w:ascii="Times New Roman" w:hAnsi="Times New Roman" w:eastAsia="宋体"/>
                <w:sz w:val="24"/>
                <w:szCs w:val="24"/>
                <w:highlight w:val="none"/>
              </w:rPr>
            </w:pPr>
          </w:p>
          <w:p>
            <w:pPr>
              <w:spacing w:line="240" w:lineRule="atLeast"/>
              <w:jc w:val="center"/>
              <w:rPr>
                <w:rFonts w:ascii="Times New Roman" w:hAnsi="Times New Roman" w:eastAsia="宋体"/>
                <w:sz w:val="24"/>
                <w:szCs w:val="24"/>
                <w:highlight w:val="none"/>
              </w:rPr>
            </w:pP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水</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污</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染</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物</w:t>
            </w:r>
          </w:p>
        </w:tc>
        <w:tc>
          <w:tcPr>
            <w:tcW w:w="1389" w:type="dxa"/>
            <w:noWrap w:val="0"/>
            <w:vAlign w:val="center"/>
          </w:tcPr>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rPr>
              <w:t>生活污水</w:t>
            </w:r>
          </w:p>
        </w:tc>
        <w:tc>
          <w:tcPr>
            <w:tcW w:w="1632" w:type="dxa"/>
            <w:tcBorders>
              <w:bottom w:val="single" w:color="auto" w:sz="4" w:space="0"/>
            </w:tcBorders>
            <w:noWrap w:val="0"/>
            <w:vAlign w:val="center"/>
          </w:tcPr>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lang w:val="de-DE"/>
              </w:rPr>
              <w:t>COD</w:t>
            </w:r>
          </w:p>
          <w:p>
            <w:pPr>
              <w:spacing w:line="240" w:lineRule="atLeast"/>
              <w:jc w:val="center"/>
              <w:rPr>
                <w:rFonts w:ascii="Times New Roman" w:hAnsi="Times New Roman" w:eastAsia="宋体"/>
                <w:sz w:val="24"/>
                <w:szCs w:val="24"/>
                <w:highlight w:val="none"/>
                <w:lang w:val="de-DE"/>
              </w:rPr>
            </w:pPr>
            <w:r>
              <w:rPr>
                <w:rFonts w:ascii="Times New Roman" w:hAnsi="Times New Roman" w:eastAsia="宋体"/>
                <w:sz w:val="24"/>
                <w:szCs w:val="24"/>
                <w:highlight w:val="none"/>
              </w:rPr>
              <w:t>BOD</w:t>
            </w:r>
            <w:r>
              <w:rPr>
                <w:rFonts w:ascii="Times New Roman" w:hAnsi="Times New Roman" w:eastAsia="宋体"/>
                <w:sz w:val="24"/>
                <w:szCs w:val="24"/>
                <w:highlight w:val="none"/>
                <w:vertAlign w:val="subscript"/>
              </w:rPr>
              <w:t>5</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lang w:val="de-DE"/>
              </w:rPr>
              <w:t>SS</w:t>
            </w:r>
          </w:p>
          <w:p>
            <w:pPr>
              <w:spacing w:line="240" w:lineRule="atLeast"/>
              <w:jc w:val="center"/>
              <w:rPr>
                <w:rFonts w:ascii="Times New Roman" w:hAnsi="Times New Roman" w:eastAsia="宋体"/>
                <w:sz w:val="24"/>
                <w:szCs w:val="24"/>
                <w:highlight w:val="none"/>
              </w:rPr>
            </w:pPr>
            <w:r>
              <w:rPr>
                <w:rFonts w:ascii="Times New Roman" w:hAnsi="Times New Roman" w:eastAsia="宋体"/>
                <w:sz w:val="24"/>
                <w:szCs w:val="24"/>
                <w:highlight w:val="none"/>
                <w:lang w:val="de-DE"/>
              </w:rPr>
              <w:t>氨氮</w:t>
            </w:r>
          </w:p>
        </w:tc>
        <w:tc>
          <w:tcPr>
            <w:tcW w:w="2874" w:type="dxa"/>
            <w:tcBorders>
              <w:bottom w:val="single" w:color="auto" w:sz="4" w:space="0"/>
            </w:tcBorders>
            <w:noWrap w:val="0"/>
            <w:vAlign w:val="center"/>
          </w:tcPr>
          <w:p>
            <w:pPr>
              <w:jc w:val="center"/>
              <w:rPr>
                <w:rFonts w:ascii="Times New Roman" w:hAnsi="Times New Roman" w:eastAsia="宋体"/>
                <w:sz w:val="24"/>
                <w:szCs w:val="24"/>
                <w:highlight w:val="none"/>
              </w:rPr>
            </w:pPr>
            <w:r>
              <w:rPr>
                <w:rFonts w:ascii="Times New Roman" w:hAnsi="Times New Roman" w:eastAsia="宋体"/>
                <w:color w:val="000000"/>
                <w:sz w:val="24"/>
                <w:szCs w:val="24"/>
                <w:highlight w:val="none"/>
              </w:rPr>
              <w:t>污水经</w:t>
            </w:r>
            <w:r>
              <w:rPr>
                <w:rFonts w:hint="eastAsia" w:ascii="Times New Roman" w:hAnsi="Times New Roman" w:eastAsia="宋体"/>
                <w:color w:val="000000"/>
                <w:sz w:val="24"/>
                <w:szCs w:val="24"/>
                <w:highlight w:val="none"/>
              </w:rPr>
              <w:t>扩建前已建成的</w:t>
            </w:r>
            <w:r>
              <w:rPr>
                <w:rFonts w:hint="eastAsia" w:ascii="Times New Roman" w:hAnsi="Times New Roman" w:eastAsia="宋体"/>
                <w:color w:val="000000"/>
                <w:sz w:val="24"/>
                <w:szCs w:val="24"/>
                <w:highlight w:val="none"/>
                <w:lang w:val="en-US" w:eastAsia="zh-CN"/>
              </w:rPr>
              <w:t>污水处理装置处理后排入南塘湖</w:t>
            </w:r>
          </w:p>
        </w:tc>
        <w:tc>
          <w:tcPr>
            <w:tcW w:w="2628" w:type="dxa"/>
            <w:tcBorders>
              <w:right w:val="single" w:color="auto" w:sz="4" w:space="0"/>
            </w:tcBorders>
            <w:noWrap w:val="0"/>
            <w:vAlign w:val="center"/>
          </w:tcPr>
          <w:p>
            <w:pPr>
              <w:jc w:val="center"/>
              <w:rPr>
                <w:rFonts w:ascii="Times New Roman" w:hAnsi="Times New Roman" w:eastAsia="宋体"/>
                <w:sz w:val="24"/>
                <w:szCs w:val="24"/>
                <w:highlight w:val="none"/>
              </w:rPr>
            </w:pPr>
            <w:r>
              <w:rPr>
                <w:rFonts w:ascii="Times New Roman" w:hAnsi="Times New Roman" w:eastAsia="宋体"/>
                <w:color w:val="000000"/>
                <w:sz w:val="24"/>
                <w:szCs w:val="24"/>
                <w:highlight w:val="none"/>
              </w:rPr>
              <w:t>《污水综合排放标准》（GB8978-1996）中的</w:t>
            </w:r>
            <w:r>
              <w:rPr>
                <w:rFonts w:hint="eastAsia" w:ascii="Times New Roman" w:hAnsi="Times New Roman" w:eastAsia="宋体"/>
                <w:color w:val="000000"/>
                <w:sz w:val="24"/>
                <w:szCs w:val="24"/>
                <w:highlight w:val="none"/>
                <w:lang w:val="en-US" w:eastAsia="zh-CN"/>
              </w:rPr>
              <w:t>一</w:t>
            </w:r>
            <w:r>
              <w:rPr>
                <w:rFonts w:ascii="Times New Roman" w:hAnsi="Times New Roman" w:eastAsia="宋体"/>
                <w:color w:val="000000"/>
                <w:sz w:val="24"/>
                <w:szCs w:val="24"/>
                <w:highlight w:val="none"/>
              </w:rPr>
              <w:t>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rPr>
            </w:pPr>
          </w:p>
        </w:tc>
        <w:tc>
          <w:tcPr>
            <w:tcW w:w="465" w:type="dxa"/>
            <w:vMerge w:val="restart"/>
            <w:tcBorders>
              <w:left w:val="single" w:color="auto" w:sz="4" w:space="0"/>
            </w:tcBorders>
            <w:noWrap w:val="0"/>
            <w:vAlign w:val="center"/>
          </w:tcPr>
          <w:p>
            <w:pPr>
              <w:spacing w:line="240" w:lineRule="atLeast"/>
              <w:jc w:val="center"/>
              <w:rPr>
                <w:rFonts w:ascii="Times New Roman" w:hAnsi="Times New Roman" w:eastAsia="宋体"/>
                <w:sz w:val="24"/>
                <w:szCs w:val="24"/>
              </w:rPr>
            </w:pPr>
            <w:r>
              <w:rPr>
                <w:rFonts w:ascii="Times New Roman" w:hAnsi="Times New Roman" w:eastAsia="宋体"/>
                <w:sz w:val="24"/>
                <w:szCs w:val="24"/>
              </w:rPr>
              <w:t>固体废物</w:t>
            </w:r>
          </w:p>
        </w:tc>
        <w:tc>
          <w:tcPr>
            <w:tcW w:w="1389" w:type="dxa"/>
            <w:vMerge w:val="restart"/>
            <w:noWrap w:val="0"/>
            <w:vAlign w:val="center"/>
          </w:tcPr>
          <w:p>
            <w:pPr>
              <w:spacing w:line="240" w:lineRule="atLeast"/>
              <w:jc w:val="center"/>
              <w:rPr>
                <w:rFonts w:ascii="Times New Roman" w:hAnsi="Times New Roman" w:eastAsia="宋体"/>
                <w:sz w:val="24"/>
                <w:szCs w:val="24"/>
              </w:rPr>
            </w:pPr>
            <w:r>
              <w:rPr>
                <w:rFonts w:ascii="Times New Roman" w:hAnsi="Times New Roman" w:eastAsia="宋体"/>
                <w:sz w:val="24"/>
                <w:szCs w:val="24"/>
              </w:rPr>
              <w:t>厂区</w:t>
            </w:r>
          </w:p>
        </w:tc>
        <w:tc>
          <w:tcPr>
            <w:tcW w:w="1632" w:type="dxa"/>
            <w:noWrap w:val="0"/>
            <w:vAlign w:val="center"/>
          </w:tcPr>
          <w:p>
            <w:pPr>
              <w:pStyle w:val="91"/>
              <w:spacing w:line="240" w:lineRule="atLeast"/>
              <w:ind w:firstLine="0" w:firstLineChars="0"/>
              <w:jc w:val="center"/>
              <w:rPr>
                <w:rFonts w:ascii="Times New Roman" w:hAnsi="Times New Roman" w:eastAsia="宋体"/>
                <w:color w:val="000000"/>
                <w:sz w:val="24"/>
                <w:szCs w:val="24"/>
              </w:rPr>
            </w:pPr>
            <w:r>
              <w:rPr>
                <w:rFonts w:ascii="Times New Roman" w:hAnsi="Times New Roman" w:eastAsia="宋体"/>
                <w:color w:val="000000"/>
                <w:sz w:val="24"/>
                <w:szCs w:val="24"/>
                <w:highlight w:val="none"/>
              </w:rPr>
              <w:t>布袋除尘器收集的粉尘</w:t>
            </w:r>
          </w:p>
        </w:tc>
        <w:tc>
          <w:tcPr>
            <w:tcW w:w="2874" w:type="dxa"/>
            <w:tcBorders>
              <w:top w:val="single" w:color="auto" w:sz="4" w:space="0"/>
            </w:tcBorders>
            <w:noWrap w:val="0"/>
            <w:vAlign w:val="center"/>
          </w:tcPr>
          <w:p>
            <w:pPr>
              <w:pStyle w:val="91"/>
              <w:spacing w:line="240" w:lineRule="atLeast"/>
              <w:ind w:firstLine="0" w:firstLineChars="0"/>
              <w:jc w:val="center"/>
              <w:rPr>
                <w:rFonts w:ascii="Times New Roman" w:hAnsi="Times New Roman" w:eastAsia="宋体"/>
                <w:color w:val="000000"/>
                <w:sz w:val="24"/>
                <w:szCs w:val="24"/>
              </w:rPr>
            </w:pPr>
            <w:r>
              <w:rPr>
                <w:rFonts w:hint="eastAsia" w:ascii="Times New Roman" w:hAnsi="Times New Roman" w:eastAsia="宋体"/>
                <w:color w:val="000000"/>
                <w:sz w:val="24"/>
                <w:szCs w:val="24"/>
                <w:highlight w:val="none"/>
                <w:lang w:val="en-US" w:eastAsia="zh-CN"/>
              </w:rPr>
              <w:t>回用于生产</w:t>
            </w:r>
          </w:p>
        </w:tc>
        <w:tc>
          <w:tcPr>
            <w:tcW w:w="2628" w:type="dxa"/>
            <w:vMerge w:val="restart"/>
            <w:tcBorders>
              <w:right w:val="single" w:color="auto" w:sz="4" w:space="0"/>
            </w:tcBorders>
            <w:noWrap w:val="0"/>
            <w:vAlign w:val="center"/>
          </w:tcPr>
          <w:p>
            <w:pPr>
              <w:spacing w:line="240" w:lineRule="atLeast"/>
              <w:jc w:val="center"/>
              <w:rPr>
                <w:rFonts w:ascii="Times New Roman" w:hAnsi="Times New Roman" w:eastAsia="宋体"/>
                <w:sz w:val="24"/>
                <w:szCs w:val="24"/>
                <w:highlight w:val="yellow"/>
              </w:rPr>
            </w:pPr>
            <w:r>
              <w:rPr>
                <w:rFonts w:ascii="Times New Roman" w:hAnsi="Times New Roman" w:eastAsia="宋体"/>
                <w:sz w:val="24"/>
                <w:szCs w:val="24"/>
              </w:rPr>
              <w:t>合理处置不对外环境产生影响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rPr>
            </w:pPr>
          </w:p>
        </w:tc>
        <w:tc>
          <w:tcPr>
            <w:tcW w:w="1389" w:type="dxa"/>
            <w:vMerge w:val="continue"/>
            <w:noWrap w:val="0"/>
            <w:vAlign w:val="center"/>
          </w:tcPr>
          <w:p>
            <w:pPr>
              <w:spacing w:line="240" w:lineRule="atLeast"/>
              <w:jc w:val="center"/>
              <w:rPr>
                <w:rFonts w:ascii="Times New Roman" w:hAnsi="Times New Roman" w:eastAsia="宋体"/>
                <w:sz w:val="24"/>
                <w:szCs w:val="24"/>
              </w:rPr>
            </w:pPr>
          </w:p>
        </w:tc>
        <w:tc>
          <w:tcPr>
            <w:tcW w:w="1632" w:type="dxa"/>
            <w:noWrap w:val="0"/>
            <w:vAlign w:val="center"/>
          </w:tcPr>
          <w:p>
            <w:pPr>
              <w:pStyle w:val="91"/>
              <w:spacing w:line="240" w:lineRule="atLeast"/>
              <w:ind w:firstLine="0" w:firstLineChars="0"/>
              <w:jc w:val="center"/>
              <w:rPr>
                <w:rFonts w:ascii="Times New Roman" w:hAnsi="Times New Roman" w:eastAsia="宋体"/>
                <w:color w:val="000000"/>
                <w:sz w:val="24"/>
                <w:szCs w:val="24"/>
              </w:rPr>
            </w:pPr>
            <w:r>
              <w:rPr>
                <w:rFonts w:hint="eastAsia" w:ascii="Times New Roman" w:hAnsi="Times New Roman" w:eastAsia="宋体"/>
                <w:color w:val="000000"/>
                <w:sz w:val="24"/>
                <w:szCs w:val="24"/>
                <w:highlight w:val="none"/>
              </w:rPr>
              <w:t>振动筛筛选出来的废渣</w:t>
            </w:r>
          </w:p>
        </w:tc>
        <w:tc>
          <w:tcPr>
            <w:tcW w:w="2874" w:type="dxa"/>
            <w:vMerge w:val="restart"/>
            <w:tcBorders>
              <w:top w:val="single" w:color="auto" w:sz="4" w:space="0"/>
            </w:tcBorders>
            <w:noWrap w:val="0"/>
            <w:vAlign w:val="center"/>
          </w:tcPr>
          <w:p>
            <w:pPr>
              <w:pStyle w:val="91"/>
              <w:spacing w:line="240" w:lineRule="atLeast"/>
              <w:ind w:firstLine="0" w:firstLineChars="0"/>
              <w:jc w:val="center"/>
              <w:rPr>
                <w:rFonts w:ascii="Times New Roman" w:hAnsi="Times New Roman" w:eastAsia="宋体"/>
                <w:color w:val="000000"/>
                <w:sz w:val="24"/>
                <w:szCs w:val="24"/>
              </w:rPr>
            </w:pPr>
            <w:r>
              <w:rPr>
                <w:rFonts w:hint="eastAsia" w:ascii="Times New Roman" w:hAnsi="Times New Roman" w:eastAsia="宋体"/>
                <w:color w:val="000000"/>
                <w:sz w:val="24"/>
                <w:szCs w:val="24"/>
                <w:highlight w:val="none"/>
                <w:lang w:val="en-US" w:eastAsia="zh-CN"/>
              </w:rPr>
              <w:t>物资单位处置</w:t>
            </w:r>
          </w:p>
        </w:tc>
        <w:tc>
          <w:tcPr>
            <w:tcW w:w="2628" w:type="dxa"/>
            <w:vMerge w:val="continue"/>
            <w:tcBorders>
              <w:right w:val="single" w:color="auto" w:sz="4" w:space="0"/>
            </w:tcBorders>
            <w:noWrap w:val="0"/>
            <w:vAlign w:val="center"/>
          </w:tcPr>
          <w:p>
            <w:pPr>
              <w:spacing w:line="240" w:lineRule="atLeast"/>
              <w:jc w:val="center"/>
              <w:rPr>
                <w:rFonts w:ascii="Times New Roman" w:hAnsi="Times New Roman"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rPr>
            </w:pPr>
          </w:p>
        </w:tc>
        <w:tc>
          <w:tcPr>
            <w:tcW w:w="1389" w:type="dxa"/>
            <w:vMerge w:val="continue"/>
            <w:noWrap w:val="0"/>
            <w:vAlign w:val="center"/>
          </w:tcPr>
          <w:p>
            <w:pPr>
              <w:spacing w:line="240" w:lineRule="atLeast"/>
              <w:jc w:val="center"/>
              <w:rPr>
                <w:rFonts w:ascii="Times New Roman" w:hAnsi="Times New Roman" w:eastAsia="宋体"/>
                <w:sz w:val="24"/>
                <w:szCs w:val="24"/>
              </w:rPr>
            </w:pPr>
          </w:p>
        </w:tc>
        <w:tc>
          <w:tcPr>
            <w:tcW w:w="1632" w:type="dxa"/>
            <w:noWrap w:val="0"/>
            <w:vAlign w:val="center"/>
          </w:tcPr>
          <w:p>
            <w:pPr>
              <w:pStyle w:val="91"/>
              <w:spacing w:line="240" w:lineRule="atLeast"/>
              <w:ind w:firstLine="0" w:firstLineChars="0"/>
              <w:jc w:val="center"/>
              <w:rPr>
                <w:rFonts w:ascii="Times New Roman" w:hAnsi="Times New Roman" w:eastAsia="宋体"/>
                <w:color w:val="000000"/>
                <w:sz w:val="24"/>
                <w:szCs w:val="24"/>
              </w:rPr>
            </w:pPr>
            <w:r>
              <w:rPr>
                <w:rFonts w:hint="eastAsia" w:ascii="Times New Roman" w:hAnsi="Times New Roman" w:eastAsia="宋体"/>
                <w:color w:val="000000"/>
                <w:sz w:val="24"/>
                <w:szCs w:val="24"/>
                <w:highlight w:val="none"/>
              </w:rPr>
              <w:t>成型过程中产生的废品</w:t>
            </w:r>
          </w:p>
        </w:tc>
        <w:tc>
          <w:tcPr>
            <w:tcW w:w="2874" w:type="dxa"/>
            <w:vMerge w:val="continue"/>
            <w:noWrap w:val="0"/>
            <w:vAlign w:val="center"/>
          </w:tcPr>
          <w:p>
            <w:pPr>
              <w:pStyle w:val="91"/>
              <w:spacing w:line="240" w:lineRule="atLeast"/>
              <w:ind w:firstLine="0" w:firstLineChars="0"/>
              <w:jc w:val="center"/>
              <w:rPr>
                <w:rFonts w:ascii="Times New Roman" w:hAnsi="Times New Roman" w:eastAsia="宋体"/>
                <w:color w:val="000000"/>
                <w:sz w:val="24"/>
                <w:szCs w:val="24"/>
              </w:rPr>
            </w:pPr>
          </w:p>
        </w:tc>
        <w:tc>
          <w:tcPr>
            <w:tcW w:w="2628" w:type="dxa"/>
            <w:vMerge w:val="continue"/>
            <w:tcBorders>
              <w:right w:val="single" w:color="auto" w:sz="4" w:space="0"/>
            </w:tcBorders>
            <w:noWrap w:val="0"/>
            <w:vAlign w:val="center"/>
          </w:tcPr>
          <w:p>
            <w:pPr>
              <w:spacing w:line="240" w:lineRule="atLeast"/>
              <w:jc w:val="center"/>
              <w:rPr>
                <w:rFonts w:ascii="Times New Roman" w:hAnsi="Times New Roman"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rPr>
            </w:pPr>
          </w:p>
        </w:tc>
        <w:tc>
          <w:tcPr>
            <w:tcW w:w="1389" w:type="dxa"/>
            <w:vMerge w:val="continue"/>
            <w:noWrap w:val="0"/>
            <w:vAlign w:val="center"/>
          </w:tcPr>
          <w:p>
            <w:pPr>
              <w:spacing w:line="240" w:lineRule="atLeast"/>
              <w:jc w:val="center"/>
              <w:rPr>
                <w:rFonts w:ascii="Times New Roman" w:hAnsi="Times New Roman" w:eastAsia="宋体"/>
                <w:sz w:val="24"/>
                <w:szCs w:val="24"/>
              </w:rPr>
            </w:pPr>
          </w:p>
        </w:tc>
        <w:tc>
          <w:tcPr>
            <w:tcW w:w="1632" w:type="dxa"/>
            <w:noWrap w:val="0"/>
            <w:vAlign w:val="center"/>
          </w:tcPr>
          <w:p>
            <w:pPr>
              <w:pStyle w:val="91"/>
              <w:spacing w:line="240" w:lineRule="atLeast"/>
              <w:ind w:firstLine="0" w:firstLineChars="0"/>
              <w:jc w:val="center"/>
              <w:rPr>
                <w:rFonts w:ascii="Times New Roman" w:hAnsi="Times New Roman" w:eastAsia="宋体"/>
                <w:color w:val="000000"/>
                <w:sz w:val="24"/>
                <w:szCs w:val="24"/>
              </w:rPr>
            </w:pPr>
            <w:r>
              <w:rPr>
                <w:rFonts w:hint="eastAsia" w:ascii="Times New Roman" w:hAnsi="Times New Roman" w:eastAsia="宋体"/>
                <w:color w:val="000000"/>
                <w:sz w:val="24"/>
                <w:szCs w:val="24"/>
                <w:highlight w:val="none"/>
              </w:rPr>
              <w:t>烧成过程中产生的废品</w:t>
            </w:r>
          </w:p>
        </w:tc>
        <w:tc>
          <w:tcPr>
            <w:tcW w:w="2874" w:type="dxa"/>
            <w:vMerge w:val="continue"/>
            <w:noWrap w:val="0"/>
            <w:vAlign w:val="center"/>
          </w:tcPr>
          <w:p>
            <w:pPr>
              <w:pStyle w:val="91"/>
              <w:spacing w:line="240" w:lineRule="atLeast"/>
              <w:ind w:firstLine="0" w:firstLineChars="0"/>
              <w:jc w:val="center"/>
              <w:rPr>
                <w:rFonts w:ascii="Times New Roman" w:hAnsi="Times New Roman" w:eastAsia="宋体"/>
                <w:color w:val="000000"/>
                <w:sz w:val="24"/>
                <w:szCs w:val="24"/>
              </w:rPr>
            </w:pPr>
          </w:p>
        </w:tc>
        <w:tc>
          <w:tcPr>
            <w:tcW w:w="2628" w:type="dxa"/>
            <w:vMerge w:val="continue"/>
            <w:tcBorders>
              <w:right w:val="single" w:color="auto" w:sz="4" w:space="0"/>
            </w:tcBorders>
            <w:noWrap w:val="0"/>
            <w:vAlign w:val="center"/>
          </w:tcPr>
          <w:p>
            <w:pPr>
              <w:spacing w:line="240" w:lineRule="atLeast"/>
              <w:jc w:val="center"/>
              <w:rPr>
                <w:rFonts w:ascii="Times New Roman" w:hAnsi="Times New Roman"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rPr>
            </w:pPr>
          </w:p>
        </w:tc>
        <w:tc>
          <w:tcPr>
            <w:tcW w:w="1389" w:type="dxa"/>
            <w:vMerge w:val="continue"/>
            <w:noWrap w:val="0"/>
            <w:vAlign w:val="center"/>
          </w:tcPr>
          <w:p>
            <w:pPr>
              <w:spacing w:line="240" w:lineRule="atLeast"/>
              <w:jc w:val="center"/>
              <w:rPr>
                <w:rFonts w:ascii="Times New Roman" w:hAnsi="Times New Roman" w:eastAsia="宋体"/>
                <w:sz w:val="24"/>
                <w:szCs w:val="24"/>
              </w:rPr>
            </w:pPr>
          </w:p>
        </w:tc>
        <w:tc>
          <w:tcPr>
            <w:tcW w:w="1632" w:type="dxa"/>
            <w:noWrap w:val="0"/>
            <w:vAlign w:val="center"/>
          </w:tcPr>
          <w:p>
            <w:pPr>
              <w:pStyle w:val="91"/>
              <w:spacing w:line="240" w:lineRule="atLeast"/>
              <w:ind w:firstLine="0" w:firstLineChars="0"/>
              <w:jc w:val="center"/>
              <w:rPr>
                <w:rFonts w:ascii="Times New Roman" w:hAnsi="Times New Roman" w:eastAsia="宋体"/>
                <w:color w:val="000000"/>
                <w:sz w:val="24"/>
                <w:szCs w:val="24"/>
                <w:lang w:eastAsia="en-US"/>
              </w:rPr>
            </w:pPr>
            <w:r>
              <w:rPr>
                <w:rFonts w:hint="eastAsia" w:ascii="Times New Roman" w:hAnsi="Times New Roman" w:eastAsia="宋体"/>
                <w:color w:val="000000"/>
                <w:sz w:val="24"/>
                <w:szCs w:val="24"/>
                <w:highlight w:val="none"/>
              </w:rPr>
              <w:t>磁选机筛选出来的废渣</w:t>
            </w:r>
          </w:p>
        </w:tc>
        <w:tc>
          <w:tcPr>
            <w:tcW w:w="2874" w:type="dxa"/>
            <w:vMerge w:val="continue"/>
            <w:noWrap w:val="0"/>
            <w:vAlign w:val="center"/>
          </w:tcPr>
          <w:p>
            <w:pPr>
              <w:pStyle w:val="91"/>
              <w:spacing w:line="240" w:lineRule="atLeast"/>
              <w:ind w:firstLine="0" w:firstLineChars="0"/>
              <w:jc w:val="center"/>
              <w:rPr>
                <w:rFonts w:ascii="Times New Roman" w:hAnsi="Times New Roman" w:eastAsia="宋体"/>
                <w:color w:val="000000"/>
                <w:sz w:val="24"/>
                <w:szCs w:val="24"/>
              </w:rPr>
            </w:pPr>
          </w:p>
        </w:tc>
        <w:tc>
          <w:tcPr>
            <w:tcW w:w="2628" w:type="dxa"/>
            <w:vMerge w:val="continue"/>
            <w:tcBorders>
              <w:right w:val="single" w:color="auto" w:sz="4" w:space="0"/>
            </w:tcBorders>
            <w:noWrap w:val="0"/>
            <w:vAlign w:val="center"/>
          </w:tcPr>
          <w:p>
            <w:pPr>
              <w:spacing w:line="240" w:lineRule="atLeast"/>
              <w:jc w:val="center"/>
              <w:rPr>
                <w:rFonts w:ascii="Times New Roman" w:hAnsi="Times New Roman"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eastAsia="宋体"/>
                <w:sz w:val="24"/>
                <w:szCs w:val="24"/>
              </w:rPr>
            </w:pPr>
          </w:p>
        </w:tc>
        <w:tc>
          <w:tcPr>
            <w:tcW w:w="1389" w:type="dxa"/>
            <w:vMerge w:val="continue"/>
            <w:noWrap w:val="0"/>
            <w:vAlign w:val="center"/>
          </w:tcPr>
          <w:p>
            <w:pPr>
              <w:spacing w:line="240" w:lineRule="atLeast"/>
              <w:jc w:val="center"/>
              <w:rPr>
                <w:rFonts w:ascii="Times New Roman" w:hAnsi="Times New Roman" w:eastAsia="宋体"/>
                <w:sz w:val="24"/>
                <w:szCs w:val="24"/>
              </w:rPr>
            </w:pPr>
          </w:p>
        </w:tc>
        <w:tc>
          <w:tcPr>
            <w:tcW w:w="1632" w:type="dxa"/>
            <w:noWrap w:val="0"/>
            <w:vAlign w:val="center"/>
          </w:tcPr>
          <w:p>
            <w:pPr>
              <w:pStyle w:val="91"/>
              <w:spacing w:line="240" w:lineRule="atLeast"/>
              <w:ind w:firstLine="0" w:firstLineChars="0"/>
              <w:jc w:val="center"/>
              <w:rPr>
                <w:rFonts w:ascii="Times New Roman" w:hAnsi="Times New Roman" w:eastAsia="宋体"/>
                <w:color w:val="000000"/>
                <w:sz w:val="24"/>
                <w:szCs w:val="24"/>
              </w:rPr>
            </w:pPr>
            <w:r>
              <w:rPr>
                <w:rFonts w:ascii="Times New Roman" w:hAnsi="Times New Roman" w:eastAsia="宋体"/>
                <w:color w:val="000000"/>
                <w:sz w:val="24"/>
                <w:szCs w:val="24"/>
                <w:highlight w:val="none"/>
                <w:lang w:eastAsia="en-US"/>
              </w:rPr>
              <w:t>生活垃圾</w:t>
            </w:r>
          </w:p>
        </w:tc>
        <w:tc>
          <w:tcPr>
            <w:tcW w:w="2874" w:type="dxa"/>
            <w:tcBorders>
              <w:top w:val="single" w:color="auto" w:sz="4" w:space="0"/>
            </w:tcBorders>
            <w:noWrap w:val="0"/>
            <w:vAlign w:val="center"/>
          </w:tcPr>
          <w:p>
            <w:pPr>
              <w:pStyle w:val="91"/>
              <w:spacing w:line="240" w:lineRule="atLeast"/>
              <w:ind w:firstLine="0" w:firstLineChars="0"/>
              <w:jc w:val="center"/>
              <w:rPr>
                <w:rFonts w:ascii="Times New Roman" w:hAnsi="Times New Roman" w:eastAsia="宋体"/>
                <w:color w:val="000000"/>
                <w:sz w:val="24"/>
                <w:szCs w:val="24"/>
              </w:rPr>
            </w:pPr>
            <w:r>
              <w:rPr>
                <w:rFonts w:ascii="Times New Roman" w:hAnsi="Times New Roman" w:eastAsia="宋体"/>
                <w:color w:val="000000"/>
                <w:sz w:val="24"/>
                <w:szCs w:val="24"/>
                <w:highlight w:val="none"/>
              </w:rPr>
              <w:t>由</w:t>
            </w:r>
            <w:r>
              <w:rPr>
                <w:rFonts w:ascii="Times New Roman" w:hAnsi="Times New Roman" w:eastAsia="宋体"/>
                <w:color w:val="000000"/>
                <w:sz w:val="24"/>
                <w:szCs w:val="24"/>
                <w:highlight w:val="none"/>
                <w:lang w:eastAsia="en-US"/>
              </w:rPr>
              <w:t>环卫部门处置</w:t>
            </w:r>
          </w:p>
        </w:tc>
        <w:tc>
          <w:tcPr>
            <w:tcW w:w="2628" w:type="dxa"/>
            <w:vMerge w:val="continue"/>
            <w:tcBorders>
              <w:right w:val="single" w:color="auto" w:sz="4" w:space="0"/>
            </w:tcBorders>
            <w:noWrap w:val="0"/>
            <w:vAlign w:val="center"/>
          </w:tcPr>
          <w:p>
            <w:pPr>
              <w:spacing w:line="240" w:lineRule="atLeast"/>
              <w:jc w:val="center"/>
              <w:rPr>
                <w:rFonts w:ascii="Times New Roman" w:hAnsi="Times New Roman"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2" w:hRule="atLeast"/>
          <w:jc w:val="center"/>
        </w:trPr>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eastAsia="宋体"/>
                <w:sz w:val="24"/>
                <w:szCs w:val="24"/>
              </w:rPr>
            </w:pPr>
            <w:r>
              <w:rPr>
                <w:rFonts w:ascii="Times New Roman" w:hAnsi="Times New Roman" w:eastAsia="宋体"/>
                <w:sz w:val="24"/>
                <w:szCs w:val="24"/>
              </w:rPr>
              <w:t>噪</w:t>
            </w:r>
          </w:p>
          <w:p>
            <w:pPr>
              <w:spacing w:line="240" w:lineRule="atLeast"/>
              <w:jc w:val="center"/>
              <w:rPr>
                <w:rFonts w:ascii="Times New Roman" w:hAnsi="Times New Roman" w:eastAsia="宋体"/>
                <w:sz w:val="24"/>
                <w:szCs w:val="24"/>
              </w:rPr>
            </w:pPr>
            <w:r>
              <w:rPr>
                <w:rFonts w:ascii="Times New Roman" w:hAnsi="Times New Roman" w:eastAsia="宋体"/>
                <w:sz w:val="24"/>
                <w:szCs w:val="24"/>
              </w:rPr>
              <w:t>声</w:t>
            </w:r>
          </w:p>
        </w:tc>
        <w:tc>
          <w:tcPr>
            <w:tcW w:w="8523"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atLeast"/>
              <w:ind w:firstLine="480" w:firstLineChars="200"/>
              <w:rPr>
                <w:rFonts w:ascii="Times New Roman" w:hAnsi="Times New Roman" w:eastAsia="宋体"/>
                <w:sz w:val="24"/>
                <w:szCs w:val="24"/>
              </w:rPr>
            </w:pPr>
            <w:r>
              <w:rPr>
                <w:rFonts w:ascii="Times New Roman" w:hAnsi="Times New Roman" w:eastAsia="宋体"/>
                <w:sz w:val="24"/>
                <w:szCs w:val="24"/>
              </w:rPr>
              <w:t>营运期项目厂界噪声可满足《工业企业厂界环境噪声排放标准》（GB12348-2008）中的3类区标准要求。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2" w:hRule="atLeast"/>
          <w:jc w:val="center"/>
        </w:trPr>
        <w:tc>
          <w:tcPr>
            <w:tcW w:w="9373"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atLeast"/>
              <w:rPr>
                <w:rFonts w:ascii="Times New Roman" w:hAnsi="Times New Roman" w:eastAsia="宋体"/>
                <w:sz w:val="24"/>
                <w:szCs w:val="24"/>
              </w:rPr>
            </w:pPr>
            <w:r>
              <w:rPr>
                <w:rFonts w:ascii="Times New Roman" w:hAnsi="Times New Roman" w:eastAsia="宋体"/>
                <w:sz w:val="24"/>
                <w:szCs w:val="24"/>
              </w:rPr>
              <w:t>生态保护措施及预期效果：</w:t>
            </w:r>
          </w:p>
          <w:p>
            <w:pPr>
              <w:spacing w:line="240" w:lineRule="atLeast"/>
              <w:ind w:firstLine="480" w:firstLineChars="200"/>
              <w:rPr>
                <w:rFonts w:ascii="Times New Roman" w:hAnsi="Times New Roman" w:eastAsia="宋体"/>
                <w:sz w:val="24"/>
                <w:szCs w:val="24"/>
              </w:rPr>
            </w:pPr>
            <w:r>
              <w:rPr>
                <w:rFonts w:ascii="Times New Roman" w:hAnsi="Times New Roman" w:eastAsia="宋体"/>
                <w:sz w:val="24"/>
                <w:szCs w:val="24"/>
              </w:rPr>
              <w:t>在项目正式运营之后，对项目内产生的各种污染物均采取了相关的措施进行处置，对外界环境影响较小，不会改变项目区的环境功能。</w:t>
            </w:r>
          </w:p>
        </w:tc>
      </w:tr>
    </w:tbl>
    <w:p>
      <w:pPr>
        <w:pStyle w:val="3"/>
        <w:rPr>
          <w:rFonts w:hint="eastAsia" w:ascii="Times New Roman" w:hAnsi="Times New Roman" w:eastAsia="宋体"/>
        </w:rPr>
      </w:pPr>
      <w:r>
        <w:rPr>
          <w:rFonts w:ascii="Times New Roman" w:hAnsi="Times New Roman" w:eastAsia="宋体"/>
          <w:color w:val="000000"/>
          <w:sz w:val="28"/>
          <w:highlight w:val="yellow"/>
        </w:rPr>
        <w:br w:type="page"/>
      </w:r>
      <w:r>
        <w:rPr>
          <w:rFonts w:hint="eastAsia" w:ascii="Times New Roman" w:hAnsi="Times New Roman" w:eastAsia="宋体"/>
          <w:color w:val="000000"/>
          <w:sz w:val="28"/>
          <w:highlight w:val="none"/>
          <w:lang w:eastAsia="zh-CN"/>
        </w:rPr>
        <w:t>九、</w:t>
      </w:r>
      <w:r>
        <w:rPr>
          <w:rFonts w:ascii="Times New Roman" w:hAnsi="Times New Roman" w:eastAsia="宋体"/>
          <w:highlight w:val="none"/>
        </w:rPr>
        <w:t>结论与建议</w:t>
      </w:r>
    </w:p>
    <w:tbl>
      <w:tblPr>
        <w:tblStyle w:val="2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094" w:hRule="atLeast"/>
          <w:jc w:val="center"/>
        </w:trPr>
        <w:tc>
          <w:tcPr>
            <w:tcW w:w="9373"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b/>
                <w:color w:val="000000"/>
                <w:szCs w:val="28"/>
              </w:rPr>
            </w:pPr>
            <w:r>
              <w:rPr>
                <w:rFonts w:ascii="Times New Roman" w:hAnsi="Times New Roman" w:eastAsia="宋体"/>
                <w:b/>
                <w:color w:val="000000"/>
                <w:szCs w:val="28"/>
              </w:rPr>
              <w:t>一、评价结论</w:t>
            </w:r>
          </w:p>
          <w:p>
            <w:pPr>
              <w:spacing w:line="460" w:lineRule="exact"/>
              <w:ind w:firstLine="482" w:firstLineChars="200"/>
              <w:rPr>
                <w:rFonts w:ascii="Times New Roman" w:hAnsi="Times New Roman" w:eastAsia="宋体"/>
                <w:b/>
                <w:color w:val="000000"/>
                <w:sz w:val="24"/>
              </w:rPr>
            </w:pPr>
            <w:r>
              <w:rPr>
                <w:rFonts w:ascii="Times New Roman" w:hAnsi="Times New Roman" w:eastAsia="宋体"/>
                <w:b/>
                <w:color w:val="000000"/>
                <w:sz w:val="24"/>
              </w:rPr>
              <w:t>1、项目概况</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480" w:firstLineChars="200"/>
              <w:textAlignment w:val="auto"/>
              <w:rPr>
                <w:rFonts w:hint="eastAsia" w:ascii="Times New Roman" w:hAnsi="Times New Roman" w:eastAsia="宋体" w:cs="Times New Roman"/>
                <w:color w:val="auto"/>
                <w:sz w:val="24"/>
                <w:lang w:eastAsia="zh-CN"/>
              </w:rPr>
            </w:pPr>
            <w:r>
              <w:rPr>
                <w:rFonts w:hint="default" w:ascii="Times New Roman" w:hAnsi="Times New Roman" w:eastAsia="宋体" w:cs="Times New Roman"/>
                <w:color w:val="auto"/>
                <w:sz w:val="24"/>
              </w:rPr>
              <w:t>安徽海螺暹罗耐火材料有限公司位于安徽省芜湖市弋江区，总占地128亩，距离芜湖市中心约11公里，距205国道约200米。规划年产15万吨耐火材料，统一规划，分步实施。一期工程规划2条碱性耐火砖生产线，生产规模为5万吨/年，于2012年9月份建成投产；二期生产产品为高铝耐火砖，</w:t>
            </w:r>
            <w:r>
              <w:rPr>
                <w:rFonts w:hint="eastAsia" w:ascii="Times New Roman" w:hAnsi="Times New Roman" w:eastAsia="宋体" w:cs="Times New Roman"/>
                <w:color w:val="auto"/>
                <w:sz w:val="24"/>
                <w:lang w:eastAsia="zh-CN"/>
              </w:rPr>
              <w:t>扩建产能为年产5万吨高铝耐火材料生产线。</w:t>
            </w:r>
          </w:p>
          <w:p>
            <w:pPr>
              <w:spacing w:line="460" w:lineRule="exact"/>
              <w:ind w:firstLine="482" w:firstLineChars="200"/>
              <w:rPr>
                <w:rFonts w:ascii="Times New Roman" w:hAnsi="Times New Roman" w:eastAsia="宋体"/>
                <w:b/>
                <w:color w:val="000000"/>
                <w:sz w:val="24"/>
              </w:rPr>
            </w:pPr>
            <w:r>
              <w:rPr>
                <w:rFonts w:ascii="Times New Roman" w:hAnsi="Times New Roman" w:eastAsia="宋体"/>
                <w:b/>
                <w:color w:val="000000"/>
                <w:sz w:val="24"/>
              </w:rPr>
              <w:t>2、产业政策符合性</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建设项目行业类别为</w:t>
            </w:r>
            <w:r>
              <w:rPr>
                <w:rFonts w:hint="eastAsia" w:ascii="Times New Roman" w:hAnsi="Times New Roman" w:eastAsia="宋体"/>
                <w:color w:val="000000"/>
                <w:sz w:val="24"/>
              </w:rPr>
              <w:t>C3089耐火陶瓷制品及其他耐火材料制造</w:t>
            </w:r>
            <w:r>
              <w:rPr>
                <w:rFonts w:ascii="Times New Roman" w:hAnsi="Times New Roman" w:eastAsia="宋体"/>
                <w:color w:val="000000"/>
                <w:sz w:val="24"/>
              </w:rPr>
              <w:t>，对照《产业结构调整指导目录》（2019年本）的有关条款的决定，本项目不在现行产业政策中规定的限制和淘汰类建设项目之列，不在鼓励建设项目之列，视为允许项目，符合国家的产业政策；对照《安徽省工业产业结构调整指导目录》（2007年本），本项目不属于安徽省规定的鼓励类、淘汰类之列，应视为允许类之列。</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该项目已经</w:t>
            </w:r>
            <w:r>
              <w:rPr>
                <w:rFonts w:hint="eastAsia" w:ascii="Times New Roman" w:hAnsi="Times New Roman" w:eastAsia="宋体"/>
                <w:color w:val="000000"/>
                <w:sz w:val="24"/>
                <w:lang w:val="en-US" w:eastAsia="zh-CN"/>
              </w:rPr>
              <w:t>于</w:t>
            </w:r>
            <w:r>
              <w:rPr>
                <w:rFonts w:hint="eastAsia" w:ascii="Times New Roman" w:hAnsi="Times New Roman" w:eastAsia="宋体" w:cs="Times New Roman"/>
                <w:color w:val="auto"/>
                <w:kern w:val="2"/>
                <w:sz w:val="24"/>
                <w:szCs w:val="22"/>
                <w:lang w:val="en-US" w:eastAsia="zh-CN" w:bidi="ar-SA"/>
              </w:rPr>
              <w:t>20</w:t>
            </w:r>
            <w:r>
              <w:rPr>
                <w:rFonts w:hint="eastAsia" w:cs="Times New Roman"/>
                <w:color w:val="auto"/>
                <w:kern w:val="2"/>
                <w:sz w:val="24"/>
                <w:szCs w:val="22"/>
                <w:lang w:val="en-US" w:eastAsia="zh-CN" w:bidi="ar-SA"/>
              </w:rPr>
              <w:t>20</w:t>
            </w:r>
            <w:r>
              <w:rPr>
                <w:rFonts w:hint="eastAsia" w:ascii="Times New Roman" w:hAnsi="Times New Roman" w:eastAsia="宋体" w:cs="Times New Roman"/>
                <w:color w:val="auto"/>
                <w:kern w:val="2"/>
                <w:sz w:val="24"/>
                <w:szCs w:val="22"/>
                <w:lang w:val="en-US" w:eastAsia="zh-CN" w:bidi="ar-SA"/>
              </w:rPr>
              <w:t>年</w:t>
            </w:r>
            <w:r>
              <w:rPr>
                <w:rFonts w:hint="eastAsia" w:cs="Times New Roman"/>
                <w:color w:val="auto"/>
                <w:kern w:val="2"/>
                <w:sz w:val="24"/>
                <w:szCs w:val="22"/>
                <w:lang w:val="en-US" w:eastAsia="zh-CN" w:bidi="ar-SA"/>
              </w:rPr>
              <w:t>8</w:t>
            </w:r>
            <w:r>
              <w:rPr>
                <w:rFonts w:hint="eastAsia" w:ascii="Times New Roman" w:hAnsi="Times New Roman" w:eastAsia="宋体" w:cs="Times New Roman"/>
                <w:color w:val="auto"/>
                <w:kern w:val="2"/>
                <w:sz w:val="24"/>
                <w:szCs w:val="22"/>
                <w:lang w:val="en-US" w:eastAsia="zh-CN" w:bidi="ar-SA"/>
              </w:rPr>
              <w:t>月</w:t>
            </w:r>
            <w:r>
              <w:rPr>
                <w:rFonts w:hint="eastAsia" w:cs="Times New Roman"/>
                <w:color w:val="auto"/>
                <w:kern w:val="2"/>
                <w:sz w:val="24"/>
                <w:szCs w:val="22"/>
                <w:lang w:val="en-US" w:eastAsia="zh-CN" w:bidi="ar-SA"/>
              </w:rPr>
              <w:t>12</w:t>
            </w:r>
            <w:r>
              <w:rPr>
                <w:rFonts w:hint="eastAsia" w:ascii="Times New Roman" w:hAnsi="Times New Roman" w:eastAsia="宋体" w:cs="Times New Roman"/>
                <w:color w:val="auto"/>
                <w:kern w:val="2"/>
                <w:sz w:val="24"/>
                <w:szCs w:val="22"/>
                <w:lang w:val="en-US" w:eastAsia="zh-CN" w:bidi="ar-SA"/>
              </w:rPr>
              <w:t>日获得芜湖市弋江区发展和改革委员会关于本项目备案的通知</w:t>
            </w:r>
            <w:r>
              <w:rPr>
                <w:rFonts w:ascii="Times New Roman" w:hAnsi="Times New Roman" w:eastAsia="宋体"/>
                <w:color w:val="000000"/>
                <w:sz w:val="24"/>
              </w:rPr>
              <w:t>。</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因此本项目符合国家和安徽相关产业政策。</w:t>
            </w:r>
          </w:p>
          <w:p>
            <w:pPr>
              <w:spacing w:line="460" w:lineRule="exact"/>
              <w:ind w:firstLine="482" w:firstLineChars="200"/>
              <w:rPr>
                <w:rFonts w:ascii="Times New Roman" w:hAnsi="Times New Roman" w:eastAsia="宋体"/>
                <w:b/>
                <w:color w:val="000000"/>
                <w:sz w:val="24"/>
              </w:rPr>
            </w:pPr>
            <w:r>
              <w:rPr>
                <w:rFonts w:ascii="Times New Roman" w:hAnsi="Times New Roman" w:eastAsia="宋体"/>
                <w:b/>
                <w:color w:val="000000"/>
                <w:sz w:val="24"/>
              </w:rPr>
              <w:t>3、规划选址相容性</w:t>
            </w:r>
          </w:p>
          <w:p>
            <w:pPr>
              <w:pStyle w:val="10"/>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本项目位于</w:t>
            </w:r>
            <w:r>
              <w:rPr>
                <w:rFonts w:hint="eastAsia" w:ascii="Times New Roman" w:hAnsi="Times New Roman" w:eastAsia="宋体"/>
                <w:sz w:val="24"/>
                <w:szCs w:val="24"/>
                <w:lang w:val="en-US" w:eastAsia="zh-CN"/>
              </w:rPr>
              <w:t>安徽省芜湖市弋江区火龙岗街道永胜四联村</w:t>
            </w:r>
            <w:r>
              <w:rPr>
                <w:rFonts w:ascii="Times New Roman" w:hAnsi="Times New Roman" w:eastAsia="宋体"/>
                <w:color w:val="000000"/>
                <w:sz w:val="24"/>
              </w:rPr>
              <w:t>，本项目不在生态保护红线范围内，项目建成后未改变区域环境质量底线，其水、电、能源等利用未突破资源利用上线；本项目的建设符合“三线一单”要求。</w:t>
            </w:r>
          </w:p>
          <w:p>
            <w:pPr>
              <w:pStyle w:val="10"/>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综上所述，本项目建设符合国家和地方产业政策的要求，选址合理。</w:t>
            </w:r>
          </w:p>
          <w:p>
            <w:pPr>
              <w:spacing w:line="460" w:lineRule="exact"/>
              <w:ind w:firstLine="482" w:firstLineChars="200"/>
              <w:rPr>
                <w:rFonts w:ascii="Times New Roman" w:hAnsi="Times New Roman" w:eastAsia="宋体"/>
                <w:b/>
                <w:color w:val="000000"/>
                <w:sz w:val="24"/>
              </w:rPr>
            </w:pPr>
            <w:r>
              <w:rPr>
                <w:rFonts w:ascii="Times New Roman" w:hAnsi="Times New Roman" w:eastAsia="宋体"/>
                <w:b/>
                <w:color w:val="000000"/>
                <w:sz w:val="24"/>
              </w:rPr>
              <w:t>4、环境质量现状</w:t>
            </w:r>
          </w:p>
          <w:p>
            <w:pPr>
              <w:spacing w:line="460" w:lineRule="exact"/>
              <w:ind w:firstLine="480" w:firstLineChars="200"/>
              <w:rPr>
                <w:rFonts w:hint="eastAsia" w:ascii="Times New Roman" w:hAnsi="Times New Roman" w:eastAsia="宋体"/>
                <w:color w:val="000000"/>
                <w:sz w:val="24"/>
                <w:lang w:eastAsia="zh-CN"/>
              </w:rPr>
            </w:pPr>
            <w:r>
              <w:rPr>
                <w:rFonts w:ascii="Times New Roman" w:hAnsi="Times New Roman" w:eastAsia="宋体"/>
                <w:color w:val="000000"/>
                <w:sz w:val="24"/>
              </w:rPr>
              <w:t>根据芜湖市</w:t>
            </w:r>
            <w:r>
              <w:rPr>
                <w:rFonts w:hint="eastAsia" w:ascii="Times New Roman" w:hAnsi="Times New Roman" w:eastAsia="宋体"/>
                <w:color w:val="000000"/>
                <w:sz w:val="24"/>
              </w:rPr>
              <w:t>生态环境</w:t>
            </w:r>
            <w:r>
              <w:rPr>
                <w:rFonts w:ascii="Times New Roman" w:hAnsi="Times New Roman" w:eastAsia="宋体"/>
                <w:color w:val="000000"/>
                <w:sz w:val="24"/>
              </w:rPr>
              <w:t>局网站公布的《2019年芜湖市环境状况公报》，项目所在区域属于不达标区，项目建设区空气中</w:t>
            </w:r>
            <w:r>
              <w:rPr>
                <w:rFonts w:hint="eastAsia" w:ascii="Times New Roman" w:hAnsi="Times New Roman" w:eastAsia="宋体"/>
                <w:color w:val="000000"/>
                <w:sz w:val="24"/>
                <w:lang w:val="en-US" w:eastAsia="zh-CN"/>
              </w:rPr>
              <w:t>CO</w:t>
            </w:r>
            <w:r>
              <w:rPr>
                <w:rFonts w:hint="eastAsia" w:ascii="Times New Roman" w:hAnsi="Times New Roman" w:eastAsia="宋体"/>
                <w:color w:val="000000"/>
                <w:sz w:val="24"/>
              </w:rPr>
              <w:t>、P</w:t>
            </w:r>
            <w:r>
              <w:rPr>
                <w:rFonts w:ascii="Times New Roman" w:hAnsi="Times New Roman" w:eastAsia="宋体"/>
                <w:color w:val="000000"/>
                <w:sz w:val="24"/>
              </w:rPr>
              <w:t>M</w:t>
            </w:r>
            <w:r>
              <w:rPr>
                <w:rFonts w:ascii="Times New Roman" w:hAnsi="Times New Roman" w:eastAsia="宋体"/>
                <w:color w:val="000000"/>
                <w:sz w:val="24"/>
                <w:vertAlign w:val="subscript"/>
              </w:rPr>
              <w:t>10</w:t>
            </w:r>
            <w:r>
              <w:rPr>
                <w:rFonts w:hint="eastAsia" w:ascii="Times New Roman" w:hAnsi="Times New Roman" w:eastAsia="宋体"/>
                <w:color w:val="000000"/>
                <w:sz w:val="24"/>
              </w:rPr>
              <w:t>、S</w:t>
            </w:r>
            <w:r>
              <w:rPr>
                <w:rFonts w:ascii="Times New Roman" w:hAnsi="Times New Roman" w:eastAsia="宋体"/>
                <w:color w:val="000000"/>
                <w:sz w:val="24"/>
              </w:rPr>
              <w:t>O排放满足《环境空气质量标准》（GB3095-2012）二级标准要求，地表水环境满足《地表水环境质量标准》（GB3838-2002）中Ⅲ类水质标准要求；各厂界声环境质量达到《声环境质量标准》（GB3096-2008）3类标准要求</w:t>
            </w:r>
            <w:r>
              <w:rPr>
                <w:rFonts w:hint="eastAsia" w:ascii="Times New Roman" w:hAnsi="Times New Roman" w:eastAsia="宋体"/>
                <w:color w:val="000000"/>
                <w:sz w:val="24"/>
                <w:lang w:eastAsia="zh-CN"/>
              </w:rPr>
              <w:t>。</w:t>
            </w:r>
          </w:p>
          <w:p>
            <w:pPr>
              <w:spacing w:line="460" w:lineRule="exact"/>
              <w:ind w:firstLine="482" w:firstLineChars="200"/>
              <w:rPr>
                <w:rFonts w:ascii="Times New Roman" w:hAnsi="Times New Roman" w:eastAsia="宋体"/>
                <w:b/>
                <w:color w:val="000000"/>
                <w:sz w:val="24"/>
              </w:rPr>
            </w:pPr>
            <w:r>
              <w:rPr>
                <w:rFonts w:ascii="Times New Roman" w:hAnsi="Times New Roman" w:eastAsia="宋体"/>
                <w:b/>
                <w:color w:val="000000"/>
                <w:sz w:val="24"/>
              </w:rPr>
              <w:t>5、环境影响评价结论</w:t>
            </w:r>
          </w:p>
          <w:p>
            <w:pPr>
              <w:pStyle w:val="84"/>
              <w:spacing w:line="460" w:lineRule="exact"/>
              <w:ind w:firstLine="440" w:firstLineChars="200"/>
              <w:jc w:val="both"/>
              <w:rPr>
                <w:rFonts w:ascii="Times New Roman" w:hAnsi="Times New Roman" w:eastAsia="宋体"/>
                <w:color w:val="000000"/>
                <w:sz w:val="24"/>
                <w:szCs w:val="24"/>
              </w:rPr>
            </w:pPr>
            <w:r>
              <w:rPr>
                <w:rFonts w:ascii="Times New Roman" w:hAnsi="Times New Roman" w:eastAsia="宋体"/>
                <w:color w:val="000000"/>
                <w:sz w:val="24"/>
                <w:szCs w:val="24"/>
              </w:rPr>
              <w:t>（1）废气</w:t>
            </w:r>
          </w:p>
          <w:p>
            <w:pPr>
              <w:adjustRightInd w:val="0"/>
              <w:spacing w:line="360" w:lineRule="auto"/>
              <w:ind w:firstLine="480"/>
              <w:rPr>
                <w:rFonts w:hint="default" w:ascii="Times New Roman" w:hAnsi="Times New Roman" w:eastAsia="宋体"/>
                <w:color w:val="000000"/>
                <w:sz w:val="24"/>
                <w:lang w:val="en-US" w:eastAsia="zh-CN"/>
              </w:rPr>
            </w:pPr>
            <w:r>
              <w:rPr>
                <w:rFonts w:hint="eastAsia" w:ascii="Times New Roman" w:hAnsi="Times New Roman" w:eastAsia="宋体"/>
                <w:color w:val="000000"/>
                <w:sz w:val="24"/>
                <w:lang w:val="en-US" w:eastAsia="zh-CN"/>
              </w:rPr>
              <w:t>本项目</w:t>
            </w:r>
            <w:r>
              <w:rPr>
                <w:rFonts w:ascii="Times New Roman" w:hAnsi="Times New Roman" w:eastAsia="宋体"/>
                <w:color w:val="000000"/>
                <w:sz w:val="24"/>
              </w:rPr>
              <w:t>颗粒物</w:t>
            </w:r>
            <w:r>
              <w:rPr>
                <w:rFonts w:hint="eastAsia" w:ascii="Times New Roman" w:hAnsi="Times New Roman" w:eastAsia="宋体"/>
                <w:color w:val="000000"/>
                <w:sz w:val="24"/>
                <w:lang w:eastAsia="zh-CN"/>
              </w:rPr>
              <w:t>、</w:t>
            </w:r>
            <w:r>
              <w:rPr>
                <w:rFonts w:hint="eastAsia" w:ascii="Times New Roman" w:hAnsi="Times New Roman" w:eastAsia="宋体"/>
                <w:color w:val="000000"/>
                <w:sz w:val="24"/>
                <w:lang w:val="en-US" w:eastAsia="zh-CN"/>
              </w:rPr>
              <w:t>二氧化硫、氮氧化物</w:t>
            </w:r>
            <w:r>
              <w:rPr>
                <w:rFonts w:ascii="Times New Roman" w:hAnsi="Times New Roman" w:eastAsia="宋体"/>
                <w:color w:val="000000"/>
                <w:sz w:val="24"/>
              </w:rPr>
              <w:t>排放执行上海市《大气污染物综合排放标准》（DB 31/933-2015）表1大气污染物项目排放限值及表3厂界大气污染物监控点浓度限值。</w:t>
            </w:r>
            <w:r>
              <w:rPr>
                <w:rFonts w:hint="eastAsia" w:ascii="Times New Roman" w:hAnsi="Times New Roman" w:eastAsia="宋体"/>
                <w:color w:val="000000"/>
                <w:sz w:val="24"/>
                <w:lang w:val="en-US" w:eastAsia="zh-CN"/>
              </w:rPr>
              <w:t>各污染物排放均满足大气污染物浓度限值要求。</w:t>
            </w:r>
          </w:p>
          <w:p>
            <w:pPr>
              <w:spacing w:line="460" w:lineRule="exact"/>
              <w:ind w:firstLine="482" w:firstLineChars="200"/>
              <w:rPr>
                <w:rFonts w:ascii="Times New Roman" w:hAnsi="Times New Roman" w:eastAsia="宋体"/>
                <w:b/>
                <w:color w:val="000000"/>
                <w:sz w:val="24"/>
              </w:rPr>
            </w:pPr>
            <w:r>
              <w:rPr>
                <w:rFonts w:ascii="Times New Roman" w:hAnsi="Times New Roman" w:eastAsia="宋体"/>
                <w:b/>
                <w:color w:val="000000"/>
                <w:sz w:val="24"/>
              </w:rPr>
              <w:t>（2）废水</w:t>
            </w:r>
          </w:p>
          <w:p>
            <w:pPr>
              <w:pStyle w:val="2"/>
              <w:spacing w:line="360" w:lineRule="auto"/>
              <w:ind w:firstLine="480" w:firstLineChars="200"/>
              <w:jc w:val="both"/>
              <w:rPr>
                <w:rFonts w:ascii="Times New Roman" w:hAnsi="Times New Roman" w:eastAsia="宋体" w:cs="Times New Roman"/>
                <w:bCs/>
                <w:color w:val="000000"/>
              </w:rPr>
            </w:pPr>
            <w:r>
              <w:rPr>
                <w:rFonts w:ascii="Times New Roman" w:hAnsi="Times New Roman" w:eastAsia="宋体" w:cs="Times New Roman"/>
                <w:color w:val="000000"/>
              </w:rPr>
              <w:t>根据工程分析，项目外排废水为生活污水，</w:t>
            </w:r>
            <w:r>
              <w:rPr>
                <w:rFonts w:hint="eastAsia" w:ascii="Times New Roman" w:hAnsi="Times New Roman" w:eastAsia="宋体" w:cs="Times New Roman"/>
                <w:color w:val="000000"/>
                <w:lang w:val="en-US" w:eastAsia="zh-CN"/>
              </w:rPr>
              <w:t>近期</w:t>
            </w:r>
            <w:r>
              <w:rPr>
                <w:rFonts w:ascii="Times New Roman" w:hAnsi="Times New Roman" w:eastAsia="宋体" w:cs="Times New Roman"/>
                <w:color w:val="000000"/>
              </w:rPr>
              <w:t>外排废水经污水处理设施处理后可满足《污水综合排放标准》（GB8978-1996）表4一级标准要求</w:t>
            </w:r>
            <w:r>
              <w:rPr>
                <w:rStyle w:val="33"/>
                <w:rFonts w:ascii="Times New Roman" w:hAnsi="Times New Roman" w:eastAsia="宋体" w:cs="Times New Roman"/>
                <w:b w:val="0"/>
                <w:color w:val="000000"/>
              </w:rPr>
              <w:t>，</w:t>
            </w:r>
            <w:r>
              <w:rPr>
                <w:rStyle w:val="33"/>
                <w:rFonts w:hint="eastAsia" w:ascii="Times New Roman" w:hAnsi="Times New Roman" w:eastAsia="宋体" w:cs="Times New Roman"/>
                <w:b w:val="0"/>
                <w:color w:val="000000"/>
                <w:lang w:val="en-US" w:eastAsia="zh-CN"/>
              </w:rPr>
              <w:t>远期生活污水经化粪池、隔油池处理后达</w:t>
            </w:r>
            <w:r>
              <w:rPr>
                <w:rFonts w:ascii="Times New Roman" w:hAnsi="Times New Roman" w:eastAsia="宋体" w:cs="Times New Roman"/>
                <w:color w:val="000000"/>
              </w:rPr>
              <w:t>《污水综合排放标准》（GB8978-1996）表4</w:t>
            </w:r>
            <w:r>
              <w:rPr>
                <w:rFonts w:hint="eastAsia" w:ascii="Times New Roman" w:hAnsi="Times New Roman" w:eastAsia="宋体" w:cs="Times New Roman"/>
                <w:color w:val="000000"/>
                <w:lang w:val="en-US" w:eastAsia="zh-CN"/>
              </w:rPr>
              <w:t>三</w:t>
            </w:r>
            <w:r>
              <w:rPr>
                <w:rFonts w:ascii="Times New Roman" w:hAnsi="Times New Roman" w:eastAsia="宋体" w:cs="Times New Roman"/>
                <w:color w:val="000000"/>
              </w:rPr>
              <w:t>级标准</w:t>
            </w:r>
            <w:r>
              <w:rPr>
                <w:rFonts w:hint="eastAsia" w:ascii="Times New Roman" w:hAnsi="Times New Roman" w:eastAsia="宋体" w:cs="Times New Roman"/>
                <w:color w:val="000000"/>
                <w:lang w:val="en-US" w:eastAsia="zh-CN"/>
              </w:rPr>
              <w:t>经市政管网排入城南污水处理厂后外排，</w:t>
            </w:r>
            <w:r>
              <w:rPr>
                <w:rFonts w:ascii="Times New Roman" w:hAnsi="Times New Roman" w:eastAsia="宋体" w:cs="Times New Roman"/>
                <w:color w:val="000000"/>
              </w:rPr>
              <w:t>对环境影响较小。</w:t>
            </w:r>
          </w:p>
          <w:p>
            <w:pPr>
              <w:spacing w:line="460" w:lineRule="exact"/>
              <w:ind w:firstLine="482" w:firstLineChars="200"/>
              <w:rPr>
                <w:rFonts w:ascii="Times New Roman" w:hAnsi="Times New Roman" w:eastAsia="宋体"/>
                <w:b/>
                <w:color w:val="000000"/>
                <w:sz w:val="24"/>
              </w:rPr>
            </w:pPr>
            <w:r>
              <w:rPr>
                <w:rFonts w:ascii="Times New Roman" w:hAnsi="Times New Roman" w:eastAsia="宋体"/>
                <w:b/>
                <w:color w:val="000000"/>
                <w:sz w:val="24"/>
              </w:rPr>
              <w:t>（3）噪声</w:t>
            </w:r>
          </w:p>
          <w:p>
            <w:pPr>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项目噪声源强主要为车间内的各种生产设备，声压级为</w:t>
            </w:r>
            <w:r>
              <w:rPr>
                <w:rFonts w:hint="eastAsia" w:ascii="Times New Roman" w:hAnsi="Times New Roman" w:eastAsia="宋体"/>
                <w:color w:val="000000"/>
                <w:sz w:val="24"/>
                <w:lang w:val="en-US" w:eastAsia="zh-CN"/>
              </w:rPr>
              <w:t>65</w:t>
            </w:r>
            <w:r>
              <w:rPr>
                <w:rFonts w:ascii="Times New Roman" w:hAnsi="Times New Roman" w:eastAsia="宋体"/>
                <w:color w:val="000000"/>
                <w:sz w:val="24"/>
              </w:rPr>
              <w:t>~9</w:t>
            </w:r>
            <w:r>
              <w:rPr>
                <w:rFonts w:hint="eastAsia" w:ascii="Times New Roman" w:hAnsi="Times New Roman" w:eastAsia="宋体"/>
                <w:color w:val="000000"/>
                <w:sz w:val="24"/>
                <w:lang w:val="en-US" w:eastAsia="zh-CN"/>
              </w:rPr>
              <w:t>5</w:t>
            </w:r>
            <w:r>
              <w:rPr>
                <w:rFonts w:ascii="Times New Roman" w:hAnsi="Times New Roman" w:eastAsia="宋体"/>
                <w:color w:val="000000"/>
                <w:sz w:val="24"/>
              </w:rPr>
              <w:t>dB(A)。项目产噪设备采取隔声、减震、降噪措施后，厂界噪声可以满足《工业企业厂界环境噪声排放标准》（GB12348-2008）中的3类区标准要求。因此本项目的运营对周围声环境产生的影响较小。</w:t>
            </w:r>
          </w:p>
          <w:p>
            <w:pPr>
              <w:pStyle w:val="7"/>
              <w:spacing w:line="460" w:lineRule="exact"/>
              <w:ind w:firstLine="482" w:firstLineChars="200"/>
              <w:rPr>
                <w:rFonts w:ascii="Times New Roman" w:hAnsi="Times New Roman" w:eastAsia="宋体"/>
                <w:b/>
                <w:color w:val="000000"/>
                <w:spacing w:val="0"/>
                <w:sz w:val="24"/>
                <w:szCs w:val="24"/>
              </w:rPr>
            </w:pPr>
            <w:r>
              <w:rPr>
                <w:rFonts w:ascii="Times New Roman" w:hAnsi="Times New Roman" w:eastAsia="宋体"/>
                <w:b/>
                <w:color w:val="000000"/>
                <w:spacing w:val="0"/>
                <w:sz w:val="24"/>
                <w:szCs w:val="24"/>
              </w:rPr>
              <w:t>（4）固体废物</w:t>
            </w:r>
          </w:p>
          <w:p>
            <w:pPr>
              <w:pStyle w:val="11"/>
              <w:spacing w:line="360" w:lineRule="auto"/>
              <w:ind w:firstLine="480" w:firstLineChars="200"/>
              <w:rPr>
                <w:rFonts w:ascii="Times New Roman" w:hAnsi="Times New Roman" w:eastAsia="宋体"/>
                <w:color w:val="000000"/>
              </w:rPr>
            </w:pPr>
            <w:r>
              <w:rPr>
                <w:rFonts w:ascii="Times New Roman" w:hAnsi="Times New Roman" w:eastAsia="宋体"/>
                <w:color w:val="000000"/>
                <w:sz w:val="24"/>
              </w:rPr>
              <w:t>一般固废</w:t>
            </w:r>
            <w:r>
              <w:rPr>
                <w:rFonts w:hint="eastAsia" w:ascii="Times New Roman" w:hAnsi="Times New Roman" w:eastAsia="宋体"/>
                <w:color w:val="000000"/>
                <w:sz w:val="24"/>
                <w:lang w:val="en-US" w:eastAsia="zh-CN"/>
              </w:rPr>
              <w:t>集中收集后交由物资单位回收处置</w:t>
            </w:r>
            <w:r>
              <w:rPr>
                <w:rFonts w:ascii="Times New Roman" w:hAnsi="Times New Roman" w:eastAsia="宋体"/>
                <w:color w:val="000000"/>
                <w:spacing w:val="-11"/>
                <w:sz w:val="24"/>
              </w:rPr>
              <w:t>。</w:t>
            </w:r>
            <w:r>
              <w:rPr>
                <w:rFonts w:ascii="Times New Roman" w:hAnsi="Times New Roman" w:eastAsia="宋体"/>
                <w:color w:val="000000"/>
                <w:sz w:val="24"/>
              </w:rPr>
              <w:t>生活垃圾交由环卫部门进行处理，厂内设有垃圾桶。</w:t>
            </w:r>
          </w:p>
          <w:p>
            <w:pPr>
              <w:adjustRightIn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本项目产生的固体废物经有效处理和处置后对周围环境影响较小。</w:t>
            </w:r>
          </w:p>
          <w:p>
            <w:pPr>
              <w:pStyle w:val="21"/>
              <w:spacing w:after="0" w:line="420" w:lineRule="exact"/>
              <w:ind w:left="44" w:leftChars="21" w:firstLine="482" w:firstLineChars="200"/>
              <w:rPr>
                <w:rFonts w:ascii="Times New Roman" w:hAnsi="Times New Roman" w:eastAsia="宋体"/>
                <w:b/>
                <w:color w:val="000000"/>
                <w:kern w:val="0"/>
                <w:sz w:val="24"/>
              </w:rPr>
            </w:pPr>
            <w:r>
              <w:rPr>
                <w:rFonts w:ascii="Times New Roman" w:hAnsi="Times New Roman" w:eastAsia="宋体"/>
                <w:b/>
                <w:color w:val="000000"/>
                <w:kern w:val="0"/>
                <w:sz w:val="24"/>
              </w:rPr>
              <w:t>6.总量控制</w:t>
            </w:r>
          </w:p>
          <w:p>
            <w:pPr>
              <w:adjustRightIn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 xml:space="preserve">废水：根据工程分析，本项目生活污水经地埋式污水处理设施处理后排放，废水最终排放量COD </w:t>
            </w:r>
            <w:r>
              <w:rPr>
                <w:rFonts w:hint="eastAsia" w:ascii="Times New Roman" w:hAnsi="Times New Roman" w:eastAsia="宋体"/>
                <w:color w:val="000000"/>
                <w:sz w:val="24"/>
                <w:lang w:val="en-US" w:eastAsia="zh-CN"/>
              </w:rPr>
              <w:t>0.356</w:t>
            </w:r>
            <w:r>
              <w:rPr>
                <w:rFonts w:ascii="Times New Roman" w:hAnsi="Times New Roman" w:eastAsia="宋体"/>
                <w:color w:val="000000"/>
                <w:sz w:val="24"/>
              </w:rPr>
              <w:t>t/a，NH</w:t>
            </w:r>
            <w:r>
              <w:rPr>
                <w:rFonts w:ascii="Times New Roman" w:hAnsi="Times New Roman" w:eastAsia="宋体"/>
                <w:color w:val="000000"/>
                <w:sz w:val="24"/>
                <w:vertAlign w:val="subscript"/>
              </w:rPr>
              <w:t>3</w:t>
            </w:r>
            <w:r>
              <w:rPr>
                <w:rFonts w:ascii="Times New Roman" w:hAnsi="Times New Roman" w:eastAsia="宋体"/>
                <w:color w:val="000000"/>
                <w:sz w:val="24"/>
              </w:rPr>
              <w:t xml:space="preserve">-N </w:t>
            </w:r>
            <w:r>
              <w:rPr>
                <w:rFonts w:hint="eastAsia" w:ascii="Times New Roman" w:hAnsi="Times New Roman" w:eastAsia="宋体"/>
                <w:color w:val="000000"/>
                <w:sz w:val="24"/>
                <w:lang w:val="en-US" w:eastAsia="zh-CN"/>
              </w:rPr>
              <w:t>0.053</w:t>
            </w:r>
            <w:r>
              <w:rPr>
                <w:rFonts w:ascii="Times New Roman" w:hAnsi="Times New Roman" w:eastAsia="宋体"/>
                <w:color w:val="000000"/>
                <w:sz w:val="24"/>
              </w:rPr>
              <w:t>t/a。</w:t>
            </w:r>
          </w:p>
          <w:p>
            <w:pPr>
              <w:adjustRightInd w:val="0"/>
              <w:spacing w:line="360" w:lineRule="auto"/>
              <w:ind w:firstLine="480" w:firstLineChars="200"/>
              <w:rPr>
                <w:rFonts w:hint="eastAsia" w:ascii="Times New Roman" w:hAnsi="Times New Roman" w:eastAsia="宋体"/>
                <w:color w:val="000000"/>
                <w:kern w:val="0"/>
                <w:sz w:val="24"/>
                <w:lang w:val="en-US" w:eastAsia="zh-CN"/>
              </w:rPr>
            </w:pPr>
            <w:r>
              <w:rPr>
                <w:rFonts w:ascii="Times New Roman" w:hAnsi="Times New Roman" w:eastAsia="宋体"/>
                <w:color w:val="000000"/>
                <w:sz w:val="24"/>
              </w:rPr>
              <w:t>废气：项目建成后，</w:t>
            </w:r>
            <w:r>
              <w:rPr>
                <w:rFonts w:hint="eastAsia" w:ascii="Times New Roman" w:hAnsi="Times New Roman" w:eastAsia="宋体"/>
                <w:color w:val="000000"/>
                <w:kern w:val="0"/>
                <w:sz w:val="24"/>
                <w:lang w:val="en-US" w:eastAsia="zh-CN"/>
              </w:rPr>
              <w:t>烟（粉）尘有组织排放量为</w:t>
            </w:r>
            <w:r>
              <w:rPr>
                <w:rFonts w:hint="eastAsia"/>
                <w:color w:val="000000"/>
                <w:kern w:val="0"/>
                <w:sz w:val="24"/>
                <w:lang w:val="en-US" w:eastAsia="zh-CN"/>
              </w:rPr>
              <w:t>20.936</w:t>
            </w:r>
            <w:r>
              <w:rPr>
                <w:rFonts w:ascii="Times New Roman" w:hAnsi="Times New Roman" w:eastAsia="宋体"/>
                <w:color w:val="000000"/>
                <w:kern w:val="0"/>
                <w:sz w:val="24"/>
              </w:rPr>
              <w:t>t/a</w:t>
            </w:r>
            <w:r>
              <w:rPr>
                <w:rFonts w:ascii="Times New Roman" w:hAnsi="Times New Roman" w:eastAsia="宋体"/>
                <w:color w:val="000000"/>
                <w:sz w:val="24"/>
              </w:rPr>
              <w:t>，</w:t>
            </w:r>
            <w:r>
              <w:rPr>
                <w:rFonts w:hint="eastAsia" w:ascii="Times New Roman" w:hAnsi="Times New Roman" w:eastAsia="宋体"/>
                <w:color w:val="000000"/>
                <w:kern w:val="0"/>
                <w:sz w:val="24"/>
                <w:lang w:val="en-US" w:eastAsia="zh-CN"/>
              </w:rPr>
              <w:t>烟（粉）尘无组织排放量为1.584</w:t>
            </w:r>
            <w:r>
              <w:rPr>
                <w:rFonts w:ascii="Times New Roman" w:hAnsi="Times New Roman" w:eastAsia="宋体"/>
                <w:color w:val="000000"/>
                <w:kern w:val="0"/>
                <w:sz w:val="24"/>
              </w:rPr>
              <w:t>t/a</w:t>
            </w:r>
            <w:r>
              <w:rPr>
                <w:rFonts w:ascii="Times New Roman" w:hAnsi="Times New Roman" w:eastAsia="宋体"/>
                <w:color w:val="000000"/>
                <w:sz w:val="24"/>
              </w:rPr>
              <w:t>，</w:t>
            </w:r>
            <w:r>
              <w:rPr>
                <w:rFonts w:hint="eastAsia" w:ascii="Times New Roman" w:hAnsi="Times New Roman" w:eastAsia="宋体"/>
                <w:color w:val="000000"/>
                <w:kern w:val="0"/>
                <w:sz w:val="24"/>
                <w:lang w:val="en-US" w:eastAsia="zh-CN"/>
              </w:rPr>
              <w:t>二氧化硫有组织排放量为</w:t>
            </w:r>
            <w:r>
              <w:rPr>
                <w:rFonts w:hint="eastAsia"/>
                <w:color w:val="000000"/>
                <w:kern w:val="0"/>
                <w:sz w:val="24"/>
                <w:lang w:val="en-US" w:eastAsia="zh-CN"/>
              </w:rPr>
              <w:t>14.02</w:t>
            </w:r>
            <w:r>
              <w:rPr>
                <w:rFonts w:ascii="Times New Roman" w:hAnsi="Times New Roman" w:eastAsia="宋体"/>
                <w:color w:val="000000"/>
                <w:kern w:val="0"/>
                <w:sz w:val="24"/>
              </w:rPr>
              <w:t>t/a</w:t>
            </w:r>
            <w:r>
              <w:rPr>
                <w:rFonts w:hint="eastAsia" w:ascii="Times New Roman" w:hAnsi="Times New Roman" w:eastAsia="宋体"/>
                <w:color w:val="000000"/>
                <w:kern w:val="0"/>
                <w:sz w:val="24"/>
                <w:lang w:eastAsia="zh-CN"/>
              </w:rPr>
              <w:t>，</w:t>
            </w:r>
            <w:r>
              <w:rPr>
                <w:rFonts w:hint="eastAsia" w:ascii="Times New Roman" w:hAnsi="Times New Roman" w:eastAsia="宋体"/>
                <w:color w:val="000000"/>
                <w:sz w:val="24"/>
                <w:lang w:val="en-US" w:eastAsia="zh-CN"/>
              </w:rPr>
              <w:t>氮氧化物</w:t>
            </w:r>
            <w:r>
              <w:rPr>
                <w:rFonts w:hint="eastAsia" w:ascii="Times New Roman" w:hAnsi="Times New Roman" w:eastAsia="宋体"/>
                <w:color w:val="000000"/>
                <w:kern w:val="0"/>
                <w:sz w:val="24"/>
                <w:lang w:val="en-US" w:eastAsia="zh-CN"/>
              </w:rPr>
              <w:t>有组织排放量为</w:t>
            </w:r>
            <w:r>
              <w:rPr>
                <w:rFonts w:hint="eastAsia"/>
                <w:color w:val="000000"/>
                <w:kern w:val="0"/>
                <w:sz w:val="24"/>
                <w:lang w:val="en-US" w:eastAsia="zh-CN"/>
              </w:rPr>
              <w:t>45.56</w:t>
            </w:r>
            <w:r>
              <w:rPr>
                <w:rFonts w:ascii="Times New Roman" w:hAnsi="Times New Roman" w:eastAsia="宋体"/>
                <w:color w:val="000000"/>
                <w:kern w:val="0"/>
                <w:sz w:val="24"/>
              </w:rPr>
              <w:t>t/a</w:t>
            </w:r>
            <w:r>
              <w:rPr>
                <w:rFonts w:hint="eastAsia" w:ascii="Times New Roman" w:hAnsi="Times New Roman" w:eastAsia="宋体"/>
                <w:color w:val="000000"/>
                <w:kern w:val="0"/>
                <w:sz w:val="24"/>
                <w:lang w:eastAsia="zh-CN"/>
              </w:rPr>
              <w:t>。</w:t>
            </w:r>
          </w:p>
          <w:p>
            <w:pPr>
              <w:adjustRightInd w:val="0"/>
              <w:spacing w:line="360" w:lineRule="auto"/>
              <w:ind w:firstLine="480" w:firstLineChars="200"/>
              <w:rPr>
                <w:rFonts w:ascii="Times New Roman" w:hAnsi="Times New Roman" w:eastAsia="宋体"/>
                <w:color w:val="000000"/>
                <w:sz w:val="24"/>
              </w:rPr>
            </w:pPr>
            <w:r>
              <w:rPr>
                <w:rFonts w:ascii="Times New Roman" w:hAnsi="Times New Roman" w:eastAsia="宋体"/>
                <w:color w:val="000000"/>
                <w:sz w:val="24"/>
              </w:rPr>
              <w:t>本项目污染物排放总量由当地环保主管部门通过区域平衡予以核准分配。</w:t>
            </w:r>
          </w:p>
          <w:p>
            <w:pPr>
              <w:pStyle w:val="21"/>
              <w:spacing w:after="0" w:line="420" w:lineRule="exact"/>
              <w:ind w:left="44" w:leftChars="21" w:firstLine="482" w:firstLineChars="200"/>
              <w:rPr>
                <w:rFonts w:ascii="Times New Roman" w:hAnsi="Times New Roman" w:eastAsia="宋体"/>
                <w:b/>
                <w:color w:val="000000"/>
                <w:kern w:val="0"/>
                <w:sz w:val="24"/>
              </w:rPr>
            </w:pPr>
            <w:r>
              <w:rPr>
                <w:rFonts w:ascii="Times New Roman" w:hAnsi="Times New Roman" w:eastAsia="宋体"/>
                <w:b/>
                <w:color w:val="000000"/>
                <w:kern w:val="0"/>
                <w:sz w:val="24"/>
              </w:rPr>
              <w:t>7、总结论</w:t>
            </w:r>
          </w:p>
          <w:p>
            <w:pPr>
              <w:pStyle w:val="21"/>
              <w:spacing w:after="0" w:line="360" w:lineRule="auto"/>
              <w:ind w:left="44" w:leftChars="21" w:firstLine="480" w:firstLineChars="200"/>
              <w:rPr>
                <w:rFonts w:ascii="Times New Roman" w:hAnsi="Times New Roman" w:eastAsia="宋体"/>
                <w:color w:val="000000"/>
                <w:kern w:val="0"/>
                <w:sz w:val="24"/>
              </w:rPr>
            </w:pPr>
            <w:r>
              <w:rPr>
                <w:rFonts w:ascii="Times New Roman" w:hAnsi="Times New Roman" w:eastAsia="宋体"/>
                <w:color w:val="000000"/>
                <w:kern w:val="0"/>
                <w:sz w:val="24"/>
              </w:rPr>
              <w:t>综上所述，本项目符合国家及地方产业政策要求</w:t>
            </w:r>
            <w:r>
              <w:rPr>
                <w:rFonts w:hint="eastAsia" w:ascii="Times New Roman" w:hAnsi="Times New Roman" w:eastAsia="宋体"/>
                <w:color w:val="000000"/>
                <w:kern w:val="0"/>
                <w:sz w:val="24"/>
                <w:lang w:eastAsia="zh-CN"/>
              </w:rPr>
              <w:t>，</w:t>
            </w:r>
            <w:r>
              <w:rPr>
                <w:rFonts w:ascii="Times New Roman" w:hAnsi="Times New Roman" w:eastAsia="宋体"/>
                <w:color w:val="000000"/>
                <w:kern w:val="0"/>
                <w:sz w:val="24"/>
              </w:rPr>
              <w:t>该建设项目各项污染物治理得当，经有效处理后，可保证污染物稳定达标排放，对外环境影响较小，不会降低区域功能类别。由此可见，本项目从环境影响角度考虑是可行的。</w:t>
            </w:r>
          </w:p>
          <w:p>
            <w:pPr>
              <w:spacing w:line="480" w:lineRule="exact"/>
              <w:rPr>
                <w:rFonts w:ascii="Times New Roman" w:hAnsi="Times New Roman" w:eastAsia="宋体"/>
                <w:b/>
                <w:color w:val="000000"/>
                <w:sz w:val="24"/>
                <w:szCs w:val="24"/>
              </w:rPr>
            </w:pPr>
            <w:r>
              <w:rPr>
                <w:rFonts w:ascii="Times New Roman" w:hAnsi="Times New Roman" w:eastAsia="宋体"/>
                <w:b/>
                <w:color w:val="000000"/>
                <w:sz w:val="24"/>
                <w:szCs w:val="24"/>
              </w:rPr>
              <w:t xml:space="preserve">二、建议  </w:t>
            </w:r>
          </w:p>
          <w:p>
            <w:pPr>
              <w:spacing w:line="360" w:lineRule="auto"/>
              <w:ind w:firstLine="570"/>
              <w:rPr>
                <w:rFonts w:ascii="Times New Roman" w:hAnsi="Times New Roman" w:eastAsia="宋体"/>
                <w:color w:val="000000"/>
                <w:sz w:val="24"/>
              </w:rPr>
            </w:pPr>
            <w:r>
              <w:rPr>
                <w:rFonts w:ascii="Times New Roman" w:hAnsi="Times New Roman" w:eastAsia="宋体"/>
                <w:color w:val="000000"/>
                <w:sz w:val="24"/>
              </w:rPr>
              <w:t>1、建设单位应认真将各项环保防治措施落实到位，以保证项目投入正式运营后能最大程度地减少对环境的影响。</w:t>
            </w:r>
          </w:p>
          <w:p>
            <w:pPr>
              <w:spacing w:line="360" w:lineRule="auto"/>
              <w:ind w:firstLine="570"/>
              <w:rPr>
                <w:rFonts w:ascii="Times New Roman" w:hAnsi="Times New Roman" w:eastAsia="宋体"/>
                <w:color w:val="000000"/>
                <w:sz w:val="24"/>
              </w:rPr>
            </w:pPr>
            <w:r>
              <w:rPr>
                <w:rFonts w:ascii="Times New Roman" w:hAnsi="Times New Roman" w:eastAsia="宋体"/>
                <w:color w:val="000000"/>
                <w:sz w:val="24"/>
              </w:rPr>
              <w:t>2、加强运营过程的各项目污染防治措施和设施的控制和使用工作，充分利用项目区内可用的污染防治措施进行环境保护，做到项目的社会效益、环境效益和经济效益相统一和最大化。</w:t>
            </w:r>
          </w:p>
          <w:p>
            <w:pPr>
              <w:spacing w:line="360" w:lineRule="auto"/>
              <w:ind w:firstLine="570"/>
              <w:rPr>
                <w:rFonts w:ascii="Times New Roman" w:hAnsi="Times New Roman" w:eastAsia="宋体"/>
                <w:color w:val="000000"/>
                <w:sz w:val="24"/>
              </w:rPr>
            </w:pPr>
            <w:r>
              <w:rPr>
                <w:rFonts w:ascii="Times New Roman" w:hAnsi="Times New Roman" w:eastAsia="宋体"/>
                <w:color w:val="000000"/>
                <w:sz w:val="24"/>
              </w:rPr>
              <w:t>3、加强和落实厂区的固废的管理工作，落实固废的分类收集工作，严禁乱排乱放乱倒，及时进行回收处理。确保资源化和无害化的实现，保证项目区清洁卫生和安全。</w:t>
            </w:r>
          </w:p>
          <w:p>
            <w:pPr>
              <w:spacing w:line="360" w:lineRule="auto"/>
              <w:ind w:firstLine="600" w:firstLineChars="250"/>
              <w:rPr>
                <w:rFonts w:ascii="Times New Roman" w:hAnsi="Times New Roman" w:eastAsia="宋体"/>
                <w:color w:val="000000"/>
                <w:sz w:val="24"/>
              </w:rPr>
            </w:pPr>
            <w:r>
              <w:rPr>
                <w:rFonts w:ascii="Times New Roman" w:hAnsi="Times New Roman" w:eastAsia="宋体"/>
                <w:color w:val="000000"/>
                <w:sz w:val="24"/>
              </w:rPr>
              <w:t>4、加强管理，提高员工环保意识，确保各项治理设施正常稳定运行。</w:t>
            </w:r>
          </w:p>
          <w:p>
            <w:pPr>
              <w:spacing w:line="360" w:lineRule="auto"/>
              <w:rPr>
                <w:rFonts w:ascii="Times New Roman" w:hAnsi="Times New Roman" w:eastAsia="宋体"/>
                <w:color w:val="000000"/>
                <w:sz w:val="24"/>
                <w:szCs w:val="24"/>
              </w:rPr>
            </w:pPr>
          </w:p>
        </w:tc>
      </w:tr>
    </w:tbl>
    <w:p>
      <w:pPr>
        <w:rPr>
          <w:rFonts w:ascii="Times New Roman" w:hAnsi="Times New Roman" w:eastAsia="宋体"/>
          <w:color w:val="000000"/>
        </w:rPr>
      </w:pPr>
    </w:p>
    <w:tbl>
      <w:tblPr>
        <w:tblStyle w:val="28"/>
        <w:tblW w:w="0" w:type="auto"/>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fixed"/>
        <w:tblCellMar>
          <w:top w:w="0" w:type="dxa"/>
          <w:left w:w="108" w:type="dxa"/>
          <w:bottom w:w="0" w:type="dxa"/>
          <w:right w:w="108" w:type="dxa"/>
        </w:tblCellMar>
      </w:tblPr>
      <w:tblGrid>
        <w:gridCol w:w="9282"/>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998" w:hRule="atLeast"/>
          <w:jc w:val="center"/>
        </w:trPr>
        <w:tc>
          <w:tcPr>
            <w:tcW w:w="9282" w:type="dxa"/>
            <w:noWrap w:val="0"/>
            <w:vAlign w:val="top"/>
          </w:tcPr>
          <w:p>
            <w:pPr>
              <w:rPr>
                <w:rFonts w:ascii="Times New Roman" w:hAnsi="Times New Roman" w:eastAsia="宋体"/>
                <w:w w:val="98"/>
                <w:kern w:val="0"/>
                <w:sz w:val="28"/>
              </w:rPr>
            </w:pPr>
            <w:r>
              <w:rPr>
                <w:rFonts w:ascii="Times New Roman" w:hAnsi="Times New Roman" w:eastAsia="宋体"/>
                <w:w w:val="98"/>
                <w:kern w:val="0"/>
                <w:sz w:val="28"/>
              </w:rPr>
              <w:t>预审意见：</w:t>
            </w: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kern w:val="0"/>
                <w:sz w:val="28"/>
              </w:rPr>
            </w:pPr>
          </w:p>
          <w:p>
            <w:pPr>
              <w:rPr>
                <w:rFonts w:ascii="Times New Roman" w:hAnsi="Times New Roman" w:eastAsia="宋体"/>
                <w:w w:val="98"/>
                <w:kern w:val="0"/>
                <w:sz w:val="28"/>
              </w:rPr>
            </w:pPr>
          </w:p>
          <w:p>
            <w:pPr>
              <w:rPr>
                <w:rFonts w:ascii="Times New Roman" w:hAnsi="Times New Roman" w:eastAsia="宋体"/>
                <w:w w:val="98"/>
                <w:kern w:val="0"/>
                <w:sz w:val="28"/>
              </w:rPr>
            </w:pPr>
            <w:r>
              <w:rPr>
                <w:rFonts w:ascii="Times New Roman" w:hAnsi="Times New Roman" w:eastAsia="宋体"/>
                <w:w w:val="98"/>
                <w:kern w:val="0"/>
                <w:sz w:val="28"/>
              </w:rPr>
              <w:t xml:space="preserve">                                                  </w:t>
            </w:r>
            <w:r>
              <w:rPr>
                <w:rFonts w:ascii="Times New Roman" w:hAnsi="Times New Roman" w:eastAsia="宋体"/>
                <w:w w:val="98"/>
              </w:rPr>
              <w:t xml:space="preserve"> </w:t>
            </w:r>
            <w:r>
              <w:rPr>
                <w:rFonts w:ascii="Times New Roman" w:hAnsi="Times New Roman" w:eastAsia="宋体"/>
                <w:w w:val="98"/>
                <w:kern w:val="0"/>
                <w:sz w:val="28"/>
              </w:rPr>
              <w:t>公   章</w:t>
            </w:r>
          </w:p>
          <w:p>
            <w:pPr>
              <w:ind w:firstLine="200" w:firstLineChars="98"/>
              <w:rPr>
                <w:rFonts w:ascii="Times New Roman" w:hAnsi="Times New Roman" w:eastAsia="宋体"/>
                <w:w w:val="98"/>
                <w:kern w:val="0"/>
                <w:sz w:val="28"/>
              </w:rPr>
            </w:pPr>
            <w:r>
              <w:rPr>
                <w:rFonts w:ascii="Times New Roman" w:hAnsi="Times New Roman" w:eastAsia="宋体"/>
                <w:w w:val="98"/>
              </w:rPr>
              <w:t xml:space="preserve"> </w:t>
            </w:r>
            <w:r>
              <w:rPr>
                <w:rFonts w:ascii="Times New Roman" w:hAnsi="Times New Roman" w:eastAsia="宋体"/>
                <w:w w:val="98"/>
                <w:kern w:val="0"/>
                <w:sz w:val="28"/>
              </w:rPr>
              <w:t xml:space="preserve">经办人： </w:t>
            </w:r>
            <w:r>
              <w:rPr>
                <w:rFonts w:ascii="Times New Roman" w:hAnsi="Times New Roman" w:eastAsia="宋体"/>
                <w:w w:val="98"/>
              </w:rPr>
              <w:t xml:space="preserve">                                                </w:t>
            </w:r>
            <w:r>
              <w:rPr>
                <w:rFonts w:ascii="Times New Roman" w:hAnsi="Times New Roman" w:eastAsia="宋体"/>
                <w:w w:val="98"/>
                <w:kern w:val="0"/>
                <w:sz w:val="28"/>
              </w:rPr>
              <w:t>年    月    日</w:t>
            </w:r>
          </w:p>
          <w:p>
            <w:pPr>
              <w:ind w:firstLine="268" w:firstLineChars="98"/>
              <w:rPr>
                <w:rFonts w:ascii="Times New Roman" w:hAnsi="Times New Roman" w:eastAsia="宋体"/>
                <w:w w:val="98"/>
                <w:kern w:val="0"/>
                <w:sz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4230" w:hRule="atLeast"/>
          <w:jc w:val="center"/>
        </w:trPr>
        <w:tc>
          <w:tcPr>
            <w:tcW w:w="9282" w:type="dxa"/>
            <w:noWrap w:val="0"/>
            <w:vAlign w:val="top"/>
          </w:tcPr>
          <w:p>
            <w:pPr>
              <w:rPr>
                <w:rFonts w:hint="eastAsia" w:ascii="Times New Roman" w:hAnsi="Times New Roman" w:eastAsia="宋体"/>
                <w:w w:val="98"/>
                <w:kern w:val="0"/>
                <w:sz w:val="28"/>
              </w:rPr>
            </w:pPr>
          </w:p>
          <w:p>
            <w:pPr>
              <w:rPr>
                <w:rFonts w:ascii="Times New Roman" w:hAnsi="Times New Roman" w:eastAsia="宋体"/>
                <w:w w:val="98"/>
                <w:kern w:val="0"/>
                <w:sz w:val="28"/>
              </w:rPr>
            </w:pPr>
            <w:r>
              <w:rPr>
                <w:rFonts w:ascii="Times New Roman" w:hAnsi="Times New Roman" w:eastAsia="宋体"/>
                <w:w w:val="98"/>
                <w:kern w:val="0"/>
                <w:sz w:val="28"/>
              </w:rPr>
              <w:t>下一级环境保护行政主管部门审查意见：</w:t>
            </w: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ascii="Times New Roman" w:hAnsi="Times New Roman" w:eastAsia="宋体"/>
                <w:w w:val="98"/>
              </w:rPr>
            </w:pPr>
          </w:p>
          <w:p>
            <w:pPr>
              <w:rPr>
                <w:rFonts w:hint="eastAsia" w:ascii="Times New Roman" w:hAnsi="Times New Roman" w:eastAsia="宋体"/>
                <w:w w:val="98"/>
              </w:rPr>
            </w:pPr>
          </w:p>
          <w:p>
            <w:pPr>
              <w:rPr>
                <w:rFonts w:hint="eastAsia" w:ascii="Times New Roman" w:hAnsi="Times New Roman" w:eastAsia="宋体"/>
                <w:w w:val="98"/>
              </w:rPr>
            </w:pPr>
          </w:p>
          <w:p>
            <w:pPr>
              <w:rPr>
                <w:rFonts w:ascii="Times New Roman" w:hAnsi="Times New Roman" w:eastAsia="宋体"/>
                <w:w w:val="98"/>
                <w:kern w:val="0"/>
                <w:sz w:val="28"/>
              </w:rPr>
            </w:pPr>
            <w:r>
              <w:rPr>
                <w:rFonts w:ascii="Times New Roman" w:hAnsi="Times New Roman" w:eastAsia="宋体"/>
                <w:w w:val="98"/>
              </w:rPr>
              <w:t xml:space="preserve"> </w:t>
            </w:r>
            <w:r>
              <w:rPr>
                <w:rFonts w:hint="eastAsia" w:ascii="Times New Roman" w:hAnsi="Times New Roman" w:eastAsia="宋体"/>
                <w:w w:val="98"/>
              </w:rPr>
              <w:t xml:space="preserve">                                                                 </w:t>
            </w:r>
            <w:r>
              <w:rPr>
                <w:rFonts w:ascii="Times New Roman" w:hAnsi="Times New Roman" w:eastAsia="宋体"/>
                <w:w w:val="98"/>
                <w:kern w:val="0"/>
                <w:sz w:val="28"/>
              </w:rPr>
              <w:t>公   章</w:t>
            </w:r>
          </w:p>
          <w:p>
            <w:pPr>
              <w:rPr>
                <w:rFonts w:ascii="Times New Roman" w:hAnsi="Times New Roman" w:eastAsia="宋体"/>
                <w:w w:val="98"/>
                <w:kern w:val="0"/>
                <w:sz w:val="28"/>
              </w:rPr>
            </w:pPr>
            <w:r>
              <w:rPr>
                <w:rFonts w:ascii="Times New Roman" w:hAnsi="Times New Roman" w:eastAsia="宋体"/>
                <w:w w:val="98"/>
              </w:rPr>
              <w:t xml:space="preserve">   </w:t>
            </w:r>
            <w:r>
              <w:rPr>
                <w:rFonts w:ascii="Times New Roman" w:hAnsi="Times New Roman" w:eastAsia="宋体"/>
                <w:w w:val="98"/>
                <w:kern w:val="0"/>
                <w:sz w:val="28"/>
              </w:rPr>
              <w:t>经办人：                                   年    月    日</w:t>
            </w:r>
          </w:p>
          <w:p>
            <w:pPr>
              <w:rPr>
                <w:rFonts w:hint="eastAsia" w:ascii="Times New Roman" w:hAnsi="Times New Roman" w:eastAsia="宋体"/>
                <w:w w:val="98"/>
                <w:kern w:val="0"/>
                <w:sz w:val="28"/>
              </w:rPr>
            </w:pPr>
            <w:r>
              <w:rPr>
                <w:rFonts w:hint="eastAsia" w:ascii="Times New Roman" w:hAnsi="Times New Roman" w:eastAsia="宋体"/>
                <w:w w:val="98"/>
                <w:kern w:val="0"/>
                <w:sz w:val="28"/>
              </w:rPr>
              <w:t>审查意见；</w:t>
            </w: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p>
          <w:p>
            <w:pPr>
              <w:rPr>
                <w:rFonts w:hint="eastAsia" w:ascii="Times New Roman" w:hAnsi="Times New Roman" w:eastAsia="宋体"/>
                <w:w w:val="98"/>
                <w:kern w:val="0"/>
                <w:sz w:val="28"/>
              </w:rPr>
            </w:pPr>
            <w:r>
              <w:rPr>
                <w:rFonts w:hint="eastAsia" w:ascii="Times New Roman" w:hAnsi="Times New Roman" w:eastAsia="宋体"/>
                <w:w w:val="98"/>
                <w:kern w:val="0"/>
                <w:sz w:val="28"/>
              </w:rPr>
              <w:t xml:space="preserve">                                                 公  章</w:t>
            </w:r>
          </w:p>
          <w:p>
            <w:pPr>
              <w:rPr>
                <w:rFonts w:hint="eastAsia" w:ascii="Times New Roman" w:hAnsi="Times New Roman" w:eastAsia="宋体"/>
                <w:w w:val="98"/>
                <w:kern w:val="0"/>
                <w:sz w:val="28"/>
              </w:rPr>
            </w:pPr>
            <w:r>
              <w:rPr>
                <w:rFonts w:hint="eastAsia" w:ascii="Times New Roman" w:hAnsi="Times New Roman" w:eastAsia="宋体"/>
                <w:w w:val="98"/>
                <w:kern w:val="0"/>
                <w:sz w:val="28"/>
              </w:rPr>
              <w:t>经办人；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3363" w:hRule="atLeast"/>
          <w:jc w:val="center"/>
        </w:trPr>
        <w:tc>
          <w:tcPr>
            <w:tcW w:w="9282" w:type="dxa"/>
            <w:noWrap w:val="0"/>
            <w:vAlign w:val="center"/>
          </w:tcPr>
          <w:p>
            <w:pPr>
              <w:spacing w:line="360" w:lineRule="auto"/>
              <w:jc w:val="center"/>
              <w:rPr>
                <w:rFonts w:hint="eastAsia" w:ascii="Times New Roman" w:hAnsi="Times New Roman" w:eastAsia="宋体"/>
                <w:b/>
                <w:sz w:val="32"/>
                <w:szCs w:val="32"/>
              </w:rPr>
            </w:pPr>
            <w:r>
              <w:rPr>
                <w:rFonts w:ascii="Times New Roman" w:hAnsi="Times New Roman" w:eastAsia="宋体"/>
                <w:b/>
                <w:sz w:val="32"/>
                <w:szCs w:val="32"/>
              </w:rPr>
              <w:t>注        释</w:t>
            </w:r>
          </w:p>
          <w:p>
            <w:pPr>
              <w:spacing w:line="360" w:lineRule="auto"/>
              <w:ind w:firstLine="352" w:firstLineChars="147"/>
              <w:rPr>
                <w:rFonts w:hint="eastAsia" w:ascii="Times New Roman" w:hAnsi="Times New Roman" w:eastAsia="宋体"/>
                <w:sz w:val="24"/>
              </w:rPr>
            </w:pPr>
            <w:r>
              <w:rPr>
                <w:rFonts w:ascii="Times New Roman" w:hAnsi="Times New Roman" w:eastAsia="宋体"/>
                <w:sz w:val="24"/>
              </w:rPr>
              <w:t>一、本报告表应附以下附件、附图：</w:t>
            </w:r>
          </w:p>
          <w:p>
            <w:pPr>
              <w:spacing w:line="360" w:lineRule="auto"/>
              <w:ind w:firstLine="480" w:firstLineChars="200"/>
              <w:rPr>
                <w:rFonts w:hint="eastAsia" w:ascii="Times New Roman" w:hAnsi="Times New Roman" w:eastAsia="宋体"/>
                <w:sz w:val="24"/>
              </w:rPr>
            </w:pPr>
            <w:r>
              <w:rPr>
                <w:rFonts w:ascii="Times New Roman" w:hAnsi="Times New Roman" w:eastAsia="宋体"/>
                <w:sz w:val="24"/>
              </w:rPr>
              <w:t xml:space="preserve">附件1  </w:t>
            </w:r>
            <w:r>
              <w:rPr>
                <w:rFonts w:hint="eastAsia" w:ascii="Times New Roman" w:hAnsi="Times New Roman" w:eastAsia="宋体"/>
                <w:sz w:val="24"/>
              </w:rPr>
              <w:t>项目委托书</w:t>
            </w:r>
          </w:p>
          <w:p>
            <w:pPr>
              <w:spacing w:line="360" w:lineRule="auto"/>
              <w:ind w:firstLine="480" w:firstLineChars="200"/>
              <w:rPr>
                <w:rFonts w:ascii="Times New Roman" w:hAnsi="Times New Roman" w:eastAsia="宋体"/>
                <w:sz w:val="24"/>
              </w:rPr>
            </w:pPr>
            <w:r>
              <w:rPr>
                <w:rFonts w:ascii="Times New Roman" w:hAnsi="Times New Roman" w:eastAsia="宋体"/>
                <w:sz w:val="24"/>
              </w:rPr>
              <w:t xml:space="preserve">附件2  </w:t>
            </w:r>
            <w:r>
              <w:rPr>
                <w:rFonts w:hint="eastAsia" w:ascii="Times New Roman" w:hAnsi="Times New Roman" w:eastAsia="宋体"/>
                <w:sz w:val="24"/>
              </w:rPr>
              <w:t>立项批准文件</w:t>
            </w:r>
          </w:p>
          <w:p>
            <w:pPr>
              <w:spacing w:line="360" w:lineRule="auto"/>
              <w:ind w:firstLine="480" w:firstLineChars="200"/>
              <w:rPr>
                <w:rFonts w:hint="eastAsia" w:ascii="Times New Roman" w:hAnsi="Times New Roman" w:eastAsia="宋体"/>
                <w:sz w:val="24"/>
                <w:lang w:val="en-US" w:eastAsia="zh-CN"/>
              </w:rPr>
            </w:pPr>
            <w:r>
              <w:rPr>
                <w:rFonts w:ascii="Times New Roman" w:hAnsi="Times New Roman" w:eastAsia="宋体"/>
                <w:sz w:val="24"/>
              </w:rPr>
              <w:t>附件3</w:t>
            </w:r>
            <w:r>
              <w:rPr>
                <w:rFonts w:hint="eastAsia" w:ascii="Times New Roman" w:hAnsi="Times New Roman" w:eastAsia="宋体"/>
                <w:sz w:val="24"/>
              </w:rPr>
              <w:t xml:space="preserve"> </w:t>
            </w:r>
            <w:r>
              <w:rPr>
                <w:rFonts w:ascii="Times New Roman" w:hAnsi="Times New Roman" w:eastAsia="宋体"/>
                <w:sz w:val="24"/>
              </w:rPr>
              <w:t xml:space="preserve"> </w:t>
            </w:r>
            <w:r>
              <w:rPr>
                <w:rFonts w:hint="eastAsia" w:ascii="Times New Roman" w:hAnsi="Times New Roman" w:eastAsia="宋体"/>
                <w:sz w:val="24"/>
                <w:lang w:val="en-US" w:eastAsia="zh-CN"/>
              </w:rPr>
              <w:t>承诺</w:t>
            </w:r>
          </w:p>
          <w:p>
            <w:pPr>
              <w:spacing w:line="360" w:lineRule="auto"/>
              <w:ind w:firstLine="480" w:firstLineChars="200"/>
              <w:rPr>
                <w:rFonts w:ascii="Times New Roman" w:hAnsi="Times New Roman" w:eastAsia="宋体"/>
                <w:sz w:val="24"/>
              </w:rPr>
            </w:pPr>
            <w:r>
              <w:rPr>
                <w:rFonts w:ascii="Times New Roman" w:hAnsi="Times New Roman" w:eastAsia="宋体"/>
                <w:sz w:val="24"/>
              </w:rPr>
              <w:t xml:space="preserve">附件4  </w:t>
            </w:r>
            <w:r>
              <w:rPr>
                <w:rFonts w:hint="eastAsia" w:ascii="Times New Roman" w:hAnsi="Times New Roman" w:eastAsia="宋体"/>
                <w:sz w:val="24"/>
              </w:rPr>
              <w:t>检测报告</w:t>
            </w:r>
          </w:p>
          <w:p>
            <w:pPr>
              <w:spacing w:line="360" w:lineRule="auto"/>
              <w:ind w:firstLine="480" w:firstLineChars="200"/>
              <w:rPr>
                <w:rFonts w:hint="default" w:ascii="Times New Roman" w:hAnsi="Times New Roman" w:eastAsia="宋体"/>
                <w:sz w:val="24"/>
                <w:lang w:val="en-US" w:eastAsia="zh-CN"/>
              </w:rPr>
            </w:pPr>
            <w:r>
              <w:rPr>
                <w:rFonts w:hint="eastAsia" w:ascii="Times New Roman" w:hAnsi="Times New Roman" w:eastAsia="宋体"/>
                <w:sz w:val="24"/>
              </w:rPr>
              <w:t>附件</w:t>
            </w:r>
            <w:r>
              <w:rPr>
                <w:rFonts w:ascii="Times New Roman" w:hAnsi="Times New Roman" w:eastAsia="宋体"/>
                <w:sz w:val="24"/>
              </w:rPr>
              <w:t xml:space="preserve">5  </w:t>
            </w:r>
            <w:r>
              <w:rPr>
                <w:rFonts w:hint="eastAsia" w:ascii="Times New Roman" w:hAnsi="Times New Roman" w:eastAsia="宋体"/>
                <w:sz w:val="24"/>
                <w:lang w:val="en-US" w:eastAsia="zh-CN"/>
              </w:rPr>
              <w:t>原环评批复</w:t>
            </w:r>
          </w:p>
          <w:p>
            <w:pPr>
              <w:spacing w:line="360" w:lineRule="auto"/>
              <w:ind w:firstLine="480" w:firstLineChars="200"/>
              <w:rPr>
                <w:rFonts w:hint="default" w:ascii="Times New Roman" w:hAnsi="Times New Roman" w:eastAsia="宋体"/>
                <w:sz w:val="24"/>
                <w:lang w:val="en-US" w:eastAsia="zh-CN"/>
              </w:rPr>
            </w:pPr>
            <w:r>
              <w:rPr>
                <w:rFonts w:hint="eastAsia" w:ascii="Times New Roman" w:hAnsi="Times New Roman" w:eastAsia="宋体"/>
                <w:sz w:val="24"/>
              </w:rPr>
              <w:t>附件6</w:t>
            </w:r>
            <w:r>
              <w:rPr>
                <w:rFonts w:ascii="Times New Roman" w:hAnsi="Times New Roman" w:eastAsia="宋体"/>
                <w:sz w:val="24"/>
              </w:rPr>
              <w:t xml:space="preserve">  </w:t>
            </w:r>
            <w:r>
              <w:rPr>
                <w:rFonts w:hint="eastAsia" w:ascii="Times New Roman" w:hAnsi="Times New Roman" w:eastAsia="宋体"/>
                <w:sz w:val="24"/>
                <w:lang w:val="en-US" w:eastAsia="zh-CN"/>
              </w:rPr>
              <w:t>原环评验收</w:t>
            </w:r>
          </w:p>
          <w:p>
            <w:pPr>
              <w:spacing w:line="360" w:lineRule="auto"/>
              <w:ind w:firstLine="480" w:firstLineChars="200"/>
              <w:rPr>
                <w:rFonts w:ascii="Times New Roman" w:hAnsi="Times New Roman" w:eastAsia="宋体"/>
                <w:sz w:val="24"/>
              </w:rPr>
            </w:pPr>
            <w:r>
              <w:rPr>
                <w:rFonts w:ascii="Times New Roman" w:hAnsi="Times New Roman" w:eastAsia="宋体"/>
                <w:sz w:val="24"/>
              </w:rPr>
              <w:t>附图1  项目地理位置图（应反映行政区划、水系、标明纳污口位置</w:t>
            </w:r>
          </w:p>
          <w:p>
            <w:pPr>
              <w:spacing w:line="360" w:lineRule="auto"/>
              <w:rPr>
                <w:rFonts w:ascii="Times New Roman" w:hAnsi="Times New Roman" w:eastAsia="宋体"/>
                <w:sz w:val="24"/>
              </w:rPr>
            </w:pPr>
            <w:r>
              <w:rPr>
                <w:rFonts w:ascii="Times New Roman" w:hAnsi="Times New Roman" w:eastAsia="宋体"/>
                <w:sz w:val="24"/>
              </w:rPr>
              <w:t xml:space="preserve">           和地形地貌等）</w:t>
            </w:r>
          </w:p>
          <w:p>
            <w:pPr>
              <w:spacing w:line="360" w:lineRule="auto"/>
              <w:ind w:firstLine="480" w:firstLineChars="200"/>
              <w:rPr>
                <w:rFonts w:ascii="Times New Roman" w:hAnsi="Times New Roman" w:eastAsia="宋体"/>
                <w:sz w:val="24"/>
              </w:rPr>
            </w:pPr>
            <w:r>
              <w:rPr>
                <w:rFonts w:hint="eastAsia" w:ascii="Times New Roman" w:hAnsi="Times New Roman" w:eastAsia="宋体"/>
                <w:sz w:val="24"/>
              </w:rPr>
              <w:t>附图2</w:t>
            </w:r>
            <w:r>
              <w:rPr>
                <w:rFonts w:ascii="Times New Roman" w:hAnsi="Times New Roman" w:eastAsia="宋体"/>
                <w:sz w:val="24"/>
              </w:rPr>
              <w:t xml:space="preserve">  </w:t>
            </w:r>
            <w:r>
              <w:rPr>
                <w:rFonts w:hint="eastAsia" w:ascii="Times New Roman" w:hAnsi="Times New Roman" w:eastAsia="宋体"/>
                <w:sz w:val="24"/>
              </w:rPr>
              <w:t>项目周边环境示意图</w:t>
            </w:r>
          </w:p>
          <w:p>
            <w:pPr>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附图3  厂区平面布置图</w:t>
            </w:r>
          </w:p>
          <w:p>
            <w:pPr>
              <w:spacing w:line="360" w:lineRule="auto"/>
              <w:ind w:firstLine="480" w:firstLineChars="200"/>
              <w:rPr>
                <w:rFonts w:ascii="Times New Roman" w:hAnsi="Times New Roman" w:eastAsia="宋体"/>
                <w:sz w:val="24"/>
              </w:rPr>
            </w:pPr>
            <w:r>
              <w:rPr>
                <w:rFonts w:ascii="Times New Roman" w:hAnsi="Times New Roman" w:eastAsia="宋体"/>
                <w:sz w:val="24"/>
              </w:rPr>
              <w:t>二、如果本报告表不能说明项目产生的污染及对环境造成的影响，应进行专项评价。根据建设项目的特点和当地环境特征，应选下列1—2项进行专项评价。</w:t>
            </w:r>
          </w:p>
          <w:p>
            <w:pPr>
              <w:spacing w:line="360" w:lineRule="auto"/>
              <w:ind w:firstLine="480" w:firstLineChars="200"/>
              <w:rPr>
                <w:rFonts w:ascii="Times New Roman" w:hAnsi="Times New Roman" w:eastAsia="宋体"/>
                <w:sz w:val="24"/>
              </w:rPr>
            </w:pPr>
            <w:r>
              <w:rPr>
                <w:rFonts w:ascii="Times New Roman" w:hAnsi="Times New Roman" w:eastAsia="宋体"/>
                <w:sz w:val="24"/>
              </w:rPr>
              <w:t>1、大气环境影响专项评价</w:t>
            </w:r>
          </w:p>
          <w:p>
            <w:pPr>
              <w:spacing w:line="360" w:lineRule="auto"/>
              <w:ind w:firstLine="480" w:firstLineChars="200"/>
              <w:rPr>
                <w:rFonts w:ascii="Times New Roman" w:hAnsi="Times New Roman" w:eastAsia="宋体"/>
                <w:sz w:val="24"/>
              </w:rPr>
            </w:pPr>
            <w:r>
              <w:rPr>
                <w:rFonts w:ascii="Times New Roman" w:hAnsi="Times New Roman" w:eastAsia="宋体"/>
                <w:sz w:val="24"/>
              </w:rPr>
              <w:t>2、水环境影响专项评价（包括地表水和地下水）</w:t>
            </w:r>
          </w:p>
          <w:p>
            <w:pPr>
              <w:spacing w:line="360" w:lineRule="auto"/>
              <w:ind w:firstLine="480" w:firstLineChars="200"/>
              <w:rPr>
                <w:rFonts w:ascii="Times New Roman" w:hAnsi="Times New Roman" w:eastAsia="宋体"/>
                <w:sz w:val="24"/>
              </w:rPr>
            </w:pPr>
            <w:r>
              <w:rPr>
                <w:rFonts w:ascii="Times New Roman" w:hAnsi="Times New Roman" w:eastAsia="宋体"/>
                <w:sz w:val="24"/>
              </w:rPr>
              <w:t>3、生态影响专项评价</w:t>
            </w:r>
          </w:p>
          <w:p>
            <w:pPr>
              <w:spacing w:line="360" w:lineRule="auto"/>
              <w:ind w:firstLine="480" w:firstLineChars="200"/>
              <w:rPr>
                <w:rFonts w:ascii="Times New Roman" w:hAnsi="Times New Roman" w:eastAsia="宋体"/>
                <w:sz w:val="24"/>
              </w:rPr>
            </w:pPr>
            <w:r>
              <w:rPr>
                <w:rFonts w:ascii="Times New Roman" w:hAnsi="Times New Roman" w:eastAsia="宋体"/>
                <w:sz w:val="24"/>
              </w:rPr>
              <w:t>4、声影响专项评价</w:t>
            </w:r>
          </w:p>
          <w:p>
            <w:pPr>
              <w:spacing w:line="360" w:lineRule="auto"/>
              <w:ind w:firstLine="480" w:firstLineChars="200"/>
              <w:rPr>
                <w:rFonts w:ascii="Times New Roman" w:hAnsi="Times New Roman" w:eastAsia="宋体"/>
                <w:sz w:val="24"/>
              </w:rPr>
            </w:pPr>
            <w:r>
              <w:rPr>
                <w:rFonts w:ascii="Times New Roman" w:hAnsi="Times New Roman" w:eastAsia="宋体"/>
                <w:sz w:val="24"/>
              </w:rPr>
              <w:t>5、土壤影响专项评价</w:t>
            </w:r>
          </w:p>
          <w:p>
            <w:pPr>
              <w:spacing w:line="360" w:lineRule="auto"/>
              <w:ind w:firstLine="480" w:firstLineChars="200"/>
              <w:rPr>
                <w:rFonts w:ascii="Times New Roman" w:hAnsi="Times New Roman" w:eastAsia="宋体"/>
                <w:sz w:val="24"/>
              </w:rPr>
            </w:pPr>
            <w:r>
              <w:rPr>
                <w:rFonts w:ascii="Times New Roman" w:hAnsi="Times New Roman" w:eastAsia="宋体"/>
                <w:sz w:val="24"/>
              </w:rPr>
              <w:t>6、</w:t>
            </w:r>
            <w:r>
              <w:rPr>
                <w:rFonts w:hint="eastAsia" w:ascii="Times New Roman" w:hAnsi="Times New Roman" w:eastAsia="宋体"/>
                <w:sz w:val="24"/>
              </w:rPr>
              <w:t>固体废物</w:t>
            </w:r>
            <w:r>
              <w:rPr>
                <w:rFonts w:ascii="Times New Roman" w:hAnsi="Times New Roman" w:eastAsia="宋体"/>
                <w:sz w:val="24"/>
              </w:rPr>
              <w:t>影响专项评价</w:t>
            </w:r>
          </w:p>
          <w:p>
            <w:pPr>
              <w:spacing w:line="360" w:lineRule="auto"/>
              <w:ind w:firstLine="480" w:firstLineChars="200"/>
              <w:rPr>
                <w:rFonts w:hint="eastAsia" w:ascii="Times New Roman" w:hAnsi="Times New Roman" w:eastAsia="宋体"/>
                <w:sz w:val="24"/>
              </w:rPr>
            </w:pPr>
            <w:r>
              <w:rPr>
                <w:rFonts w:ascii="Times New Roman" w:hAnsi="Times New Roman" w:eastAsia="宋体"/>
                <w:sz w:val="24"/>
              </w:rPr>
              <w:t>以上专项评价未包括的可另列专项，专项评价按照《环境影响评价技术导则》中的要求进行。</w:t>
            </w:r>
          </w:p>
          <w:p>
            <w:pPr>
              <w:spacing w:line="480" w:lineRule="auto"/>
              <w:rPr>
                <w:rFonts w:hint="eastAsia" w:ascii="Times New Roman" w:hAnsi="Times New Roman" w:eastAsia="宋体"/>
                <w:sz w:val="24"/>
              </w:rPr>
            </w:pPr>
          </w:p>
        </w:tc>
      </w:tr>
    </w:tbl>
    <w:p>
      <w:pPr>
        <w:rPr>
          <w:rFonts w:hint="eastAsia" w:ascii="Times New Roman" w:hAnsi="Times New Roman" w:eastAsia="宋体"/>
          <w:color w:val="000000"/>
        </w:rPr>
      </w:pPr>
    </w:p>
    <w:sectPr>
      <w:pgSz w:w="11906" w:h="16838"/>
      <w:pgMar w:top="1440" w:right="1800" w:bottom="1559"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Arial Black">
    <w:panose1 w:val="020B0A04020102020204"/>
    <w:charset w:val="00"/>
    <w:family w:val="swiss"/>
    <w:pitch w:val="default"/>
    <w:sig w:usb0="A00002AF" w:usb1="400078FB" w:usb2="00000000" w:usb3="00000000" w:csb0="6000009F" w:csb1="DFD70000"/>
  </w:font>
  <w:font w:name="??">
    <w:altName w:val="Times New Roman"/>
    <w:panose1 w:val="00000000000000000000"/>
    <w:charset w:val="00"/>
    <w:family w:val="roman"/>
    <w:pitch w:val="default"/>
    <w:sig w:usb0="00000000" w:usb1="00000000" w:usb2="00000000"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MS Gothic">
    <w:panose1 w:val="020B0609070205080204"/>
    <w:charset w:val="80"/>
    <w:family w:val="modern"/>
    <w:pitch w:val="default"/>
    <w:sig w:usb0="E00002FF" w:usb1="6AC7FDFB" w:usb2="08000012" w:usb3="00000000" w:csb0="4002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90" w:firstLineChars="50"/>
      <w:jc w:val="both"/>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Style w:val="34"/>
        <w:rFonts w:hint="eastAsia"/>
      </w:rP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ljzNVs0BAACeAwAADgAAAAAAAAABACAAAAAeAQAAZHJzL2Uy&#10;b0RvYy54bWxQSwUGAAAAAAYABgBZAQAAXQU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p>
    <w:pPr>
      <w:pStyle w:val="19"/>
      <w:jc w:val="center"/>
      <w:rPr>
        <w:rFonts w:hint="eastAsia"/>
      </w:rPr>
    </w:pPr>
    <w:r>
      <w:rPr>
        <w:rStyle w:val="34"/>
        <w:rFonts w:hint="eastAsia"/>
      </w:rPr>
      <w:t xml:space="preserve">                               </w:t>
    </w:r>
    <w:r>
      <w:rPr>
        <w:rFonts w:hint="eastAsia"/>
      </w:rPr>
      <w:t xml:space="preserve">                       </w:t>
    </w:r>
    <w:r>
      <w:rPr>
        <w:sz w:val="21"/>
        <w:szCs w:val="21"/>
      </w:rPr>
      <w:tab/>
    </w:r>
    <w:r>
      <w:rPr>
        <w:rStyle w:val="34"/>
        <w:rFonts w:hint="eastAsia"/>
        <w:sz w:val="21"/>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A1F737"/>
    <w:multiLevelType w:val="singleLevel"/>
    <w:tmpl w:val="BFA1F737"/>
    <w:lvl w:ilvl="0" w:tentative="0">
      <w:start w:val="1"/>
      <w:numFmt w:val="decimal"/>
      <w:suff w:val="nothing"/>
      <w:lvlText w:val="%1、"/>
      <w:lvlJc w:val="left"/>
    </w:lvl>
  </w:abstractNum>
  <w:abstractNum w:abstractNumId="1">
    <w:nsid w:val="00000003"/>
    <w:multiLevelType w:val="singleLevel"/>
    <w:tmpl w:val="00000003"/>
    <w:lvl w:ilvl="0" w:tentative="0">
      <w:start w:val="1"/>
      <w:numFmt w:val="decimal"/>
      <w:lvlText w:val="%1."/>
      <w:lvlJc w:val="left"/>
      <w:pPr>
        <w:tabs>
          <w:tab w:val="left" w:pos="780"/>
        </w:tabs>
        <w:ind w:left="780" w:hanging="210"/>
      </w:pPr>
      <w:rPr>
        <w:rFonts w:hint="eastAsia" w:cs="Times New Roman"/>
      </w:rPr>
    </w:lvl>
  </w:abstractNum>
  <w:abstractNum w:abstractNumId="2">
    <w:nsid w:val="35C3CF50"/>
    <w:multiLevelType w:val="singleLevel"/>
    <w:tmpl w:val="35C3CF50"/>
    <w:lvl w:ilvl="0" w:tentative="0">
      <w:start w:val="1"/>
      <w:numFmt w:val="chineseCounting"/>
      <w:suff w:val="nothing"/>
      <w:lvlText w:val="%1、"/>
      <w:lvlJc w:val="left"/>
      <w:rPr>
        <w:rFonts w:hint="eastAsia"/>
      </w:rPr>
    </w:lvl>
  </w:abstractNum>
  <w:abstractNum w:abstractNumId="3">
    <w:nsid w:val="583FBD85"/>
    <w:multiLevelType w:val="singleLevel"/>
    <w:tmpl w:val="583FBD85"/>
    <w:lvl w:ilvl="0" w:tentative="0">
      <w:start w:val="1"/>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DC9"/>
    <w:rsid w:val="00000EFA"/>
    <w:rsid w:val="0000120D"/>
    <w:rsid w:val="00001254"/>
    <w:rsid w:val="00001465"/>
    <w:rsid w:val="000022AE"/>
    <w:rsid w:val="0000304C"/>
    <w:rsid w:val="00003081"/>
    <w:rsid w:val="0000371C"/>
    <w:rsid w:val="00003A7D"/>
    <w:rsid w:val="0000452A"/>
    <w:rsid w:val="00004EBE"/>
    <w:rsid w:val="000050B7"/>
    <w:rsid w:val="000055E1"/>
    <w:rsid w:val="00005BD6"/>
    <w:rsid w:val="0000623D"/>
    <w:rsid w:val="00006346"/>
    <w:rsid w:val="0000703B"/>
    <w:rsid w:val="00007761"/>
    <w:rsid w:val="00007A1C"/>
    <w:rsid w:val="00010389"/>
    <w:rsid w:val="00010B86"/>
    <w:rsid w:val="00010D60"/>
    <w:rsid w:val="00010FF2"/>
    <w:rsid w:val="0001118E"/>
    <w:rsid w:val="00012237"/>
    <w:rsid w:val="000122B4"/>
    <w:rsid w:val="0001241E"/>
    <w:rsid w:val="00012903"/>
    <w:rsid w:val="00013335"/>
    <w:rsid w:val="000134AE"/>
    <w:rsid w:val="00014730"/>
    <w:rsid w:val="00014F0D"/>
    <w:rsid w:val="00015256"/>
    <w:rsid w:val="00015482"/>
    <w:rsid w:val="00015861"/>
    <w:rsid w:val="000159C4"/>
    <w:rsid w:val="00015A86"/>
    <w:rsid w:val="00015F03"/>
    <w:rsid w:val="00016338"/>
    <w:rsid w:val="0001694A"/>
    <w:rsid w:val="00016957"/>
    <w:rsid w:val="000174A7"/>
    <w:rsid w:val="00017CEC"/>
    <w:rsid w:val="00020648"/>
    <w:rsid w:val="000206A2"/>
    <w:rsid w:val="000210FB"/>
    <w:rsid w:val="000211C0"/>
    <w:rsid w:val="00021684"/>
    <w:rsid w:val="00021E0B"/>
    <w:rsid w:val="00021EF2"/>
    <w:rsid w:val="0002231C"/>
    <w:rsid w:val="000229DD"/>
    <w:rsid w:val="000234CC"/>
    <w:rsid w:val="0002385E"/>
    <w:rsid w:val="00023D86"/>
    <w:rsid w:val="00024B64"/>
    <w:rsid w:val="00024D93"/>
    <w:rsid w:val="00024E32"/>
    <w:rsid w:val="00025019"/>
    <w:rsid w:val="00025032"/>
    <w:rsid w:val="00025BF8"/>
    <w:rsid w:val="00025EAA"/>
    <w:rsid w:val="0002646F"/>
    <w:rsid w:val="00026865"/>
    <w:rsid w:val="00026BFD"/>
    <w:rsid w:val="0002794D"/>
    <w:rsid w:val="00027D0A"/>
    <w:rsid w:val="00027D28"/>
    <w:rsid w:val="00027D36"/>
    <w:rsid w:val="00030349"/>
    <w:rsid w:val="00030547"/>
    <w:rsid w:val="000306A8"/>
    <w:rsid w:val="00030EF5"/>
    <w:rsid w:val="000315A3"/>
    <w:rsid w:val="000316EF"/>
    <w:rsid w:val="00032229"/>
    <w:rsid w:val="00032679"/>
    <w:rsid w:val="00032950"/>
    <w:rsid w:val="00032D5F"/>
    <w:rsid w:val="00032FBC"/>
    <w:rsid w:val="000336AE"/>
    <w:rsid w:val="0003370B"/>
    <w:rsid w:val="00033D86"/>
    <w:rsid w:val="000344AC"/>
    <w:rsid w:val="000355A6"/>
    <w:rsid w:val="0003585E"/>
    <w:rsid w:val="00036078"/>
    <w:rsid w:val="0003645F"/>
    <w:rsid w:val="000367C2"/>
    <w:rsid w:val="000367E0"/>
    <w:rsid w:val="00036BA2"/>
    <w:rsid w:val="00037560"/>
    <w:rsid w:val="000403A9"/>
    <w:rsid w:val="0004052A"/>
    <w:rsid w:val="00040950"/>
    <w:rsid w:val="00041083"/>
    <w:rsid w:val="000412C2"/>
    <w:rsid w:val="000417A2"/>
    <w:rsid w:val="0004181F"/>
    <w:rsid w:val="0004259B"/>
    <w:rsid w:val="000426D8"/>
    <w:rsid w:val="00042DE0"/>
    <w:rsid w:val="00043290"/>
    <w:rsid w:val="0004360A"/>
    <w:rsid w:val="000447DA"/>
    <w:rsid w:val="00044908"/>
    <w:rsid w:val="00044FD0"/>
    <w:rsid w:val="00044FD9"/>
    <w:rsid w:val="000452D9"/>
    <w:rsid w:val="00045B8C"/>
    <w:rsid w:val="00046981"/>
    <w:rsid w:val="00046BD6"/>
    <w:rsid w:val="00046D1B"/>
    <w:rsid w:val="0004767C"/>
    <w:rsid w:val="00047754"/>
    <w:rsid w:val="00047EB8"/>
    <w:rsid w:val="000502FC"/>
    <w:rsid w:val="00050350"/>
    <w:rsid w:val="00050BA3"/>
    <w:rsid w:val="000518F0"/>
    <w:rsid w:val="0005202E"/>
    <w:rsid w:val="0005237C"/>
    <w:rsid w:val="000528E3"/>
    <w:rsid w:val="00052C49"/>
    <w:rsid w:val="00052C4D"/>
    <w:rsid w:val="000531F2"/>
    <w:rsid w:val="000534BB"/>
    <w:rsid w:val="0005354E"/>
    <w:rsid w:val="00053598"/>
    <w:rsid w:val="000537A7"/>
    <w:rsid w:val="00053986"/>
    <w:rsid w:val="00053EBB"/>
    <w:rsid w:val="00054392"/>
    <w:rsid w:val="00054AB6"/>
    <w:rsid w:val="00054DFF"/>
    <w:rsid w:val="00056089"/>
    <w:rsid w:val="000568C4"/>
    <w:rsid w:val="00056FA8"/>
    <w:rsid w:val="0005728A"/>
    <w:rsid w:val="00057292"/>
    <w:rsid w:val="0005794D"/>
    <w:rsid w:val="00057BCC"/>
    <w:rsid w:val="000600D6"/>
    <w:rsid w:val="000605A5"/>
    <w:rsid w:val="000607D4"/>
    <w:rsid w:val="00060E65"/>
    <w:rsid w:val="00060F32"/>
    <w:rsid w:val="000610D4"/>
    <w:rsid w:val="00061C1F"/>
    <w:rsid w:val="00061E3E"/>
    <w:rsid w:val="00061E8D"/>
    <w:rsid w:val="00062927"/>
    <w:rsid w:val="00063344"/>
    <w:rsid w:val="00064274"/>
    <w:rsid w:val="000646E7"/>
    <w:rsid w:val="00064E8F"/>
    <w:rsid w:val="0006507A"/>
    <w:rsid w:val="00065209"/>
    <w:rsid w:val="00065EC0"/>
    <w:rsid w:val="00065F82"/>
    <w:rsid w:val="0006602A"/>
    <w:rsid w:val="000668DC"/>
    <w:rsid w:val="000700ED"/>
    <w:rsid w:val="00070699"/>
    <w:rsid w:val="00070F58"/>
    <w:rsid w:val="0007254C"/>
    <w:rsid w:val="000725C6"/>
    <w:rsid w:val="00073A57"/>
    <w:rsid w:val="00073F89"/>
    <w:rsid w:val="000746EA"/>
    <w:rsid w:val="0007475D"/>
    <w:rsid w:val="0007490B"/>
    <w:rsid w:val="00075207"/>
    <w:rsid w:val="00075F01"/>
    <w:rsid w:val="00075F11"/>
    <w:rsid w:val="00076448"/>
    <w:rsid w:val="000765F1"/>
    <w:rsid w:val="0007662E"/>
    <w:rsid w:val="00076987"/>
    <w:rsid w:val="00076E65"/>
    <w:rsid w:val="0007758B"/>
    <w:rsid w:val="00080029"/>
    <w:rsid w:val="00080B57"/>
    <w:rsid w:val="00080C82"/>
    <w:rsid w:val="00080EC7"/>
    <w:rsid w:val="00081CA8"/>
    <w:rsid w:val="000820E3"/>
    <w:rsid w:val="000822DF"/>
    <w:rsid w:val="00083CDF"/>
    <w:rsid w:val="00083E91"/>
    <w:rsid w:val="000858C7"/>
    <w:rsid w:val="00085A5B"/>
    <w:rsid w:val="00085B1B"/>
    <w:rsid w:val="0008622A"/>
    <w:rsid w:val="0008623E"/>
    <w:rsid w:val="00086401"/>
    <w:rsid w:val="0008744B"/>
    <w:rsid w:val="000879B5"/>
    <w:rsid w:val="00090110"/>
    <w:rsid w:val="00090727"/>
    <w:rsid w:val="00090970"/>
    <w:rsid w:val="00090C73"/>
    <w:rsid w:val="00090E5B"/>
    <w:rsid w:val="00091E20"/>
    <w:rsid w:val="00092753"/>
    <w:rsid w:val="000928DF"/>
    <w:rsid w:val="00092BB1"/>
    <w:rsid w:val="00093B14"/>
    <w:rsid w:val="00093BC9"/>
    <w:rsid w:val="00093E46"/>
    <w:rsid w:val="00093FCD"/>
    <w:rsid w:val="00094210"/>
    <w:rsid w:val="00094946"/>
    <w:rsid w:val="00094D80"/>
    <w:rsid w:val="000959C0"/>
    <w:rsid w:val="00095FA4"/>
    <w:rsid w:val="00095FD2"/>
    <w:rsid w:val="000963EE"/>
    <w:rsid w:val="000964A0"/>
    <w:rsid w:val="000977B3"/>
    <w:rsid w:val="00097A5B"/>
    <w:rsid w:val="000A086D"/>
    <w:rsid w:val="000A0A96"/>
    <w:rsid w:val="000A0B93"/>
    <w:rsid w:val="000A1E8C"/>
    <w:rsid w:val="000A2165"/>
    <w:rsid w:val="000A280C"/>
    <w:rsid w:val="000A33CF"/>
    <w:rsid w:val="000A45B9"/>
    <w:rsid w:val="000A4612"/>
    <w:rsid w:val="000A4747"/>
    <w:rsid w:val="000A4B2A"/>
    <w:rsid w:val="000A4E85"/>
    <w:rsid w:val="000A5157"/>
    <w:rsid w:val="000A5F18"/>
    <w:rsid w:val="000A5FA8"/>
    <w:rsid w:val="000A625E"/>
    <w:rsid w:val="000A68EA"/>
    <w:rsid w:val="000A69A0"/>
    <w:rsid w:val="000A6A3D"/>
    <w:rsid w:val="000A72B1"/>
    <w:rsid w:val="000A73A8"/>
    <w:rsid w:val="000A76BF"/>
    <w:rsid w:val="000B0201"/>
    <w:rsid w:val="000B06CE"/>
    <w:rsid w:val="000B0F3C"/>
    <w:rsid w:val="000B116C"/>
    <w:rsid w:val="000B23E7"/>
    <w:rsid w:val="000B2643"/>
    <w:rsid w:val="000B26A2"/>
    <w:rsid w:val="000B27B4"/>
    <w:rsid w:val="000B290D"/>
    <w:rsid w:val="000B2E8B"/>
    <w:rsid w:val="000B337E"/>
    <w:rsid w:val="000B3931"/>
    <w:rsid w:val="000B3B91"/>
    <w:rsid w:val="000B4181"/>
    <w:rsid w:val="000B42D9"/>
    <w:rsid w:val="000B46C5"/>
    <w:rsid w:val="000B4DF6"/>
    <w:rsid w:val="000B540B"/>
    <w:rsid w:val="000B54A0"/>
    <w:rsid w:val="000B593F"/>
    <w:rsid w:val="000B5C78"/>
    <w:rsid w:val="000B5D28"/>
    <w:rsid w:val="000B5D2A"/>
    <w:rsid w:val="000C0762"/>
    <w:rsid w:val="000C0C62"/>
    <w:rsid w:val="000C1335"/>
    <w:rsid w:val="000C16AD"/>
    <w:rsid w:val="000C2094"/>
    <w:rsid w:val="000C21D9"/>
    <w:rsid w:val="000C25B8"/>
    <w:rsid w:val="000C266C"/>
    <w:rsid w:val="000C2BE6"/>
    <w:rsid w:val="000C2D5A"/>
    <w:rsid w:val="000C2F9A"/>
    <w:rsid w:val="000C317B"/>
    <w:rsid w:val="000C349C"/>
    <w:rsid w:val="000C373F"/>
    <w:rsid w:val="000C4595"/>
    <w:rsid w:val="000C4679"/>
    <w:rsid w:val="000C48C0"/>
    <w:rsid w:val="000C5101"/>
    <w:rsid w:val="000C5352"/>
    <w:rsid w:val="000C5392"/>
    <w:rsid w:val="000C5934"/>
    <w:rsid w:val="000C5952"/>
    <w:rsid w:val="000C5E37"/>
    <w:rsid w:val="000C6C32"/>
    <w:rsid w:val="000C6ECE"/>
    <w:rsid w:val="000C7405"/>
    <w:rsid w:val="000C7415"/>
    <w:rsid w:val="000C756B"/>
    <w:rsid w:val="000C7798"/>
    <w:rsid w:val="000C7A2E"/>
    <w:rsid w:val="000C7E22"/>
    <w:rsid w:val="000C7EF7"/>
    <w:rsid w:val="000D01B2"/>
    <w:rsid w:val="000D073C"/>
    <w:rsid w:val="000D22FF"/>
    <w:rsid w:val="000D26FA"/>
    <w:rsid w:val="000D2BBC"/>
    <w:rsid w:val="000D2C3A"/>
    <w:rsid w:val="000D30E1"/>
    <w:rsid w:val="000D31BC"/>
    <w:rsid w:val="000D35E1"/>
    <w:rsid w:val="000D4358"/>
    <w:rsid w:val="000D606A"/>
    <w:rsid w:val="000D691C"/>
    <w:rsid w:val="000D6DAE"/>
    <w:rsid w:val="000D6E3D"/>
    <w:rsid w:val="000D794F"/>
    <w:rsid w:val="000E076B"/>
    <w:rsid w:val="000E13DC"/>
    <w:rsid w:val="000E153D"/>
    <w:rsid w:val="000E174C"/>
    <w:rsid w:val="000E1F47"/>
    <w:rsid w:val="000E249B"/>
    <w:rsid w:val="000E2808"/>
    <w:rsid w:val="000E32CF"/>
    <w:rsid w:val="000E3A89"/>
    <w:rsid w:val="000E41E7"/>
    <w:rsid w:val="000E479B"/>
    <w:rsid w:val="000E4AAE"/>
    <w:rsid w:val="000E4B4C"/>
    <w:rsid w:val="000E525C"/>
    <w:rsid w:val="000E5ABC"/>
    <w:rsid w:val="000E5EB3"/>
    <w:rsid w:val="000E6234"/>
    <w:rsid w:val="000E65C2"/>
    <w:rsid w:val="000E765B"/>
    <w:rsid w:val="000E7C19"/>
    <w:rsid w:val="000E7C9A"/>
    <w:rsid w:val="000F0AD1"/>
    <w:rsid w:val="000F1292"/>
    <w:rsid w:val="000F14F5"/>
    <w:rsid w:val="000F15E2"/>
    <w:rsid w:val="000F1BDE"/>
    <w:rsid w:val="000F1C88"/>
    <w:rsid w:val="000F21B1"/>
    <w:rsid w:val="000F235C"/>
    <w:rsid w:val="000F2461"/>
    <w:rsid w:val="000F24CE"/>
    <w:rsid w:val="000F2A9D"/>
    <w:rsid w:val="000F2CA0"/>
    <w:rsid w:val="000F3B10"/>
    <w:rsid w:val="000F3B76"/>
    <w:rsid w:val="000F4FDA"/>
    <w:rsid w:val="000F50C8"/>
    <w:rsid w:val="000F54AA"/>
    <w:rsid w:val="000F57CD"/>
    <w:rsid w:val="000F5D7B"/>
    <w:rsid w:val="000F65D9"/>
    <w:rsid w:val="000F67C7"/>
    <w:rsid w:val="000F6AA9"/>
    <w:rsid w:val="000F6D68"/>
    <w:rsid w:val="000F748F"/>
    <w:rsid w:val="001001C7"/>
    <w:rsid w:val="00100857"/>
    <w:rsid w:val="0010112E"/>
    <w:rsid w:val="00101398"/>
    <w:rsid w:val="00101454"/>
    <w:rsid w:val="00101EEF"/>
    <w:rsid w:val="00101F00"/>
    <w:rsid w:val="00102AB8"/>
    <w:rsid w:val="00103440"/>
    <w:rsid w:val="00103DDF"/>
    <w:rsid w:val="0010419E"/>
    <w:rsid w:val="0010436F"/>
    <w:rsid w:val="00104677"/>
    <w:rsid w:val="00104E47"/>
    <w:rsid w:val="00104FB3"/>
    <w:rsid w:val="001052FC"/>
    <w:rsid w:val="001054FF"/>
    <w:rsid w:val="0010571C"/>
    <w:rsid w:val="00105861"/>
    <w:rsid w:val="00105A88"/>
    <w:rsid w:val="0010653F"/>
    <w:rsid w:val="001066F0"/>
    <w:rsid w:val="00107714"/>
    <w:rsid w:val="0010781C"/>
    <w:rsid w:val="00107A9D"/>
    <w:rsid w:val="0011019A"/>
    <w:rsid w:val="00110E97"/>
    <w:rsid w:val="00110F44"/>
    <w:rsid w:val="00111218"/>
    <w:rsid w:val="001118F5"/>
    <w:rsid w:val="00111983"/>
    <w:rsid w:val="00111A53"/>
    <w:rsid w:val="00111C07"/>
    <w:rsid w:val="00111D1E"/>
    <w:rsid w:val="00111D1F"/>
    <w:rsid w:val="001126FD"/>
    <w:rsid w:val="00112DB7"/>
    <w:rsid w:val="00112F5E"/>
    <w:rsid w:val="0011327D"/>
    <w:rsid w:val="00113B28"/>
    <w:rsid w:val="00113EDC"/>
    <w:rsid w:val="00114046"/>
    <w:rsid w:val="00114ADE"/>
    <w:rsid w:val="00114FF4"/>
    <w:rsid w:val="00115703"/>
    <w:rsid w:val="00115AE7"/>
    <w:rsid w:val="001163BB"/>
    <w:rsid w:val="0011666A"/>
    <w:rsid w:val="00116FB5"/>
    <w:rsid w:val="0011703F"/>
    <w:rsid w:val="0011738F"/>
    <w:rsid w:val="0011741B"/>
    <w:rsid w:val="00117D86"/>
    <w:rsid w:val="00120280"/>
    <w:rsid w:val="00120488"/>
    <w:rsid w:val="00120ED9"/>
    <w:rsid w:val="00120FA0"/>
    <w:rsid w:val="00121A18"/>
    <w:rsid w:val="00121DDF"/>
    <w:rsid w:val="0012253D"/>
    <w:rsid w:val="00122A97"/>
    <w:rsid w:val="00122A9F"/>
    <w:rsid w:val="00122BC6"/>
    <w:rsid w:val="00123907"/>
    <w:rsid w:val="00123A4D"/>
    <w:rsid w:val="00123BC9"/>
    <w:rsid w:val="00123E5A"/>
    <w:rsid w:val="001242EE"/>
    <w:rsid w:val="00124DE7"/>
    <w:rsid w:val="00126089"/>
    <w:rsid w:val="00127275"/>
    <w:rsid w:val="001273CC"/>
    <w:rsid w:val="00127807"/>
    <w:rsid w:val="0012795E"/>
    <w:rsid w:val="00130461"/>
    <w:rsid w:val="00130657"/>
    <w:rsid w:val="00130854"/>
    <w:rsid w:val="0013199B"/>
    <w:rsid w:val="00131D0F"/>
    <w:rsid w:val="00132970"/>
    <w:rsid w:val="00133075"/>
    <w:rsid w:val="00133E15"/>
    <w:rsid w:val="00133F1A"/>
    <w:rsid w:val="00134690"/>
    <w:rsid w:val="0013485B"/>
    <w:rsid w:val="001348E2"/>
    <w:rsid w:val="00134CFA"/>
    <w:rsid w:val="0013582D"/>
    <w:rsid w:val="00136968"/>
    <w:rsid w:val="00136A34"/>
    <w:rsid w:val="001373D5"/>
    <w:rsid w:val="001373F7"/>
    <w:rsid w:val="001377B2"/>
    <w:rsid w:val="00137B1F"/>
    <w:rsid w:val="00140185"/>
    <w:rsid w:val="0014043A"/>
    <w:rsid w:val="0014079C"/>
    <w:rsid w:val="00141006"/>
    <w:rsid w:val="001419E3"/>
    <w:rsid w:val="001422A5"/>
    <w:rsid w:val="001423A9"/>
    <w:rsid w:val="00142A0E"/>
    <w:rsid w:val="00142AAF"/>
    <w:rsid w:val="001435FB"/>
    <w:rsid w:val="00143A7D"/>
    <w:rsid w:val="00143B3D"/>
    <w:rsid w:val="0014439B"/>
    <w:rsid w:val="001444D9"/>
    <w:rsid w:val="001451DF"/>
    <w:rsid w:val="0014540D"/>
    <w:rsid w:val="0014575F"/>
    <w:rsid w:val="00145835"/>
    <w:rsid w:val="00145F4A"/>
    <w:rsid w:val="001467B9"/>
    <w:rsid w:val="00146B99"/>
    <w:rsid w:val="001473A0"/>
    <w:rsid w:val="0014745B"/>
    <w:rsid w:val="0014750D"/>
    <w:rsid w:val="0014755D"/>
    <w:rsid w:val="00147BB3"/>
    <w:rsid w:val="00147E41"/>
    <w:rsid w:val="00147E60"/>
    <w:rsid w:val="00150EE3"/>
    <w:rsid w:val="00151816"/>
    <w:rsid w:val="0015191E"/>
    <w:rsid w:val="00152A92"/>
    <w:rsid w:val="00152EE7"/>
    <w:rsid w:val="001530DD"/>
    <w:rsid w:val="001534D3"/>
    <w:rsid w:val="001538F9"/>
    <w:rsid w:val="00153BA6"/>
    <w:rsid w:val="00153FD5"/>
    <w:rsid w:val="00154267"/>
    <w:rsid w:val="0015432B"/>
    <w:rsid w:val="0015453B"/>
    <w:rsid w:val="00154556"/>
    <w:rsid w:val="001545DA"/>
    <w:rsid w:val="0015498A"/>
    <w:rsid w:val="00154C66"/>
    <w:rsid w:val="00154F72"/>
    <w:rsid w:val="00155183"/>
    <w:rsid w:val="0015531D"/>
    <w:rsid w:val="0015557F"/>
    <w:rsid w:val="00155D27"/>
    <w:rsid w:val="00155FFB"/>
    <w:rsid w:val="001564EF"/>
    <w:rsid w:val="0015712A"/>
    <w:rsid w:val="001571E4"/>
    <w:rsid w:val="0015721D"/>
    <w:rsid w:val="001573EA"/>
    <w:rsid w:val="00157EC1"/>
    <w:rsid w:val="0016016A"/>
    <w:rsid w:val="00160B3E"/>
    <w:rsid w:val="00160F77"/>
    <w:rsid w:val="00161C9A"/>
    <w:rsid w:val="00162128"/>
    <w:rsid w:val="00163313"/>
    <w:rsid w:val="00163872"/>
    <w:rsid w:val="0016394D"/>
    <w:rsid w:val="001663EB"/>
    <w:rsid w:val="001665A7"/>
    <w:rsid w:val="00166C44"/>
    <w:rsid w:val="00166D66"/>
    <w:rsid w:val="00167E73"/>
    <w:rsid w:val="00170A67"/>
    <w:rsid w:val="00170D4C"/>
    <w:rsid w:val="001718E2"/>
    <w:rsid w:val="001718FE"/>
    <w:rsid w:val="0017195D"/>
    <w:rsid w:val="001719D2"/>
    <w:rsid w:val="00171E5B"/>
    <w:rsid w:val="00171F93"/>
    <w:rsid w:val="001721B3"/>
    <w:rsid w:val="001722E8"/>
    <w:rsid w:val="001725B5"/>
    <w:rsid w:val="001725D8"/>
    <w:rsid w:val="00172F2F"/>
    <w:rsid w:val="001731D6"/>
    <w:rsid w:val="00173262"/>
    <w:rsid w:val="00173F84"/>
    <w:rsid w:val="00174BFC"/>
    <w:rsid w:val="001750A6"/>
    <w:rsid w:val="00175BCF"/>
    <w:rsid w:val="00176EBC"/>
    <w:rsid w:val="00177746"/>
    <w:rsid w:val="00177D7D"/>
    <w:rsid w:val="001808DA"/>
    <w:rsid w:val="001809F0"/>
    <w:rsid w:val="0018133F"/>
    <w:rsid w:val="00181D82"/>
    <w:rsid w:val="00182063"/>
    <w:rsid w:val="00183FB3"/>
    <w:rsid w:val="00184370"/>
    <w:rsid w:val="0018457D"/>
    <w:rsid w:val="00184C50"/>
    <w:rsid w:val="00185730"/>
    <w:rsid w:val="001857E1"/>
    <w:rsid w:val="00185801"/>
    <w:rsid w:val="0018713B"/>
    <w:rsid w:val="00187409"/>
    <w:rsid w:val="001874FC"/>
    <w:rsid w:val="00187531"/>
    <w:rsid w:val="0018755F"/>
    <w:rsid w:val="00187BCA"/>
    <w:rsid w:val="00190DD0"/>
    <w:rsid w:val="00191086"/>
    <w:rsid w:val="00191832"/>
    <w:rsid w:val="00191C74"/>
    <w:rsid w:val="00191D6B"/>
    <w:rsid w:val="00191EBC"/>
    <w:rsid w:val="00191FBE"/>
    <w:rsid w:val="0019211F"/>
    <w:rsid w:val="00192B19"/>
    <w:rsid w:val="00192D08"/>
    <w:rsid w:val="001930AB"/>
    <w:rsid w:val="00193416"/>
    <w:rsid w:val="001934DB"/>
    <w:rsid w:val="00193BEE"/>
    <w:rsid w:val="00194A4E"/>
    <w:rsid w:val="00194DB5"/>
    <w:rsid w:val="0019575C"/>
    <w:rsid w:val="00195FF0"/>
    <w:rsid w:val="00196288"/>
    <w:rsid w:val="00196746"/>
    <w:rsid w:val="00196EE8"/>
    <w:rsid w:val="0019721C"/>
    <w:rsid w:val="0019742A"/>
    <w:rsid w:val="00197C60"/>
    <w:rsid w:val="00197EED"/>
    <w:rsid w:val="001A0002"/>
    <w:rsid w:val="001A083A"/>
    <w:rsid w:val="001A08B5"/>
    <w:rsid w:val="001A0D04"/>
    <w:rsid w:val="001A0E14"/>
    <w:rsid w:val="001A0FC1"/>
    <w:rsid w:val="001A113E"/>
    <w:rsid w:val="001A137F"/>
    <w:rsid w:val="001A20C8"/>
    <w:rsid w:val="001A269B"/>
    <w:rsid w:val="001A31F1"/>
    <w:rsid w:val="001A4507"/>
    <w:rsid w:val="001A4C60"/>
    <w:rsid w:val="001A4E50"/>
    <w:rsid w:val="001A4FB4"/>
    <w:rsid w:val="001A538D"/>
    <w:rsid w:val="001A561C"/>
    <w:rsid w:val="001A569A"/>
    <w:rsid w:val="001A5733"/>
    <w:rsid w:val="001A599C"/>
    <w:rsid w:val="001A5F04"/>
    <w:rsid w:val="001A6A6D"/>
    <w:rsid w:val="001A6C66"/>
    <w:rsid w:val="001A6D78"/>
    <w:rsid w:val="001A7CF3"/>
    <w:rsid w:val="001A7F5D"/>
    <w:rsid w:val="001B0685"/>
    <w:rsid w:val="001B0D46"/>
    <w:rsid w:val="001B0FA5"/>
    <w:rsid w:val="001B1490"/>
    <w:rsid w:val="001B1922"/>
    <w:rsid w:val="001B1E74"/>
    <w:rsid w:val="001B23BA"/>
    <w:rsid w:val="001B28C2"/>
    <w:rsid w:val="001B29FA"/>
    <w:rsid w:val="001B2CB5"/>
    <w:rsid w:val="001B2F16"/>
    <w:rsid w:val="001B35B3"/>
    <w:rsid w:val="001B3753"/>
    <w:rsid w:val="001B38D8"/>
    <w:rsid w:val="001B3A7F"/>
    <w:rsid w:val="001B3E01"/>
    <w:rsid w:val="001B4FBE"/>
    <w:rsid w:val="001B5113"/>
    <w:rsid w:val="001B5D27"/>
    <w:rsid w:val="001B5E2A"/>
    <w:rsid w:val="001B61F3"/>
    <w:rsid w:val="001B6599"/>
    <w:rsid w:val="001B698B"/>
    <w:rsid w:val="001B6BD3"/>
    <w:rsid w:val="001B70DA"/>
    <w:rsid w:val="001B7608"/>
    <w:rsid w:val="001B7968"/>
    <w:rsid w:val="001B7CE5"/>
    <w:rsid w:val="001C052D"/>
    <w:rsid w:val="001C07EB"/>
    <w:rsid w:val="001C0C4C"/>
    <w:rsid w:val="001C0DC3"/>
    <w:rsid w:val="001C106A"/>
    <w:rsid w:val="001C12AF"/>
    <w:rsid w:val="001C12C4"/>
    <w:rsid w:val="001C131A"/>
    <w:rsid w:val="001C1594"/>
    <w:rsid w:val="001C17E2"/>
    <w:rsid w:val="001C18F2"/>
    <w:rsid w:val="001C19CE"/>
    <w:rsid w:val="001C1CB4"/>
    <w:rsid w:val="001C2491"/>
    <w:rsid w:val="001C2C5F"/>
    <w:rsid w:val="001C32DA"/>
    <w:rsid w:val="001C3326"/>
    <w:rsid w:val="001C3529"/>
    <w:rsid w:val="001C3734"/>
    <w:rsid w:val="001C3AC3"/>
    <w:rsid w:val="001C3B8F"/>
    <w:rsid w:val="001C3C2E"/>
    <w:rsid w:val="001C46E8"/>
    <w:rsid w:val="001C4767"/>
    <w:rsid w:val="001C4A1F"/>
    <w:rsid w:val="001C4D8B"/>
    <w:rsid w:val="001C4EA2"/>
    <w:rsid w:val="001C51DC"/>
    <w:rsid w:val="001C53A8"/>
    <w:rsid w:val="001C557D"/>
    <w:rsid w:val="001C59E4"/>
    <w:rsid w:val="001C6C1F"/>
    <w:rsid w:val="001C6CA5"/>
    <w:rsid w:val="001C77D7"/>
    <w:rsid w:val="001C7966"/>
    <w:rsid w:val="001C79CB"/>
    <w:rsid w:val="001D0647"/>
    <w:rsid w:val="001D0810"/>
    <w:rsid w:val="001D140F"/>
    <w:rsid w:val="001D177A"/>
    <w:rsid w:val="001D1CE6"/>
    <w:rsid w:val="001D2B2E"/>
    <w:rsid w:val="001D2BA3"/>
    <w:rsid w:val="001D2E29"/>
    <w:rsid w:val="001D33DC"/>
    <w:rsid w:val="001D35EA"/>
    <w:rsid w:val="001D396F"/>
    <w:rsid w:val="001D47C2"/>
    <w:rsid w:val="001D49BA"/>
    <w:rsid w:val="001D5688"/>
    <w:rsid w:val="001D5848"/>
    <w:rsid w:val="001D5891"/>
    <w:rsid w:val="001D607D"/>
    <w:rsid w:val="001D6A66"/>
    <w:rsid w:val="001D6DE5"/>
    <w:rsid w:val="001D77CA"/>
    <w:rsid w:val="001D7AE7"/>
    <w:rsid w:val="001E099C"/>
    <w:rsid w:val="001E0E97"/>
    <w:rsid w:val="001E143D"/>
    <w:rsid w:val="001E14A6"/>
    <w:rsid w:val="001E1554"/>
    <w:rsid w:val="001E1661"/>
    <w:rsid w:val="001E1CAD"/>
    <w:rsid w:val="001E1E39"/>
    <w:rsid w:val="001E2095"/>
    <w:rsid w:val="001E223A"/>
    <w:rsid w:val="001E2528"/>
    <w:rsid w:val="001E2C75"/>
    <w:rsid w:val="001E2D5C"/>
    <w:rsid w:val="001E2DA3"/>
    <w:rsid w:val="001E2EBD"/>
    <w:rsid w:val="001E3270"/>
    <w:rsid w:val="001E3D8E"/>
    <w:rsid w:val="001E4078"/>
    <w:rsid w:val="001E4A75"/>
    <w:rsid w:val="001E4AD5"/>
    <w:rsid w:val="001E4D49"/>
    <w:rsid w:val="001E5455"/>
    <w:rsid w:val="001E59A1"/>
    <w:rsid w:val="001E59CC"/>
    <w:rsid w:val="001E5EC5"/>
    <w:rsid w:val="001E5FCA"/>
    <w:rsid w:val="001E6120"/>
    <w:rsid w:val="001E61B9"/>
    <w:rsid w:val="001E6EE4"/>
    <w:rsid w:val="001E6F54"/>
    <w:rsid w:val="001E6FA7"/>
    <w:rsid w:val="001E7139"/>
    <w:rsid w:val="001E7679"/>
    <w:rsid w:val="001E7AB9"/>
    <w:rsid w:val="001F01CA"/>
    <w:rsid w:val="001F1510"/>
    <w:rsid w:val="001F1966"/>
    <w:rsid w:val="001F1C65"/>
    <w:rsid w:val="001F2004"/>
    <w:rsid w:val="001F2703"/>
    <w:rsid w:val="001F295B"/>
    <w:rsid w:val="001F2F7B"/>
    <w:rsid w:val="001F3667"/>
    <w:rsid w:val="001F39BB"/>
    <w:rsid w:val="001F3C6A"/>
    <w:rsid w:val="001F47E5"/>
    <w:rsid w:val="001F48D1"/>
    <w:rsid w:val="001F5B32"/>
    <w:rsid w:val="001F5CE8"/>
    <w:rsid w:val="001F5FE7"/>
    <w:rsid w:val="001F6398"/>
    <w:rsid w:val="001F64A8"/>
    <w:rsid w:val="001F6777"/>
    <w:rsid w:val="001F7308"/>
    <w:rsid w:val="001F76A1"/>
    <w:rsid w:val="001F7BE8"/>
    <w:rsid w:val="00200249"/>
    <w:rsid w:val="00200AEC"/>
    <w:rsid w:val="00200E48"/>
    <w:rsid w:val="00201693"/>
    <w:rsid w:val="00201FD2"/>
    <w:rsid w:val="00201FF9"/>
    <w:rsid w:val="00202916"/>
    <w:rsid w:val="00202DBA"/>
    <w:rsid w:val="00202F24"/>
    <w:rsid w:val="00203677"/>
    <w:rsid w:val="00203915"/>
    <w:rsid w:val="002045CC"/>
    <w:rsid w:val="00204E8C"/>
    <w:rsid w:val="00205515"/>
    <w:rsid w:val="00205660"/>
    <w:rsid w:val="00205F84"/>
    <w:rsid w:val="00206DAA"/>
    <w:rsid w:val="00207FC8"/>
    <w:rsid w:val="0021004F"/>
    <w:rsid w:val="002102A3"/>
    <w:rsid w:val="00210400"/>
    <w:rsid w:val="00210A14"/>
    <w:rsid w:val="00210B9F"/>
    <w:rsid w:val="00211934"/>
    <w:rsid w:val="00211939"/>
    <w:rsid w:val="00211E63"/>
    <w:rsid w:val="00212411"/>
    <w:rsid w:val="00212ADE"/>
    <w:rsid w:val="00212BC6"/>
    <w:rsid w:val="002132F2"/>
    <w:rsid w:val="002149C8"/>
    <w:rsid w:val="00214EEE"/>
    <w:rsid w:val="00215A4A"/>
    <w:rsid w:val="0021658C"/>
    <w:rsid w:val="002165D6"/>
    <w:rsid w:val="002172CF"/>
    <w:rsid w:val="00217CC4"/>
    <w:rsid w:val="00220A1B"/>
    <w:rsid w:val="00221075"/>
    <w:rsid w:val="0022205B"/>
    <w:rsid w:val="0022216E"/>
    <w:rsid w:val="0022240D"/>
    <w:rsid w:val="002241F4"/>
    <w:rsid w:val="002248EC"/>
    <w:rsid w:val="00224ED2"/>
    <w:rsid w:val="00225EDA"/>
    <w:rsid w:val="00225FDE"/>
    <w:rsid w:val="00226480"/>
    <w:rsid w:val="002270CD"/>
    <w:rsid w:val="00227945"/>
    <w:rsid w:val="00227BCF"/>
    <w:rsid w:val="00227D67"/>
    <w:rsid w:val="00227F28"/>
    <w:rsid w:val="002304F7"/>
    <w:rsid w:val="0023095E"/>
    <w:rsid w:val="00231272"/>
    <w:rsid w:val="002313B4"/>
    <w:rsid w:val="00231641"/>
    <w:rsid w:val="00231B9B"/>
    <w:rsid w:val="0023248D"/>
    <w:rsid w:val="002331B3"/>
    <w:rsid w:val="002347F3"/>
    <w:rsid w:val="0023499D"/>
    <w:rsid w:val="002349F3"/>
    <w:rsid w:val="00235409"/>
    <w:rsid w:val="002357FD"/>
    <w:rsid w:val="00235869"/>
    <w:rsid w:val="002366A4"/>
    <w:rsid w:val="00236A99"/>
    <w:rsid w:val="00236F04"/>
    <w:rsid w:val="00236F2A"/>
    <w:rsid w:val="002373E7"/>
    <w:rsid w:val="002374D5"/>
    <w:rsid w:val="0023755D"/>
    <w:rsid w:val="00237C41"/>
    <w:rsid w:val="002400AB"/>
    <w:rsid w:val="0024070F"/>
    <w:rsid w:val="00240A6D"/>
    <w:rsid w:val="00241DDA"/>
    <w:rsid w:val="0024202E"/>
    <w:rsid w:val="00242716"/>
    <w:rsid w:val="00242F56"/>
    <w:rsid w:val="002430F3"/>
    <w:rsid w:val="00243AE5"/>
    <w:rsid w:val="00244747"/>
    <w:rsid w:val="002447A6"/>
    <w:rsid w:val="00245281"/>
    <w:rsid w:val="00245BE0"/>
    <w:rsid w:val="00245E24"/>
    <w:rsid w:val="00245EB8"/>
    <w:rsid w:val="00246399"/>
    <w:rsid w:val="00246481"/>
    <w:rsid w:val="002471A2"/>
    <w:rsid w:val="002471F0"/>
    <w:rsid w:val="00247307"/>
    <w:rsid w:val="00247CC8"/>
    <w:rsid w:val="00247FFA"/>
    <w:rsid w:val="00250AB8"/>
    <w:rsid w:val="002514C6"/>
    <w:rsid w:val="00251526"/>
    <w:rsid w:val="002518C7"/>
    <w:rsid w:val="00252205"/>
    <w:rsid w:val="002527E2"/>
    <w:rsid w:val="00252A08"/>
    <w:rsid w:val="002530F6"/>
    <w:rsid w:val="00253905"/>
    <w:rsid w:val="00253B41"/>
    <w:rsid w:val="00253B6D"/>
    <w:rsid w:val="00254175"/>
    <w:rsid w:val="00254980"/>
    <w:rsid w:val="00254EE8"/>
    <w:rsid w:val="00254FA3"/>
    <w:rsid w:val="00255238"/>
    <w:rsid w:val="0025583E"/>
    <w:rsid w:val="0025631C"/>
    <w:rsid w:val="00256D6F"/>
    <w:rsid w:val="00257265"/>
    <w:rsid w:val="00257826"/>
    <w:rsid w:val="0026021A"/>
    <w:rsid w:val="00260797"/>
    <w:rsid w:val="00260FFC"/>
    <w:rsid w:val="00261F7C"/>
    <w:rsid w:val="00262061"/>
    <w:rsid w:val="002626A9"/>
    <w:rsid w:val="0026302E"/>
    <w:rsid w:val="00263745"/>
    <w:rsid w:val="002649E6"/>
    <w:rsid w:val="00265098"/>
    <w:rsid w:val="002655D9"/>
    <w:rsid w:val="0026570D"/>
    <w:rsid w:val="00266216"/>
    <w:rsid w:val="0026672A"/>
    <w:rsid w:val="00266EEF"/>
    <w:rsid w:val="00266FBE"/>
    <w:rsid w:val="00270003"/>
    <w:rsid w:val="002701FE"/>
    <w:rsid w:val="00270416"/>
    <w:rsid w:val="00270490"/>
    <w:rsid w:val="00270834"/>
    <w:rsid w:val="002708E9"/>
    <w:rsid w:val="00270BDB"/>
    <w:rsid w:val="00270BFE"/>
    <w:rsid w:val="00270F73"/>
    <w:rsid w:val="00271173"/>
    <w:rsid w:val="00271768"/>
    <w:rsid w:val="00271A3A"/>
    <w:rsid w:val="00271BFC"/>
    <w:rsid w:val="00271D1E"/>
    <w:rsid w:val="00271D83"/>
    <w:rsid w:val="002723B0"/>
    <w:rsid w:val="0027252D"/>
    <w:rsid w:val="00272AA4"/>
    <w:rsid w:val="00273193"/>
    <w:rsid w:val="00273CEA"/>
    <w:rsid w:val="00274309"/>
    <w:rsid w:val="00274A48"/>
    <w:rsid w:val="00274A9C"/>
    <w:rsid w:val="00274D2D"/>
    <w:rsid w:val="002755F6"/>
    <w:rsid w:val="00275E6F"/>
    <w:rsid w:val="00276003"/>
    <w:rsid w:val="00276B63"/>
    <w:rsid w:val="00276E80"/>
    <w:rsid w:val="00277573"/>
    <w:rsid w:val="0028080F"/>
    <w:rsid w:val="00280969"/>
    <w:rsid w:val="00280CFA"/>
    <w:rsid w:val="002811F6"/>
    <w:rsid w:val="00281AFF"/>
    <w:rsid w:val="00281E03"/>
    <w:rsid w:val="00281F57"/>
    <w:rsid w:val="00281FF5"/>
    <w:rsid w:val="00282443"/>
    <w:rsid w:val="00282B70"/>
    <w:rsid w:val="00283467"/>
    <w:rsid w:val="00283FA7"/>
    <w:rsid w:val="0028420C"/>
    <w:rsid w:val="0028484E"/>
    <w:rsid w:val="00284A66"/>
    <w:rsid w:val="0028550C"/>
    <w:rsid w:val="0028598F"/>
    <w:rsid w:val="00286084"/>
    <w:rsid w:val="002878C6"/>
    <w:rsid w:val="0029022A"/>
    <w:rsid w:val="0029034F"/>
    <w:rsid w:val="00291AF3"/>
    <w:rsid w:val="00292163"/>
    <w:rsid w:val="0029258D"/>
    <w:rsid w:val="0029258E"/>
    <w:rsid w:val="0029276E"/>
    <w:rsid w:val="00292B7D"/>
    <w:rsid w:val="00292D56"/>
    <w:rsid w:val="00293265"/>
    <w:rsid w:val="00294774"/>
    <w:rsid w:val="00294EF5"/>
    <w:rsid w:val="002958DE"/>
    <w:rsid w:val="00295C29"/>
    <w:rsid w:val="00295C5E"/>
    <w:rsid w:val="00295E4F"/>
    <w:rsid w:val="0029623B"/>
    <w:rsid w:val="00296AD0"/>
    <w:rsid w:val="00296D75"/>
    <w:rsid w:val="00297D9B"/>
    <w:rsid w:val="00297F36"/>
    <w:rsid w:val="002A103C"/>
    <w:rsid w:val="002A127B"/>
    <w:rsid w:val="002A1790"/>
    <w:rsid w:val="002A296D"/>
    <w:rsid w:val="002A2FB8"/>
    <w:rsid w:val="002A2FCD"/>
    <w:rsid w:val="002A38E6"/>
    <w:rsid w:val="002A41BA"/>
    <w:rsid w:val="002A48B8"/>
    <w:rsid w:val="002A4B30"/>
    <w:rsid w:val="002A4B87"/>
    <w:rsid w:val="002A5358"/>
    <w:rsid w:val="002A60C8"/>
    <w:rsid w:val="002A643C"/>
    <w:rsid w:val="002A6D6E"/>
    <w:rsid w:val="002A7696"/>
    <w:rsid w:val="002B0476"/>
    <w:rsid w:val="002B0560"/>
    <w:rsid w:val="002B0BC1"/>
    <w:rsid w:val="002B0E9D"/>
    <w:rsid w:val="002B12FD"/>
    <w:rsid w:val="002B17C6"/>
    <w:rsid w:val="002B1DE9"/>
    <w:rsid w:val="002B1EB9"/>
    <w:rsid w:val="002B221D"/>
    <w:rsid w:val="002B2523"/>
    <w:rsid w:val="002B2860"/>
    <w:rsid w:val="002B2929"/>
    <w:rsid w:val="002B2DD3"/>
    <w:rsid w:val="002B2F3C"/>
    <w:rsid w:val="002B380D"/>
    <w:rsid w:val="002B3E5A"/>
    <w:rsid w:val="002B4772"/>
    <w:rsid w:val="002B4D7A"/>
    <w:rsid w:val="002B55EE"/>
    <w:rsid w:val="002B576B"/>
    <w:rsid w:val="002B5B83"/>
    <w:rsid w:val="002B5DF6"/>
    <w:rsid w:val="002B72C6"/>
    <w:rsid w:val="002B7639"/>
    <w:rsid w:val="002B7AB1"/>
    <w:rsid w:val="002B7B3D"/>
    <w:rsid w:val="002B7DD7"/>
    <w:rsid w:val="002B7F8B"/>
    <w:rsid w:val="002B7FE1"/>
    <w:rsid w:val="002C10C8"/>
    <w:rsid w:val="002C1333"/>
    <w:rsid w:val="002C1572"/>
    <w:rsid w:val="002C16C6"/>
    <w:rsid w:val="002C1A48"/>
    <w:rsid w:val="002C1B0D"/>
    <w:rsid w:val="002C1B4B"/>
    <w:rsid w:val="002C1DFF"/>
    <w:rsid w:val="002C21C0"/>
    <w:rsid w:val="002C21FD"/>
    <w:rsid w:val="002C2A04"/>
    <w:rsid w:val="002C2B14"/>
    <w:rsid w:val="002C2EA1"/>
    <w:rsid w:val="002C3BAE"/>
    <w:rsid w:val="002C3DBA"/>
    <w:rsid w:val="002C3F8D"/>
    <w:rsid w:val="002C4C97"/>
    <w:rsid w:val="002C5553"/>
    <w:rsid w:val="002C5AE2"/>
    <w:rsid w:val="002C5B84"/>
    <w:rsid w:val="002C6203"/>
    <w:rsid w:val="002C6729"/>
    <w:rsid w:val="002C67E8"/>
    <w:rsid w:val="002C6BA4"/>
    <w:rsid w:val="002C6D72"/>
    <w:rsid w:val="002C73F7"/>
    <w:rsid w:val="002C7952"/>
    <w:rsid w:val="002C7B2E"/>
    <w:rsid w:val="002D0446"/>
    <w:rsid w:val="002D122E"/>
    <w:rsid w:val="002D1391"/>
    <w:rsid w:val="002D155D"/>
    <w:rsid w:val="002D17EE"/>
    <w:rsid w:val="002D1E23"/>
    <w:rsid w:val="002D1EBC"/>
    <w:rsid w:val="002D25F9"/>
    <w:rsid w:val="002D2651"/>
    <w:rsid w:val="002D269C"/>
    <w:rsid w:val="002D2CF1"/>
    <w:rsid w:val="002D326B"/>
    <w:rsid w:val="002D337E"/>
    <w:rsid w:val="002D3980"/>
    <w:rsid w:val="002D3A63"/>
    <w:rsid w:val="002D3E32"/>
    <w:rsid w:val="002D4798"/>
    <w:rsid w:val="002D50A6"/>
    <w:rsid w:val="002D54F3"/>
    <w:rsid w:val="002D5C1B"/>
    <w:rsid w:val="002D5E60"/>
    <w:rsid w:val="002D6A4B"/>
    <w:rsid w:val="002D6E8D"/>
    <w:rsid w:val="002D7060"/>
    <w:rsid w:val="002D72C6"/>
    <w:rsid w:val="002D75BF"/>
    <w:rsid w:val="002D7779"/>
    <w:rsid w:val="002D7ACF"/>
    <w:rsid w:val="002E0A90"/>
    <w:rsid w:val="002E1384"/>
    <w:rsid w:val="002E282E"/>
    <w:rsid w:val="002E349C"/>
    <w:rsid w:val="002E4179"/>
    <w:rsid w:val="002E44A6"/>
    <w:rsid w:val="002E4541"/>
    <w:rsid w:val="002E47F2"/>
    <w:rsid w:val="002E5448"/>
    <w:rsid w:val="002E5C5C"/>
    <w:rsid w:val="002E5E9C"/>
    <w:rsid w:val="002E6866"/>
    <w:rsid w:val="002E6F70"/>
    <w:rsid w:val="002E714D"/>
    <w:rsid w:val="002E77BC"/>
    <w:rsid w:val="002F13F8"/>
    <w:rsid w:val="002F1751"/>
    <w:rsid w:val="002F1E6F"/>
    <w:rsid w:val="002F1F29"/>
    <w:rsid w:val="002F22C7"/>
    <w:rsid w:val="002F2618"/>
    <w:rsid w:val="002F2ABB"/>
    <w:rsid w:val="002F2F6D"/>
    <w:rsid w:val="002F36C2"/>
    <w:rsid w:val="002F38C0"/>
    <w:rsid w:val="002F425F"/>
    <w:rsid w:val="002F4CED"/>
    <w:rsid w:val="002F5E20"/>
    <w:rsid w:val="002F668E"/>
    <w:rsid w:val="002F6C20"/>
    <w:rsid w:val="002F71C9"/>
    <w:rsid w:val="002F7CF0"/>
    <w:rsid w:val="0030016F"/>
    <w:rsid w:val="0030049B"/>
    <w:rsid w:val="003010B7"/>
    <w:rsid w:val="0030325F"/>
    <w:rsid w:val="003034A5"/>
    <w:rsid w:val="00303A11"/>
    <w:rsid w:val="00303B04"/>
    <w:rsid w:val="003040D2"/>
    <w:rsid w:val="00304326"/>
    <w:rsid w:val="0030432D"/>
    <w:rsid w:val="00304525"/>
    <w:rsid w:val="003048A7"/>
    <w:rsid w:val="0030496F"/>
    <w:rsid w:val="003053BB"/>
    <w:rsid w:val="00305857"/>
    <w:rsid w:val="00305DC8"/>
    <w:rsid w:val="00305FCA"/>
    <w:rsid w:val="0030631E"/>
    <w:rsid w:val="00306677"/>
    <w:rsid w:val="00306C0A"/>
    <w:rsid w:val="00306F1E"/>
    <w:rsid w:val="00307157"/>
    <w:rsid w:val="00307587"/>
    <w:rsid w:val="003078A9"/>
    <w:rsid w:val="003078F0"/>
    <w:rsid w:val="00310331"/>
    <w:rsid w:val="00310522"/>
    <w:rsid w:val="00310930"/>
    <w:rsid w:val="00310C64"/>
    <w:rsid w:val="0031161E"/>
    <w:rsid w:val="00311B33"/>
    <w:rsid w:val="00311F91"/>
    <w:rsid w:val="0031237F"/>
    <w:rsid w:val="003126A5"/>
    <w:rsid w:val="00313222"/>
    <w:rsid w:val="003135DE"/>
    <w:rsid w:val="00313D69"/>
    <w:rsid w:val="003141C3"/>
    <w:rsid w:val="00314281"/>
    <w:rsid w:val="0031442C"/>
    <w:rsid w:val="00314BE9"/>
    <w:rsid w:val="00314C62"/>
    <w:rsid w:val="00315220"/>
    <w:rsid w:val="003152E5"/>
    <w:rsid w:val="00315CD7"/>
    <w:rsid w:val="00315EB5"/>
    <w:rsid w:val="0031639F"/>
    <w:rsid w:val="00316B30"/>
    <w:rsid w:val="003174EF"/>
    <w:rsid w:val="00317817"/>
    <w:rsid w:val="00317C7E"/>
    <w:rsid w:val="00320088"/>
    <w:rsid w:val="00320275"/>
    <w:rsid w:val="0032188A"/>
    <w:rsid w:val="00321C59"/>
    <w:rsid w:val="0032244B"/>
    <w:rsid w:val="00322759"/>
    <w:rsid w:val="00322809"/>
    <w:rsid w:val="00322C96"/>
    <w:rsid w:val="00322CBC"/>
    <w:rsid w:val="003234D0"/>
    <w:rsid w:val="00323762"/>
    <w:rsid w:val="00323B92"/>
    <w:rsid w:val="00323FC8"/>
    <w:rsid w:val="003246D2"/>
    <w:rsid w:val="003251D7"/>
    <w:rsid w:val="003253AB"/>
    <w:rsid w:val="003253B8"/>
    <w:rsid w:val="00325793"/>
    <w:rsid w:val="00325854"/>
    <w:rsid w:val="00325D15"/>
    <w:rsid w:val="003260F9"/>
    <w:rsid w:val="00326192"/>
    <w:rsid w:val="00326834"/>
    <w:rsid w:val="00326E47"/>
    <w:rsid w:val="003277DD"/>
    <w:rsid w:val="003279B4"/>
    <w:rsid w:val="00327A35"/>
    <w:rsid w:val="00327A3D"/>
    <w:rsid w:val="00327BAC"/>
    <w:rsid w:val="00327EC9"/>
    <w:rsid w:val="00327F01"/>
    <w:rsid w:val="00330236"/>
    <w:rsid w:val="003304EA"/>
    <w:rsid w:val="0033116B"/>
    <w:rsid w:val="0033152C"/>
    <w:rsid w:val="00331DCA"/>
    <w:rsid w:val="00331DF7"/>
    <w:rsid w:val="00331E62"/>
    <w:rsid w:val="003320E6"/>
    <w:rsid w:val="003326A9"/>
    <w:rsid w:val="00332A32"/>
    <w:rsid w:val="00333B22"/>
    <w:rsid w:val="00334AFB"/>
    <w:rsid w:val="00334F8E"/>
    <w:rsid w:val="0033512D"/>
    <w:rsid w:val="00335157"/>
    <w:rsid w:val="00335189"/>
    <w:rsid w:val="003353AF"/>
    <w:rsid w:val="00337049"/>
    <w:rsid w:val="00337775"/>
    <w:rsid w:val="003405BD"/>
    <w:rsid w:val="00340870"/>
    <w:rsid w:val="003409D7"/>
    <w:rsid w:val="00340F0F"/>
    <w:rsid w:val="0034148F"/>
    <w:rsid w:val="003416B4"/>
    <w:rsid w:val="003418D8"/>
    <w:rsid w:val="00341A93"/>
    <w:rsid w:val="00341AFF"/>
    <w:rsid w:val="00341B63"/>
    <w:rsid w:val="00341EF7"/>
    <w:rsid w:val="00342885"/>
    <w:rsid w:val="00342ABD"/>
    <w:rsid w:val="00343133"/>
    <w:rsid w:val="00343525"/>
    <w:rsid w:val="00344323"/>
    <w:rsid w:val="00344AD3"/>
    <w:rsid w:val="00344CB2"/>
    <w:rsid w:val="003453E9"/>
    <w:rsid w:val="0034668B"/>
    <w:rsid w:val="00346B37"/>
    <w:rsid w:val="003470C7"/>
    <w:rsid w:val="003472C1"/>
    <w:rsid w:val="003478FD"/>
    <w:rsid w:val="00347CF2"/>
    <w:rsid w:val="00347D50"/>
    <w:rsid w:val="00347E1F"/>
    <w:rsid w:val="003504D2"/>
    <w:rsid w:val="0035050E"/>
    <w:rsid w:val="00351394"/>
    <w:rsid w:val="003515E3"/>
    <w:rsid w:val="00352532"/>
    <w:rsid w:val="00352696"/>
    <w:rsid w:val="003526B6"/>
    <w:rsid w:val="003526D4"/>
    <w:rsid w:val="003528E6"/>
    <w:rsid w:val="00353B90"/>
    <w:rsid w:val="00354278"/>
    <w:rsid w:val="00354C48"/>
    <w:rsid w:val="00355660"/>
    <w:rsid w:val="003559D8"/>
    <w:rsid w:val="00355A0D"/>
    <w:rsid w:val="00355A88"/>
    <w:rsid w:val="00356429"/>
    <w:rsid w:val="00356A92"/>
    <w:rsid w:val="00356EAB"/>
    <w:rsid w:val="00356FC1"/>
    <w:rsid w:val="00357370"/>
    <w:rsid w:val="00357775"/>
    <w:rsid w:val="00357995"/>
    <w:rsid w:val="00357A29"/>
    <w:rsid w:val="00357C64"/>
    <w:rsid w:val="00360A04"/>
    <w:rsid w:val="00360A70"/>
    <w:rsid w:val="00360D56"/>
    <w:rsid w:val="00361C1C"/>
    <w:rsid w:val="00361FD3"/>
    <w:rsid w:val="003622C3"/>
    <w:rsid w:val="00362F96"/>
    <w:rsid w:val="0036345D"/>
    <w:rsid w:val="003634F3"/>
    <w:rsid w:val="00363C4D"/>
    <w:rsid w:val="0036434C"/>
    <w:rsid w:val="00364CB1"/>
    <w:rsid w:val="003652FF"/>
    <w:rsid w:val="003655C0"/>
    <w:rsid w:val="00365839"/>
    <w:rsid w:val="00366275"/>
    <w:rsid w:val="003662A2"/>
    <w:rsid w:val="00366ED9"/>
    <w:rsid w:val="00366F88"/>
    <w:rsid w:val="00367158"/>
    <w:rsid w:val="00367B56"/>
    <w:rsid w:val="00367B9D"/>
    <w:rsid w:val="00367C63"/>
    <w:rsid w:val="00367C6D"/>
    <w:rsid w:val="00370CD9"/>
    <w:rsid w:val="00370DF2"/>
    <w:rsid w:val="00371967"/>
    <w:rsid w:val="00371B08"/>
    <w:rsid w:val="00372591"/>
    <w:rsid w:val="00372B52"/>
    <w:rsid w:val="00373410"/>
    <w:rsid w:val="00374103"/>
    <w:rsid w:val="0037478F"/>
    <w:rsid w:val="0037485A"/>
    <w:rsid w:val="00374A5E"/>
    <w:rsid w:val="003750B5"/>
    <w:rsid w:val="003751F5"/>
    <w:rsid w:val="00375567"/>
    <w:rsid w:val="00375D0A"/>
    <w:rsid w:val="00376359"/>
    <w:rsid w:val="00376A0C"/>
    <w:rsid w:val="00376D18"/>
    <w:rsid w:val="0037710F"/>
    <w:rsid w:val="00377554"/>
    <w:rsid w:val="00377B07"/>
    <w:rsid w:val="00377B5E"/>
    <w:rsid w:val="00380009"/>
    <w:rsid w:val="0038001C"/>
    <w:rsid w:val="00380634"/>
    <w:rsid w:val="00380A83"/>
    <w:rsid w:val="00380BAE"/>
    <w:rsid w:val="00380C63"/>
    <w:rsid w:val="00380FC8"/>
    <w:rsid w:val="00381221"/>
    <w:rsid w:val="00381315"/>
    <w:rsid w:val="00381AEA"/>
    <w:rsid w:val="00382AA6"/>
    <w:rsid w:val="00382BF4"/>
    <w:rsid w:val="00383F87"/>
    <w:rsid w:val="00384820"/>
    <w:rsid w:val="00384BCB"/>
    <w:rsid w:val="00384E33"/>
    <w:rsid w:val="003855E9"/>
    <w:rsid w:val="00385E8D"/>
    <w:rsid w:val="00386378"/>
    <w:rsid w:val="003864CE"/>
    <w:rsid w:val="00387733"/>
    <w:rsid w:val="00387F2B"/>
    <w:rsid w:val="0039053A"/>
    <w:rsid w:val="003905A6"/>
    <w:rsid w:val="003906B0"/>
    <w:rsid w:val="00391359"/>
    <w:rsid w:val="0039160E"/>
    <w:rsid w:val="00391E0A"/>
    <w:rsid w:val="003929CF"/>
    <w:rsid w:val="00392A92"/>
    <w:rsid w:val="00393329"/>
    <w:rsid w:val="00393708"/>
    <w:rsid w:val="00393C1E"/>
    <w:rsid w:val="003949FF"/>
    <w:rsid w:val="003968FF"/>
    <w:rsid w:val="00396AEC"/>
    <w:rsid w:val="00396D05"/>
    <w:rsid w:val="00397820"/>
    <w:rsid w:val="00397B91"/>
    <w:rsid w:val="003A07E2"/>
    <w:rsid w:val="003A0BD7"/>
    <w:rsid w:val="003A0CA8"/>
    <w:rsid w:val="003A0DEF"/>
    <w:rsid w:val="003A1616"/>
    <w:rsid w:val="003A1F6A"/>
    <w:rsid w:val="003A2102"/>
    <w:rsid w:val="003A2557"/>
    <w:rsid w:val="003A2617"/>
    <w:rsid w:val="003A2F32"/>
    <w:rsid w:val="003A31F6"/>
    <w:rsid w:val="003A31FD"/>
    <w:rsid w:val="003A320F"/>
    <w:rsid w:val="003A4835"/>
    <w:rsid w:val="003A5613"/>
    <w:rsid w:val="003A5781"/>
    <w:rsid w:val="003A63D2"/>
    <w:rsid w:val="003A6730"/>
    <w:rsid w:val="003A691B"/>
    <w:rsid w:val="003A6D8E"/>
    <w:rsid w:val="003A6EAE"/>
    <w:rsid w:val="003A723B"/>
    <w:rsid w:val="003A7DCE"/>
    <w:rsid w:val="003B063B"/>
    <w:rsid w:val="003B121F"/>
    <w:rsid w:val="003B147E"/>
    <w:rsid w:val="003B17F2"/>
    <w:rsid w:val="003B1F3C"/>
    <w:rsid w:val="003B1FBC"/>
    <w:rsid w:val="003B2715"/>
    <w:rsid w:val="003B278E"/>
    <w:rsid w:val="003B2A44"/>
    <w:rsid w:val="003B2A6B"/>
    <w:rsid w:val="003B2A75"/>
    <w:rsid w:val="003B2C9B"/>
    <w:rsid w:val="003B2D40"/>
    <w:rsid w:val="003B39FB"/>
    <w:rsid w:val="003B3CA9"/>
    <w:rsid w:val="003B443B"/>
    <w:rsid w:val="003B446D"/>
    <w:rsid w:val="003B4ABD"/>
    <w:rsid w:val="003B4E3B"/>
    <w:rsid w:val="003B510F"/>
    <w:rsid w:val="003B51F2"/>
    <w:rsid w:val="003B67EC"/>
    <w:rsid w:val="003B687F"/>
    <w:rsid w:val="003B75DA"/>
    <w:rsid w:val="003B7CF5"/>
    <w:rsid w:val="003C03D4"/>
    <w:rsid w:val="003C051E"/>
    <w:rsid w:val="003C06B6"/>
    <w:rsid w:val="003C096D"/>
    <w:rsid w:val="003C103F"/>
    <w:rsid w:val="003C10F2"/>
    <w:rsid w:val="003C18B5"/>
    <w:rsid w:val="003C1A55"/>
    <w:rsid w:val="003C1B90"/>
    <w:rsid w:val="003C200B"/>
    <w:rsid w:val="003C2A69"/>
    <w:rsid w:val="003C3276"/>
    <w:rsid w:val="003C34F6"/>
    <w:rsid w:val="003C358F"/>
    <w:rsid w:val="003C3775"/>
    <w:rsid w:val="003C3DC2"/>
    <w:rsid w:val="003C4165"/>
    <w:rsid w:val="003C4583"/>
    <w:rsid w:val="003C47FA"/>
    <w:rsid w:val="003C4968"/>
    <w:rsid w:val="003C4A34"/>
    <w:rsid w:val="003C4AB1"/>
    <w:rsid w:val="003C4AB8"/>
    <w:rsid w:val="003C4ABE"/>
    <w:rsid w:val="003C51F1"/>
    <w:rsid w:val="003C5385"/>
    <w:rsid w:val="003C5E0B"/>
    <w:rsid w:val="003C5E0E"/>
    <w:rsid w:val="003C6419"/>
    <w:rsid w:val="003C6934"/>
    <w:rsid w:val="003C6BAE"/>
    <w:rsid w:val="003C7240"/>
    <w:rsid w:val="003C7A0D"/>
    <w:rsid w:val="003C7A2D"/>
    <w:rsid w:val="003D0927"/>
    <w:rsid w:val="003D101B"/>
    <w:rsid w:val="003D152E"/>
    <w:rsid w:val="003D2CA4"/>
    <w:rsid w:val="003D3AB8"/>
    <w:rsid w:val="003D3D59"/>
    <w:rsid w:val="003D422D"/>
    <w:rsid w:val="003D4C4A"/>
    <w:rsid w:val="003D4E8F"/>
    <w:rsid w:val="003D523F"/>
    <w:rsid w:val="003D5BF8"/>
    <w:rsid w:val="003D6099"/>
    <w:rsid w:val="003D6E87"/>
    <w:rsid w:val="003D7261"/>
    <w:rsid w:val="003D7586"/>
    <w:rsid w:val="003D7903"/>
    <w:rsid w:val="003D7CB7"/>
    <w:rsid w:val="003E0D48"/>
    <w:rsid w:val="003E13CB"/>
    <w:rsid w:val="003E1717"/>
    <w:rsid w:val="003E18B7"/>
    <w:rsid w:val="003E2587"/>
    <w:rsid w:val="003E2A7A"/>
    <w:rsid w:val="003E2E48"/>
    <w:rsid w:val="003E3064"/>
    <w:rsid w:val="003E313B"/>
    <w:rsid w:val="003E3470"/>
    <w:rsid w:val="003E378D"/>
    <w:rsid w:val="003E4D0F"/>
    <w:rsid w:val="003E4E54"/>
    <w:rsid w:val="003E5498"/>
    <w:rsid w:val="003E57F7"/>
    <w:rsid w:val="003E5BFD"/>
    <w:rsid w:val="003E6F72"/>
    <w:rsid w:val="003E7137"/>
    <w:rsid w:val="003E7740"/>
    <w:rsid w:val="003E7AC8"/>
    <w:rsid w:val="003E7C74"/>
    <w:rsid w:val="003E7FDE"/>
    <w:rsid w:val="003F027E"/>
    <w:rsid w:val="003F05A4"/>
    <w:rsid w:val="003F0852"/>
    <w:rsid w:val="003F0A45"/>
    <w:rsid w:val="003F0F08"/>
    <w:rsid w:val="003F15D6"/>
    <w:rsid w:val="003F17BB"/>
    <w:rsid w:val="003F1D43"/>
    <w:rsid w:val="003F257F"/>
    <w:rsid w:val="003F2B52"/>
    <w:rsid w:val="003F2E1E"/>
    <w:rsid w:val="003F339B"/>
    <w:rsid w:val="003F3A67"/>
    <w:rsid w:val="003F3F21"/>
    <w:rsid w:val="003F401F"/>
    <w:rsid w:val="003F442F"/>
    <w:rsid w:val="003F591F"/>
    <w:rsid w:val="003F6C17"/>
    <w:rsid w:val="003F6E8E"/>
    <w:rsid w:val="003F717A"/>
    <w:rsid w:val="003F73E3"/>
    <w:rsid w:val="003F7B99"/>
    <w:rsid w:val="003F7FB8"/>
    <w:rsid w:val="00400CC0"/>
    <w:rsid w:val="00400E2C"/>
    <w:rsid w:val="00401B66"/>
    <w:rsid w:val="00401D7D"/>
    <w:rsid w:val="00401EB3"/>
    <w:rsid w:val="004023C6"/>
    <w:rsid w:val="00403579"/>
    <w:rsid w:val="0040396C"/>
    <w:rsid w:val="00403CAD"/>
    <w:rsid w:val="00403CDA"/>
    <w:rsid w:val="00403F97"/>
    <w:rsid w:val="00404A9C"/>
    <w:rsid w:val="00404AAB"/>
    <w:rsid w:val="00404FCC"/>
    <w:rsid w:val="00405D8B"/>
    <w:rsid w:val="00406116"/>
    <w:rsid w:val="004061E4"/>
    <w:rsid w:val="00406257"/>
    <w:rsid w:val="004069BF"/>
    <w:rsid w:val="0040712A"/>
    <w:rsid w:val="00407226"/>
    <w:rsid w:val="004079BB"/>
    <w:rsid w:val="00407A13"/>
    <w:rsid w:val="00407D4D"/>
    <w:rsid w:val="00407DD1"/>
    <w:rsid w:val="00407EEB"/>
    <w:rsid w:val="00410444"/>
    <w:rsid w:val="004105DB"/>
    <w:rsid w:val="0041090C"/>
    <w:rsid w:val="00410BD4"/>
    <w:rsid w:val="00411235"/>
    <w:rsid w:val="00411511"/>
    <w:rsid w:val="004116DD"/>
    <w:rsid w:val="004118A0"/>
    <w:rsid w:val="00412CBA"/>
    <w:rsid w:val="00412DAE"/>
    <w:rsid w:val="0041353B"/>
    <w:rsid w:val="00413C66"/>
    <w:rsid w:val="004142AF"/>
    <w:rsid w:val="0041437F"/>
    <w:rsid w:val="004144A7"/>
    <w:rsid w:val="00415078"/>
    <w:rsid w:val="00415BC1"/>
    <w:rsid w:val="00415C9C"/>
    <w:rsid w:val="0041610C"/>
    <w:rsid w:val="004165E5"/>
    <w:rsid w:val="004174C5"/>
    <w:rsid w:val="0042064C"/>
    <w:rsid w:val="0042096D"/>
    <w:rsid w:val="00420F38"/>
    <w:rsid w:val="004210F3"/>
    <w:rsid w:val="00421331"/>
    <w:rsid w:val="004216AD"/>
    <w:rsid w:val="004219B3"/>
    <w:rsid w:val="00421D55"/>
    <w:rsid w:val="00422B51"/>
    <w:rsid w:val="00423004"/>
    <w:rsid w:val="004232BA"/>
    <w:rsid w:val="00424712"/>
    <w:rsid w:val="00424EB7"/>
    <w:rsid w:val="00424F70"/>
    <w:rsid w:val="00425260"/>
    <w:rsid w:val="0042528B"/>
    <w:rsid w:val="00425701"/>
    <w:rsid w:val="00425979"/>
    <w:rsid w:val="0042606F"/>
    <w:rsid w:val="00426900"/>
    <w:rsid w:val="00426C37"/>
    <w:rsid w:val="00426E83"/>
    <w:rsid w:val="00426EF9"/>
    <w:rsid w:val="004274CA"/>
    <w:rsid w:val="0042763B"/>
    <w:rsid w:val="0042790B"/>
    <w:rsid w:val="00427E36"/>
    <w:rsid w:val="00430BAE"/>
    <w:rsid w:val="00430D5C"/>
    <w:rsid w:val="00430F82"/>
    <w:rsid w:val="004310DE"/>
    <w:rsid w:val="00431394"/>
    <w:rsid w:val="004315C9"/>
    <w:rsid w:val="004320DA"/>
    <w:rsid w:val="00432109"/>
    <w:rsid w:val="0043225F"/>
    <w:rsid w:val="00432831"/>
    <w:rsid w:val="004331E1"/>
    <w:rsid w:val="004334EA"/>
    <w:rsid w:val="004336A3"/>
    <w:rsid w:val="0043393F"/>
    <w:rsid w:val="0043485F"/>
    <w:rsid w:val="004355AE"/>
    <w:rsid w:val="0043694B"/>
    <w:rsid w:val="00436B8B"/>
    <w:rsid w:val="0043799B"/>
    <w:rsid w:val="004405DF"/>
    <w:rsid w:val="00441467"/>
    <w:rsid w:val="0044194A"/>
    <w:rsid w:val="00441C7E"/>
    <w:rsid w:val="00441F5C"/>
    <w:rsid w:val="0044236A"/>
    <w:rsid w:val="00442A17"/>
    <w:rsid w:val="004430F1"/>
    <w:rsid w:val="00443BDB"/>
    <w:rsid w:val="00444045"/>
    <w:rsid w:val="004441F1"/>
    <w:rsid w:val="0044420D"/>
    <w:rsid w:val="00444A3D"/>
    <w:rsid w:val="00444C76"/>
    <w:rsid w:val="00444E35"/>
    <w:rsid w:val="00445D91"/>
    <w:rsid w:val="00446276"/>
    <w:rsid w:val="004463A5"/>
    <w:rsid w:val="00446658"/>
    <w:rsid w:val="00446D02"/>
    <w:rsid w:val="00447FFE"/>
    <w:rsid w:val="004501F9"/>
    <w:rsid w:val="0045186F"/>
    <w:rsid w:val="00451FBE"/>
    <w:rsid w:val="00453D5D"/>
    <w:rsid w:val="00453DAB"/>
    <w:rsid w:val="00454288"/>
    <w:rsid w:val="00454846"/>
    <w:rsid w:val="0045492C"/>
    <w:rsid w:val="00454BB6"/>
    <w:rsid w:val="00454C5F"/>
    <w:rsid w:val="004554CF"/>
    <w:rsid w:val="00455647"/>
    <w:rsid w:val="00456EE0"/>
    <w:rsid w:val="00457039"/>
    <w:rsid w:val="004571FA"/>
    <w:rsid w:val="00457319"/>
    <w:rsid w:val="004576D0"/>
    <w:rsid w:val="004579A7"/>
    <w:rsid w:val="0046041B"/>
    <w:rsid w:val="004604E6"/>
    <w:rsid w:val="00460B8D"/>
    <w:rsid w:val="00460EC7"/>
    <w:rsid w:val="00461142"/>
    <w:rsid w:val="00461455"/>
    <w:rsid w:val="004614FA"/>
    <w:rsid w:val="00461905"/>
    <w:rsid w:val="004619DB"/>
    <w:rsid w:val="00461E9D"/>
    <w:rsid w:val="00461F02"/>
    <w:rsid w:val="00461FE2"/>
    <w:rsid w:val="004626D9"/>
    <w:rsid w:val="00462717"/>
    <w:rsid w:val="00462AFF"/>
    <w:rsid w:val="00462CED"/>
    <w:rsid w:val="004635E3"/>
    <w:rsid w:val="004636E1"/>
    <w:rsid w:val="00463751"/>
    <w:rsid w:val="004637EC"/>
    <w:rsid w:val="00465A9A"/>
    <w:rsid w:val="00465B62"/>
    <w:rsid w:val="00465E22"/>
    <w:rsid w:val="00466175"/>
    <w:rsid w:val="00466A85"/>
    <w:rsid w:val="00466AA3"/>
    <w:rsid w:val="00466CF9"/>
    <w:rsid w:val="0046772B"/>
    <w:rsid w:val="00470B5F"/>
    <w:rsid w:val="004710C4"/>
    <w:rsid w:val="00471991"/>
    <w:rsid w:val="00471ADA"/>
    <w:rsid w:val="00471D0C"/>
    <w:rsid w:val="004725DE"/>
    <w:rsid w:val="00472FFB"/>
    <w:rsid w:val="0047345C"/>
    <w:rsid w:val="00473806"/>
    <w:rsid w:val="00473A23"/>
    <w:rsid w:val="00473AA3"/>
    <w:rsid w:val="00475345"/>
    <w:rsid w:val="00475CAB"/>
    <w:rsid w:val="00475D65"/>
    <w:rsid w:val="00475EF3"/>
    <w:rsid w:val="0047621C"/>
    <w:rsid w:val="0047639D"/>
    <w:rsid w:val="00476734"/>
    <w:rsid w:val="00476E8D"/>
    <w:rsid w:val="00477AA9"/>
    <w:rsid w:val="00480207"/>
    <w:rsid w:val="0048047D"/>
    <w:rsid w:val="00480C35"/>
    <w:rsid w:val="00480F2E"/>
    <w:rsid w:val="00482268"/>
    <w:rsid w:val="00482390"/>
    <w:rsid w:val="004825C9"/>
    <w:rsid w:val="00483390"/>
    <w:rsid w:val="0048351A"/>
    <w:rsid w:val="004837CF"/>
    <w:rsid w:val="00483B84"/>
    <w:rsid w:val="00484AAD"/>
    <w:rsid w:val="0048571A"/>
    <w:rsid w:val="004858CE"/>
    <w:rsid w:val="00486236"/>
    <w:rsid w:val="004863FB"/>
    <w:rsid w:val="00486B7D"/>
    <w:rsid w:val="0048743E"/>
    <w:rsid w:val="00487FB8"/>
    <w:rsid w:val="00487FD7"/>
    <w:rsid w:val="00490958"/>
    <w:rsid w:val="00491456"/>
    <w:rsid w:val="00491677"/>
    <w:rsid w:val="00491BFC"/>
    <w:rsid w:val="00492071"/>
    <w:rsid w:val="004920D8"/>
    <w:rsid w:val="00492341"/>
    <w:rsid w:val="00492583"/>
    <w:rsid w:val="00492957"/>
    <w:rsid w:val="00492BFC"/>
    <w:rsid w:val="004936E6"/>
    <w:rsid w:val="00493A01"/>
    <w:rsid w:val="004942A4"/>
    <w:rsid w:val="00494DE9"/>
    <w:rsid w:val="00494FA8"/>
    <w:rsid w:val="00495012"/>
    <w:rsid w:val="0049511A"/>
    <w:rsid w:val="00495D69"/>
    <w:rsid w:val="004966AB"/>
    <w:rsid w:val="00496AED"/>
    <w:rsid w:val="00496CFE"/>
    <w:rsid w:val="00497750"/>
    <w:rsid w:val="00497A43"/>
    <w:rsid w:val="004A0578"/>
    <w:rsid w:val="004A0882"/>
    <w:rsid w:val="004A0A04"/>
    <w:rsid w:val="004A0C23"/>
    <w:rsid w:val="004A1CFF"/>
    <w:rsid w:val="004A1D6B"/>
    <w:rsid w:val="004A24D7"/>
    <w:rsid w:val="004A27AA"/>
    <w:rsid w:val="004A2935"/>
    <w:rsid w:val="004A2D4F"/>
    <w:rsid w:val="004A3302"/>
    <w:rsid w:val="004A359A"/>
    <w:rsid w:val="004A3BDD"/>
    <w:rsid w:val="004A412D"/>
    <w:rsid w:val="004A4199"/>
    <w:rsid w:val="004A4651"/>
    <w:rsid w:val="004A4919"/>
    <w:rsid w:val="004A4A7E"/>
    <w:rsid w:val="004A4A9C"/>
    <w:rsid w:val="004A5497"/>
    <w:rsid w:val="004A5D74"/>
    <w:rsid w:val="004A5F50"/>
    <w:rsid w:val="004A61A7"/>
    <w:rsid w:val="004A68D3"/>
    <w:rsid w:val="004A71D3"/>
    <w:rsid w:val="004A74FF"/>
    <w:rsid w:val="004B0079"/>
    <w:rsid w:val="004B00F6"/>
    <w:rsid w:val="004B04E9"/>
    <w:rsid w:val="004B0507"/>
    <w:rsid w:val="004B06A7"/>
    <w:rsid w:val="004B10D3"/>
    <w:rsid w:val="004B1888"/>
    <w:rsid w:val="004B1C05"/>
    <w:rsid w:val="004B1C97"/>
    <w:rsid w:val="004B1DB2"/>
    <w:rsid w:val="004B1DC7"/>
    <w:rsid w:val="004B21B8"/>
    <w:rsid w:val="004B2240"/>
    <w:rsid w:val="004B2C71"/>
    <w:rsid w:val="004B2D07"/>
    <w:rsid w:val="004B2E42"/>
    <w:rsid w:val="004B30A0"/>
    <w:rsid w:val="004B3667"/>
    <w:rsid w:val="004B38B8"/>
    <w:rsid w:val="004B3B3E"/>
    <w:rsid w:val="004B3D71"/>
    <w:rsid w:val="004B45EC"/>
    <w:rsid w:val="004B47C3"/>
    <w:rsid w:val="004B555F"/>
    <w:rsid w:val="004B5E19"/>
    <w:rsid w:val="004B63A0"/>
    <w:rsid w:val="004B66F2"/>
    <w:rsid w:val="004B6C9D"/>
    <w:rsid w:val="004B7B33"/>
    <w:rsid w:val="004C00D3"/>
    <w:rsid w:val="004C0CBB"/>
    <w:rsid w:val="004C150B"/>
    <w:rsid w:val="004C1545"/>
    <w:rsid w:val="004C1B8F"/>
    <w:rsid w:val="004C2318"/>
    <w:rsid w:val="004C23C8"/>
    <w:rsid w:val="004C27A6"/>
    <w:rsid w:val="004C2DA7"/>
    <w:rsid w:val="004C31C2"/>
    <w:rsid w:val="004C3297"/>
    <w:rsid w:val="004C32B2"/>
    <w:rsid w:val="004C3D71"/>
    <w:rsid w:val="004C4772"/>
    <w:rsid w:val="004C4C49"/>
    <w:rsid w:val="004C4E30"/>
    <w:rsid w:val="004C4E50"/>
    <w:rsid w:val="004C5FAC"/>
    <w:rsid w:val="004D0BE8"/>
    <w:rsid w:val="004D12EE"/>
    <w:rsid w:val="004D22E3"/>
    <w:rsid w:val="004D259C"/>
    <w:rsid w:val="004D3932"/>
    <w:rsid w:val="004D3A6A"/>
    <w:rsid w:val="004D3C87"/>
    <w:rsid w:val="004D424C"/>
    <w:rsid w:val="004D4272"/>
    <w:rsid w:val="004D4307"/>
    <w:rsid w:val="004D4AD8"/>
    <w:rsid w:val="004D52B5"/>
    <w:rsid w:val="004D67CF"/>
    <w:rsid w:val="004D68DD"/>
    <w:rsid w:val="004D6C6D"/>
    <w:rsid w:val="004D6F50"/>
    <w:rsid w:val="004D6FC8"/>
    <w:rsid w:val="004D79B8"/>
    <w:rsid w:val="004D7FA4"/>
    <w:rsid w:val="004E0A69"/>
    <w:rsid w:val="004E19B7"/>
    <w:rsid w:val="004E1AE2"/>
    <w:rsid w:val="004E24B0"/>
    <w:rsid w:val="004E25FF"/>
    <w:rsid w:val="004E3360"/>
    <w:rsid w:val="004E352E"/>
    <w:rsid w:val="004E35A6"/>
    <w:rsid w:val="004E35C6"/>
    <w:rsid w:val="004E3923"/>
    <w:rsid w:val="004E3E84"/>
    <w:rsid w:val="004E4D47"/>
    <w:rsid w:val="004E4FD3"/>
    <w:rsid w:val="004E5387"/>
    <w:rsid w:val="004E5A68"/>
    <w:rsid w:val="004E632F"/>
    <w:rsid w:val="004E6D2A"/>
    <w:rsid w:val="004E6EB3"/>
    <w:rsid w:val="004E71D0"/>
    <w:rsid w:val="004E7DD6"/>
    <w:rsid w:val="004E7FA6"/>
    <w:rsid w:val="004F04C5"/>
    <w:rsid w:val="004F10B1"/>
    <w:rsid w:val="004F1659"/>
    <w:rsid w:val="004F1977"/>
    <w:rsid w:val="004F1C2C"/>
    <w:rsid w:val="004F2F70"/>
    <w:rsid w:val="004F2FA3"/>
    <w:rsid w:val="004F3B6E"/>
    <w:rsid w:val="004F3D63"/>
    <w:rsid w:val="004F4122"/>
    <w:rsid w:val="004F42C7"/>
    <w:rsid w:val="004F4D23"/>
    <w:rsid w:val="004F5185"/>
    <w:rsid w:val="004F522E"/>
    <w:rsid w:val="004F5236"/>
    <w:rsid w:val="004F546D"/>
    <w:rsid w:val="004F7074"/>
    <w:rsid w:val="004F70EF"/>
    <w:rsid w:val="004F7150"/>
    <w:rsid w:val="004F71DD"/>
    <w:rsid w:val="004F73C2"/>
    <w:rsid w:val="004F7DFF"/>
    <w:rsid w:val="00500299"/>
    <w:rsid w:val="00500488"/>
    <w:rsid w:val="005005E0"/>
    <w:rsid w:val="005009AD"/>
    <w:rsid w:val="00500C42"/>
    <w:rsid w:val="00500D0E"/>
    <w:rsid w:val="00500EA6"/>
    <w:rsid w:val="0050108A"/>
    <w:rsid w:val="00501AD8"/>
    <w:rsid w:val="005025E0"/>
    <w:rsid w:val="0050326A"/>
    <w:rsid w:val="0050399F"/>
    <w:rsid w:val="0050410D"/>
    <w:rsid w:val="005042B2"/>
    <w:rsid w:val="005042F9"/>
    <w:rsid w:val="00504685"/>
    <w:rsid w:val="00504F3E"/>
    <w:rsid w:val="00505000"/>
    <w:rsid w:val="00505885"/>
    <w:rsid w:val="00505AA9"/>
    <w:rsid w:val="0050622A"/>
    <w:rsid w:val="005063B4"/>
    <w:rsid w:val="00506414"/>
    <w:rsid w:val="005064CC"/>
    <w:rsid w:val="00507097"/>
    <w:rsid w:val="005071E4"/>
    <w:rsid w:val="00507D84"/>
    <w:rsid w:val="00510427"/>
    <w:rsid w:val="00510FE8"/>
    <w:rsid w:val="0051164B"/>
    <w:rsid w:val="00511EF8"/>
    <w:rsid w:val="00512059"/>
    <w:rsid w:val="0051218F"/>
    <w:rsid w:val="005121C4"/>
    <w:rsid w:val="0051260C"/>
    <w:rsid w:val="00512ABE"/>
    <w:rsid w:val="00512B74"/>
    <w:rsid w:val="00512BB9"/>
    <w:rsid w:val="00512FF1"/>
    <w:rsid w:val="0051300A"/>
    <w:rsid w:val="00513591"/>
    <w:rsid w:val="005136ED"/>
    <w:rsid w:val="00513DC2"/>
    <w:rsid w:val="00515430"/>
    <w:rsid w:val="0051568C"/>
    <w:rsid w:val="00515A1C"/>
    <w:rsid w:val="00515D69"/>
    <w:rsid w:val="0051603E"/>
    <w:rsid w:val="00516C3D"/>
    <w:rsid w:val="005172D3"/>
    <w:rsid w:val="005206A6"/>
    <w:rsid w:val="005207FF"/>
    <w:rsid w:val="00520B8E"/>
    <w:rsid w:val="00520F54"/>
    <w:rsid w:val="00521CE5"/>
    <w:rsid w:val="00521F63"/>
    <w:rsid w:val="00522347"/>
    <w:rsid w:val="0052312C"/>
    <w:rsid w:val="0052325A"/>
    <w:rsid w:val="0052373F"/>
    <w:rsid w:val="00523E6C"/>
    <w:rsid w:val="00524A48"/>
    <w:rsid w:val="00524E44"/>
    <w:rsid w:val="00525087"/>
    <w:rsid w:val="00525B41"/>
    <w:rsid w:val="00525BB2"/>
    <w:rsid w:val="00526620"/>
    <w:rsid w:val="00526684"/>
    <w:rsid w:val="005267F5"/>
    <w:rsid w:val="00527111"/>
    <w:rsid w:val="00527263"/>
    <w:rsid w:val="00527871"/>
    <w:rsid w:val="00527B86"/>
    <w:rsid w:val="00527E06"/>
    <w:rsid w:val="0053047B"/>
    <w:rsid w:val="00530EBD"/>
    <w:rsid w:val="0053206F"/>
    <w:rsid w:val="00532787"/>
    <w:rsid w:val="00532C6A"/>
    <w:rsid w:val="00533017"/>
    <w:rsid w:val="005332DF"/>
    <w:rsid w:val="00533823"/>
    <w:rsid w:val="00533C02"/>
    <w:rsid w:val="00533C06"/>
    <w:rsid w:val="00533FA6"/>
    <w:rsid w:val="00534127"/>
    <w:rsid w:val="0053421A"/>
    <w:rsid w:val="005342EE"/>
    <w:rsid w:val="00534817"/>
    <w:rsid w:val="00534F54"/>
    <w:rsid w:val="00535063"/>
    <w:rsid w:val="00535E07"/>
    <w:rsid w:val="00535FDC"/>
    <w:rsid w:val="00536710"/>
    <w:rsid w:val="0053712F"/>
    <w:rsid w:val="00537F66"/>
    <w:rsid w:val="0054072C"/>
    <w:rsid w:val="00540D24"/>
    <w:rsid w:val="00540E1B"/>
    <w:rsid w:val="00540F68"/>
    <w:rsid w:val="0054108C"/>
    <w:rsid w:val="00541191"/>
    <w:rsid w:val="00541523"/>
    <w:rsid w:val="00542191"/>
    <w:rsid w:val="00542618"/>
    <w:rsid w:val="005426D2"/>
    <w:rsid w:val="00542DFE"/>
    <w:rsid w:val="005431B9"/>
    <w:rsid w:val="00543A40"/>
    <w:rsid w:val="005440D0"/>
    <w:rsid w:val="005443CC"/>
    <w:rsid w:val="00544C83"/>
    <w:rsid w:val="00544E5C"/>
    <w:rsid w:val="00545979"/>
    <w:rsid w:val="00545A52"/>
    <w:rsid w:val="00546208"/>
    <w:rsid w:val="00546856"/>
    <w:rsid w:val="00546F45"/>
    <w:rsid w:val="00546F52"/>
    <w:rsid w:val="00547A8D"/>
    <w:rsid w:val="005504D7"/>
    <w:rsid w:val="00550E2B"/>
    <w:rsid w:val="00550E39"/>
    <w:rsid w:val="00551578"/>
    <w:rsid w:val="0055179C"/>
    <w:rsid w:val="0055211C"/>
    <w:rsid w:val="00553952"/>
    <w:rsid w:val="00553D19"/>
    <w:rsid w:val="00553F34"/>
    <w:rsid w:val="005545AA"/>
    <w:rsid w:val="005559AC"/>
    <w:rsid w:val="005559EF"/>
    <w:rsid w:val="00555A49"/>
    <w:rsid w:val="005563CE"/>
    <w:rsid w:val="00556A7F"/>
    <w:rsid w:val="00557388"/>
    <w:rsid w:val="005579A8"/>
    <w:rsid w:val="00557E94"/>
    <w:rsid w:val="00561661"/>
    <w:rsid w:val="0056170D"/>
    <w:rsid w:val="00561763"/>
    <w:rsid w:val="00561CCA"/>
    <w:rsid w:val="00561E7E"/>
    <w:rsid w:val="00562057"/>
    <w:rsid w:val="005628C4"/>
    <w:rsid w:val="00563123"/>
    <w:rsid w:val="00563606"/>
    <w:rsid w:val="00563CFE"/>
    <w:rsid w:val="00563E74"/>
    <w:rsid w:val="00563F44"/>
    <w:rsid w:val="0056430D"/>
    <w:rsid w:val="00564727"/>
    <w:rsid w:val="00564D98"/>
    <w:rsid w:val="005651F9"/>
    <w:rsid w:val="00565D9C"/>
    <w:rsid w:val="005671B5"/>
    <w:rsid w:val="00567245"/>
    <w:rsid w:val="005672CB"/>
    <w:rsid w:val="0056785D"/>
    <w:rsid w:val="00567B70"/>
    <w:rsid w:val="00567CBD"/>
    <w:rsid w:val="00567F79"/>
    <w:rsid w:val="00570451"/>
    <w:rsid w:val="005715E7"/>
    <w:rsid w:val="00571741"/>
    <w:rsid w:val="0057195C"/>
    <w:rsid w:val="0057198F"/>
    <w:rsid w:val="00572693"/>
    <w:rsid w:val="005729DE"/>
    <w:rsid w:val="0057332E"/>
    <w:rsid w:val="0057355A"/>
    <w:rsid w:val="00573667"/>
    <w:rsid w:val="005736FB"/>
    <w:rsid w:val="005738CD"/>
    <w:rsid w:val="00573DE0"/>
    <w:rsid w:val="00573EF6"/>
    <w:rsid w:val="00574D0A"/>
    <w:rsid w:val="00574D6F"/>
    <w:rsid w:val="005753D2"/>
    <w:rsid w:val="00575859"/>
    <w:rsid w:val="00575AC1"/>
    <w:rsid w:val="00575C15"/>
    <w:rsid w:val="00575CFA"/>
    <w:rsid w:val="0057639D"/>
    <w:rsid w:val="005764C4"/>
    <w:rsid w:val="0057686B"/>
    <w:rsid w:val="0057724A"/>
    <w:rsid w:val="0057760F"/>
    <w:rsid w:val="005807B2"/>
    <w:rsid w:val="00580E11"/>
    <w:rsid w:val="00580E39"/>
    <w:rsid w:val="00580E49"/>
    <w:rsid w:val="005818BD"/>
    <w:rsid w:val="00582C45"/>
    <w:rsid w:val="00583161"/>
    <w:rsid w:val="00584C8C"/>
    <w:rsid w:val="00584E22"/>
    <w:rsid w:val="00585939"/>
    <w:rsid w:val="00585C76"/>
    <w:rsid w:val="005867B5"/>
    <w:rsid w:val="00586BD7"/>
    <w:rsid w:val="005875F7"/>
    <w:rsid w:val="005879F6"/>
    <w:rsid w:val="005903A3"/>
    <w:rsid w:val="00590855"/>
    <w:rsid w:val="00590945"/>
    <w:rsid w:val="00590A21"/>
    <w:rsid w:val="00590C4E"/>
    <w:rsid w:val="00590E1D"/>
    <w:rsid w:val="0059104B"/>
    <w:rsid w:val="00591ECB"/>
    <w:rsid w:val="0059207E"/>
    <w:rsid w:val="005920F0"/>
    <w:rsid w:val="00593672"/>
    <w:rsid w:val="00594527"/>
    <w:rsid w:val="00594648"/>
    <w:rsid w:val="0059479E"/>
    <w:rsid w:val="00594E80"/>
    <w:rsid w:val="00594EA7"/>
    <w:rsid w:val="00594FB4"/>
    <w:rsid w:val="0059515D"/>
    <w:rsid w:val="0059558E"/>
    <w:rsid w:val="00595CD4"/>
    <w:rsid w:val="00595F4B"/>
    <w:rsid w:val="005963AB"/>
    <w:rsid w:val="0059753A"/>
    <w:rsid w:val="00597DB3"/>
    <w:rsid w:val="005A01B1"/>
    <w:rsid w:val="005A0394"/>
    <w:rsid w:val="005A0A52"/>
    <w:rsid w:val="005A0A74"/>
    <w:rsid w:val="005A0D43"/>
    <w:rsid w:val="005A109A"/>
    <w:rsid w:val="005A1261"/>
    <w:rsid w:val="005A1CB1"/>
    <w:rsid w:val="005A1F5A"/>
    <w:rsid w:val="005A27BE"/>
    <w:rsid w:val="005A3405"/>
    <w:rsid w:val="005A3640"/>
    <w:rsid w:val="005A4175"/>
    <w:rsid w:val="005A43D8"/>
    <w:rsid w:val="005A475E"/>
    <w:rsid w:val="005A4A2A"/>
    <w:rsid w:val="005A60E7"/>
    <w:rsid w:val="005A67AE"/>
    <w:rsid w:val="005A77CF"/>
    <w:rsid w:val="005A7FFE"/>
    <w:rsid w:val="005B0CE1"/>
    <w:rsid w:val="005B1899"/>
    <w:rsid w:val="005B21C1"/>
    <w:rsid w:val="005B220F"/>
    <w:rsid w:val="005B2570"/>
    <w:rsid w:val="005B2797"/>
    <w:rsid w:val="005B3115"/>
    <w:rsid w:val="005B32C9"/>
    <w:rsid w:val="005B369E"/>
    <w:rsid w:val="005B421D"/>
    <w:rsid w:val="005B4593"/>
    <w:rsid w:val="005B502E"/>
    <w:rsid w:val="005B5E97"/>
    <w:rsid w:val="005B5EA7"/>
    <w:rsid w:val="005B6360"/>
    <w:rsid w:val="005B656C"/>
    <w:rsid w:val="005B7761"/>
    <w:rsid w:val="005C04E6"/>
    <w:rsid w:val="005C053F"/>
    <w:rsid w:val="005C12B1"/>
    <w:rsid w:val="005C13CF"/>
    <w:rsid w:val="005C1FBE"/>
    <w:rsid w:val="005C230B"/>
    <w:rsid w:val="005C2637"/>
    <w:rsid w:val="005C2EBA"/>
    <w:rsid w:val="005C316A"/>
    <w:rsid w:val="005C39E8"/>
    <w:rsid w:val="005C3E34"/>
    <w:rsid w:val="005C3E40"/>
    <w:rsid w:val="005C48EC"/>
    <w:rsid w:val="005C4EA4"/>
    <w:rsid w:val="005C5DC3"/>
    <w:rsid w:val="005C5E16"/>
    <w:rsid w:val="005C6147"/>
    <w:rsid w:val="005C638B"/>
    <w:rsid w:val="005C63E6"/>
    <w:rsid w:val="005C684D"/>
    <w:rsid w:val="005C6F9A"/>
    <w:rsid w:val="005C7013"/>
    <w:rsid w:val="005C7273"/>
    <w:rsid w:val="005C73B0"/>
    <w:rsid w:val="005C7409"/>
    <w:rsid w:val="005C7C90"/>
    <w:rsid w:val="005D08F5"/>
    <w:rsid w:val="005D13CF"/>
    <w:rsid w:val="005D2667"/>
    <w:rsid w:val="005D3214"/>
    <w:rsid w:val="005D43A2"/>
    <w:rsid w:val="005D4CE1"/>
    <w:rsid w:val="005D51DC"/>
    <w:rsid w:val="005D59CC"/>
    <w:rsid w:val="005D6103"/>
    <w:rsid w:val="005D726E"/>
    <w:rsid w:val="005D797B"/>
    <w:rsid w:val="005D7FD4"/>
    <w:rsid w:val="005E02E6"/>
    <w:rsid w:val="005E047B"/>
    <w:rsid w:val="005E0AD1"/>
    <w:rsid w:val="005E0C5E"/>
    <w:rsid w:val="005E1CF8"/>
    <w:rsid w:val="005E1D1B"/>
    <w:rsid w:val="005E1E80"/>
    <w:rsid w:val="005E1F95"/>
    <w:rsid w:val="005E212E"/>
    <w:rsid w:val="005E2840"/>
    <w:rsid w:val="005E2C94"/>
    <w:rsid w:val="005E2EBA"/>
    <w:rsid w:val="005E36F2"/>
    <w:rsid w:val="005E3C46"/>
    <w:rsid w:val="005E3EBF"/>
    <w:rsid w:val="005E4002"/>
    <w:rsid w:val="005E44DF"/>
    <w:rsid w:val="005E46C6"/>
    <w:rsid w:val="005E47E2"/>
    <w:rsid w:val="005E4CBB"/>
    <w:rsid w:val="005E4E29"/>
    <w:rsid w:val="005E5D27"/>
    <w:rsid w:val="005E60D3"/>
    <w:rsid w:val="005E6EC7"/>
    <w:rsid w:val="005E6F27"/>
    <w:rsid w:val="005E7000"/>
    <w:rsid w:val="005E774C"/>
    <w:rsid w:val="005F05D0"/>
    <w:rsid w:val="005F07F3"/>
    <w:rsid w:val="005F1241"/>
    <w:rsid w:val="005F1913"/>
    <w:rsid w:val="005F205D"/>
    <w:rsid w:val="005F2DFD"/>
    <w:rsid w:val="005F317F"/>
    <w:rsid w:val="005F3BFC"/>
    <w:rsid w:val="005F4446"/>
    <w:rsid w:val="005F4667"/>
    <w:rsid w:val="005F4801"/>
    <w:rsid w:val="005F4B8F"/>
    <w:rsid w:val="005F4C70"/>
    <w:rsid w:val="005F53BE"/>
    <w:rsid w:val="005F592D"/>
    <w:rsid w:val="005F59C3"/>
    <w:rsid w:val="005F5A23"/>
    <w:rsid w:val="005F5B2D"/>
    <w:rsid w:val="005F5EE0"/>
    <w:rsid w:val="005F60C8"/>
    <w:rsid w:val="005F61EF"/>
    <w:rsid w:val="005F621C"/>
    <w:rsid w:val="005F6FC2"/>
    <w:rsid w:val="005F7363"/>
    <w:rsid w:val="005F7B7F"/>
    <w:rsid w:val="0060048C"/>
    <w:rsid w:val="00600867"/>
    <w:rsid w:val="00600E2E"/>
    <w:rsid w:val="0060131F"/>
    <w:rsid w:val="00602FFB"/>
    <w:rsid w:val="00603691"/>
    <w:rsid w:val="00604024"/>
    <w:rsid w:val="00604624"/>
    <w:rsid w:val="006047E7"/>
    <w:rsid w:val="006050B4"/>
    <w:rsid w:val="00605497"/>
    <w:rsid w:val="00605A68"/>
    <w:rsid w:val="00605B2C"/>
    <w:rsid w:val="00606245"/>
    <w:rsid w:val="00606A23"/>
    <w:rsid w:val="00607DEF"/>
    <w:rsid w:val="00610CD4"/>
    <w:rsid w:val="00611277"/>
    <w:rsid w:val="006113A6"/>
    <w:rsid w:val="006118E9"/>
    <w:rsid w:val="00612244"/>
    <w:rsid w:val="00612406"/>
    <w:rsid w:val="006124FB"/>
    <w:rsid w:val="00612739"/>
    <w:rsid w:val="006128D9"/>
    <w:rsid w:val="00612BD8"/>
    <w:rsid w:val="00612CAF"/>
    <w:rsid w:val="0061306B"/>
    <w:rsid w:val="00613833"/>
    <w:rsid w:val="00613EC6"/>
    <w:rsid w:val="006141DE"/>
    <w:rsid w:val="00614412"/>
    <w:rsid w:val="00614843"/>
    <w:rsid w:val="00614A8F"/>
    <w:rsid w:val="00614AA9"/>
    <w:rsid w:val="00614CE2"/>
    <w:rsid w:val="00615143"/>
    <w:rsid w:val="0061555A"/>
    <w:rsid w:val="0061622E"/>
    <w:rsid w:val="006168CA"/>
    <w:rsid w:val="00616B32"/>
    <w:rsid w:val="0061774B"/>
    <w:rsid w:val="006178C4"/>
    <w:rsid w:val="006200B8"/>
    <w:rsid w:val="006203DA"/>
    <w:rsid w:val="00621084"/>
    <w:rsid w:val="00621361"/>
    <w:rsid w:val="00621870"/>
    <w:rsid w:val="00621A2A"/>
    <w:rsid w:val="006224DA"/>
    <w:rsid w:val="00622590"/>
    <w:rsid w:val="00623031"/>
    <w:rsid w:val="00623626"/>
    <w:rsid w:val="00623738"/>
    <w:rsid w:val="006239AE"/>
    <w:rsid w:val="00623B5B"/>
    <w:rsid w:val="00623B99"/>
    <w:rsid w:val="00623DCE"/>
    <w:rsid w:val="006241F1"/>
    <w:rsid w:val="006241F9"/>
    <w:rsid w:val="00624477"/>
    <w:rsid w:val="00624764"/>
    <w:rsid w:val="00624831"/>
    <w:rsid w:val="006273EF"/>
    <w:rsid w:val="00627DED"/>
    <w:rsid w:val="0063028F"/>
    <w:rsid w:val="006302D4"/>
    <w:rsid w:val="006304EF"/>
    <w:rsid w:val="00630600"/>
    <w:rsid w:val="006306FB"/>
    <w:rsid w:val="0063138F"/>
    <w:rsid w:val="00631523"/>
    <w:rsid w:val="00631762"/>
    <w:rsid w:val="00631E19"/>
    <w:rsid w:val="00631F10"/>
    <w:rsid w:val="00632320"/>
    <w:rsid w:val="00632571"/>
    <w:rsid w:val="006328A8"/>
    <w:rsid w:val="00632A20"/>
    <w:rsid w:val="00632A4D"/>
    <w:rsid w:val="00633B05"/>
    <w:rsid w:val="00633B89"/>
    <w:rsid w:val="00634585"/>
    <w:rsid w:val="00635134"/>
    <w:rsid w:val="00635758"/>
    <w:rsid w:val="006358B7"/>
    <w:rsid w:val="006363C6"/>
    <w:rsid w:val="006364A3"/>
    <w:rsid w:val="00637052"/>
    <w:rsid w:val="00637137"/>
    <w:rsid w:val="00641033"/>
    <w:rsid w:val="0064105A"/>
    <w:rsid w:val="0064197D"/>
    <w:rsid w:val="00641D01"/>
    <w:rsid w:val="0064219A"/>
    <w:rsid w:val="00642523"/>
    <w:rsid w:val="00642743"/>
    <w:rsid w:val="0064299C"/>
    <w:rsid w:val="00643288"/>
    <w:rsid w:val="00643AD8"/>
    <w:rsid w:val="00643E4A"/>
    <w:rsid w:val="0064421F"/>
    <w:rsid w:val="00644739"/>
    <w:rsid w:val="00644EBC"/>
    <w:rsid w:val="0064524F"/>
    <w:rsid w:val="0064530E"/>
    <w:rsid w:val="0064536E"/>
    <w:rsid w:val="0064580D"/>
    <w:rsid w:val="00646C6B"/>
    <w:rsid w:val="00646D42"/>
    <w:rsid w:val="00646ED7"/>
    <w:rsid w:val="00647346"/>
    <w:rsid w:val="00647646"/>
    <w:rsid w:val="0064784D"/>
    <w:rsid w:val="00647DC1"/>
    <w:rsid w:val="00647E4B"/>
    <w:rsid w:val="00650C47"/>
    <w:rsid w:val="00651A37"/>
    <w:rsid w:val="00652033"/>
    <w:rsid w:val="0065256F"/>
    <w:rsid w:val="00652637"/>
    <w:rsid w:val="00652742"/>
    <w:rsid w:val="0065358C"/>
    <w:rsid w:val="00653C64"/>
    <w:rsid w:val="00653EB0"/>
    <w:rsid w:val="00653EE3"/>
    <w:rsid w:val="00654251"/>
    <w:rsid w:val="0065504E"/>
    <w:rsid w:val="00655C0A"/>
    <w:rsid w:val="00655F22"/>
    <w:rsid w:val="00656742"/>
    <w:rsid w:val="00656F58"/>
    <w:rsid w:val="00657196"/>
    <w:rsid w:val="00657FF7"/>
    <w:rsid w:val="00660195"/>
    <w:rsid w:val="006601A1"/>
    <w:rsid w:val="006601C4"/>
    <w:rsid w:val="00661740"/>
    <w:rsid w:val="00661B55"/>
    <w:rsid w:val="006626A5"/>
    <w:rsid w:val="006626F9"/>
    <w:rsid w:val="00662FD8"/>
    <w:rsid w:val="006631DF"/>
    <w:rsid w:val="00663CDC"/>
    <w:rsid w:val="0066403B"/>
    <w:rsid w:val="006641B2"/>
    <w:rsid w:val="0066434A"/>
    <w:rsid w:val="00664446"/>
    <w:rsid w:val="00664864"/>
    <w:rsid w:val="00664F06"/>
    <w:rsid w:val="0066533E"/>
    <w:rsid w:val="00665ECC"/>
    <w:rsid w:val="006663A5"/>
    <w:rsid w:val="006664FF"/>
    <w:rsid w:val="00666C21"/>
    <w:rsid w:val="00667241"/>
    <w:rsid w:val="00667D77"/>
    <w:rsid w:val="006705B0"/>
    <w:rsid w:val="00670C05"/>
    <w:rsid w:val="00670CFC"/>
    <w:rsid w:val="00670EBB"/>
    <w:rsid w:val="0067133D"/>
    <w:rsid w:val="00671574"/>
    <w:rsid w:val="00671880"/>
    <w:rsid w:val="00671AD8"/>
    <w:rsid w:val="00672165"/>
    <w:rsid w:val="00672FF3"/>
    <w:rsid w:val="006731C9"/>
    <w:rsid w:val="00673534"/>
    <w:rsid w:val="00673D3D"/>
    <w:rsid w:val="00674211"/>
    <w:rsid w:val="0067447B"/>
    <w:rsid w:val="00675416"/>
    <w:rsid w:val="00675BF5"/>
    <w:rsid w:val="00675CBC"/>
    <w:rsid w:val="00675CF4"/>
    <w:rsid w:val="00675E6B"/>
    <w:rsid w:val="00676C5E"/>
    <w:rsid w:val="00676CFE"/>
    <w:rsid w:val="00676D44"/>
    <w:rsid w:val="00676F83"/>
    <w:rsid w:val="0067782B"/>
    <w:rsid w:val="00677F13"/>
    <w:rsid w:val="00680E09"/>
    <w:rsid w:val="006810DE"/>
    <w:rsid w:val="00681377"/>
    <w:rsid w:val="006816DE"/>
    <w:rsid w:val="006821E2"/>
    <w:rsid w:val="00682E37"/>
    <w:rsid w:val="0068317C"/>
    <w:rsid w:val="0068319B"/>
    <w:rsid w:val="0068359F"/>
    <w:rsid w:val="00683E0D"/>
    <w:rsid w:val="00683FAE"/>
    <w:rsid w:val="00684302"/>
    <w:rsid w:val="00684395"/>
    <w:rsid w:val="00684977"/>
    <w:rsid w:val="00684C76"/>
    <w:rsid w:val="00684D5A"/>
    <w:rsid w:val="00685000"/>
    <w:rsid w:val="00685058"/>
    <w:rsid w:val="00685DB3"/>
    <w:rsid w:val="006862E9"/>
    <w:rsid w:val="00686A5F"/>
    <w:rsid w:val="006871FA"/>
    <w:rsid w:val="006874CD"/>
    <w:rsid w:val="00687771"/>
    <w:rsid w:val="0069013C"/>
    <w:rsid w:val="0069083E"/>
    <w:rsid w:val="0069087D"/>
    <w:rsid w:val="0069094D"/>
    <w:rsid w:val="00690C34"/>
    <w:rsid w:val="00691C92"/>
    <w:rsid w:val="00691DE7"/>
    <w:rsid w:val="006932CB"/>
    <w:rsid w:val="00693D3A"/>
    <w:rsid w:val="00693F23"/>
    <w:rsid w:val="006941F0"/>
    <w:rsid w:val="006944BB"/>
    <w:rsid w:val="00694B81"/>
    <w:rsid w:val="006951A7"/>
    <w:rsid w:val="00695320"/>
    <w:rsid w:val="00695423"/>
    <w:rsid w:val="0069577B"/>
    <w:rsid w:val="00695A81"/>
    <w:rsid w:val="00695D17"/>
    <w:rsid w:val="00695EC7"/>
    <w:rsid w:val="0069602F"/>
    <w:rsid w:val="0069614B"/>
    <w:rsid w:val="00696376"/>
    <w:rsid w:val="0069687A"/>
    <w:rsid w:val="00696A6D"/>
    <w:rsid w:val="00696E0C"/>
    <w:rsid w:val="006971CC"/>
    <w:rsid w:val="006975EC"/>
    <w:rsid w:val="0069773A"/>
    <w:rsid w:val="00697CAF"/>
    <w:rsid w:val="00697F6C"/>
    <w:rsid w:val="006A0652"/>
    <w:rsid w:val="006A07AA"/>
    <w:rsid w:val="006A08A5"/>
    <w:rsid w:val="006A0F3A"/>
    <w:rsid w:val="006A1171"/>
    <w:rsid w:val="006A1406"/>
    <w:rsid w:val="006A1617"/>
    <w:rsid w:val="006A175A"/>
    <w:rsid w:val="006A2612"/>
    <w:rsid w:val="006A2799"/>
    <w:rsid w:val="006A287D"/>
    <w:rsid w:val="006A2BFC"/>
    <w:rsid w:val="006A2C97"/>
    <w:rsid w:val="006A2F18"/>
    <w:rsid w:val="006A2FC3"/>
    <w:rsid w:val="006A3F7B"/>
    <w:rsid w:val="006A4196"/>
    <w:rsid w:val="006A458B"/>
    <w:rsid w:val="006A4AA5"/>
    <w:rsid w:val="006A5F1C"/>
    <w:rsid w:val="006A68C1"/>
    <w:rsid w:val="006A73DC"/>
    <w:rsid w:val="006B0A1E"/>
    <w:rsid w:val="006B0B68"/>
    <w:rsid w:val="006B0F3E"/>
    <w:rsid w:val="006B123C"/>
    <w:rsid w:val="006B1478"/>
    <w:rsid w:val="006B184C"/>
    <w:rsid w:val="006B1BD2"/>
    <w:rsid w:val="006B1F0E"/>
    <w:rsid w:val="006B206C"/>
    <w:rsid w:val="006B230A"/>
    <w:rsid w:val="006B3149"/>
    <w:rsid w:val="006B38AF"/>
    <w:rsid w:val="006B3917"/>
    <w:rsid w:val="006B3F9B"/>
    <w:rsid w:val="006B4120"/>
    <w:rsid w:val="006B46A5"/>
    <w:rsid w:val="006B48E8"/>
    <w:rsid w:val="006B4C48"/>
    <w:rsid w:val="006B4ECD"/>
    <w:rsid w:val="006B5942"/>
    <w:rsid w:val="006B59AF"/>
    <w:rsid w:val="006B5CCC"/>
    <w:rsid w:val="006B5F10"/>
    <w:rsid w:val="006B694F"/>
    <w:rsid w:val="006B6ADF"/>
    <w:rsid w:val="006B7602"/>
    <w:rsid w:val="006B76EC"/>
    <w:rsid w:val="006C004D"/>
    <w:rsid w:val="006C06AF"/>
    <w:rsid w:val="006C0896"/>
    <w:rsid w:val="006C0996"/>
    <w:rsid w:val="006C14C0"/>
    <w:rsid w:val="006C1B6E"/>
    <w:rsid w:val="006C2565"/>
    <w:rsid w:val="006C2760"/>
    <w:rsid w:val="006C2C23"/>
    <w:rsid w:val="006C3A49"/>
    <w:rsid w:val="006C40E6"/>
    <w:rsid w:val="006C41A3"/>
    <w:rsid w:val="006C43B6"/>
    <w:rsid w:val="006C47AE"/>
    <w:rsid w:val="006C4C9E"/>
    <w:rsid w:val="006C4F72"/>
    <w:rsid w:val="006C532F"/>
    <w:rsid w:val="006C586C"/>
    <w:rsid w:val="006C5A05"/>
    <w:rsid w:val="006C5BDE"/>
    <w:rsid w:val="006C5BFA"/>
    <w:rsid w:val="006C5E20"/>
    <w:rsid w:val="006C5E83"/>
    <w:rsid w:val="006C6A19"/>
    <w:rsid w:val="006C6E8A"/>
    <w:rsid w:val="006C71F2"/>
    <w:rsid w:val="006C77D9"/>
    <w:rsid w:val="006C7D04"/>
    <w:rsid w:val="006D026D"/>
    <w:rsid w:val="006D0BE8"/>
    <w:rsid w:val="006D0C19"/>
    <w:rsid w:val="006D0FB0"/>
    <w:rsid w:val="006D0FDC"/>
    <w:rsid w:val="006D11E4"/>
    <w:rsid w:val="006D14C5"/>
    <w:rsid w:val="006D15F7"/>
    <w:rsid w:val="006D1DFF"/>
    <w:rsid w:val="006D203A"/>
    <w:rsid w:val="006D2080"/>
    <w:rsid w:val="006D2EA2"/>
    <w:rsid w:val="006D36B6"/>
    <w:rsid w:val="006D38E3"/>
    <w:rsid w:val="006D3AC8"/>
    <w:rsid w:val="006D3E87"/>
    <w:rsid w:val="006D3EEB"/>
    <w:rsid w:val="006D47F2"/>
    <w:rsid w:val="006D4C94"/>
    <w:rsid w:val="006D4EC2"/>
    <w:rsid w:val="006D500E"/>
    <w:rsid w:val="006D5230"/>
    <w:rsid w:val="006D5CFD"/>
    <w:rsid w:val="006D6123"/>
    <w:rsid w:val="006D65A7"/>
    <w:rsid w:val="006D68E9"/>
    <w:rsid w:val="006D739F"/>
    <w:rsid w:val="006D75CC"/>
    <w:rsid w:val="006E0DB5"/>
    <w:rsid w:val="006E1069"/>
    <w:rsid w:val="006E11DD"/>
    <w:rsid w:val="006E1620"/>
    <w:rsid w:val="006E168F"/>
    <w:rsid w:val="006E1734"/>
    <w:rsid w:val="006E2E10"/>
    <w:rsid w:val="006E2F46"/>
    <w:rsid w:val="006E3011"/>
    <w:rsid w:val="006E3067"/>
    <w:rsid w:val="006E3127"/>
    <w:rsid w:val="006E3F33"/>
    <w:rsid w:val="006E450A"/>
    <w:rsid w:val="006E65D6"/>
    <w:rsid w:val="006E66A7"/>
    <w:rsid w:val="006E6D85"/>
    <w:rsid w:val="006E7E53"/>
    <w:rsid w:val="006E7E5B"/>
    <w:rsid w:val="006F0053"/>
    <w:rsid w:val="006F034E"/>
    <w:rsid w:val="006F0639"/>
    <w:rsid w:val="006F065C"/>
    <w:rsid w:val="006F0C0C"/>
    <w:rsid w:val="006F1F15"/>
    <w:rsid w:val="006F2128"/>
    <w:rsid w:val="006F27C8"/>
    <w:rsid w:val="006F2A8B"/>
    <w:rsid w:val="006F2B82"/>
    <w:rsid w:val="006F2C52"/>
    <w:rsid w:val="006F307F"/>
    <w:rsid w:val="006F30E6"/>
    <w:rsid w:val="006F30FF"/>
    <w:rsid w:val="006F3144"/>
    <w:rsid w:val="006F356C"/>
    <w:rsid w:val="006F46C9"/>
    <w:rsid w:val="006F4823"/>
    <w:rsid w:val="006F4AF8"/>
    <w:rsid w:val="006F4F86"/>
    <w:rsid w:val="006F54B2"/>
    <w:rsid w:val="006F5C63"/>
    <w:rsid w:val="006F5DA6"/>
    <w:rsid w:val="006F62BE"/>
    <w:rsid w:val="006F6408"/>
    <w:rsid w:val="006F64E4"/>
    <w:rsid w:val="006F6F43"/>
    <w:rsid w:val="006F7187"/>
    <w:rsid w:val="006F7433"/>
    <w:rsid w:val="007003E1"/>
    <w:rsid w:val="0070056B"/>
    <w:rsid w:val="00700ADC"/>
    <w:rsid w:val="00700E51"/>
    <w:rsid w:val="007011D7"/>
    <w:rsid w:val="00701646"/>
    <w:rsid w:val="007016EA"/>
    <w:rsid w:val="00701A9B"/>
    <w:rsid w:val="00701AAD"/>
    <w:rsid w:val="00701B7F"/>
    <w:rsid w:val="00701C8C"/>
    <w:rsid w:val="00701F19"/>
    <w:rsid w:val="007021FB"/>
    <w:rsid w:val="007026E5"/>
    <w:rsid w:val="00702E22"/>
    <w:rsid w:val="00702FEC"/>
    <w:rsid w:val="007031CE"/>
    <w:rsid w:val="0070405B"/>
    <w:rsid w:val="007044FB"/>
    <w:rsid w:val="007046AE"/>
    <w:rsid w:val="00704AF4"/>
    <w:rsid w:val="007055C8"/>
    <w:rsid w:val="00705731"/>
    <w:rsid w:val="007064B2"/>
    <w:rsid w:val="00706FF5"/>
    <w:rsid w:val="007074AD"/>
    <w:rsid w:val="00707D92"/>
    <w:rsid w:val="00707FBE"/>
    <w:rsid w:val="00710303"/>
    <w:rsid w:val="0071035D"/>
    <w:rsid w:val="007107AB"/>
    <w:rsid w:val="00710AD3"/>
    <w:rsid w:val="0071195A"/>
    <w:rsid w:val="007121AB"/>
    <w:rsid w:val="0071275D"/>
    <w:rsid w:val="00712C1F"/>
    <w:rsid w:val="00713044"/>
    <w:rsid w:val="00713E34"/>
    <w:rsid w:val="00714984"/>
    <w:rsid w:val="00714BE6"/>
    <w:rsid w:val="00715032"/>
    <w:rsid w:val="007156F6"/>
    <w:rsid w:val="0071635E"/>
    <w:rsid w:val="007165C4"/>
    <w:rsid w:val="00716770"/>
    <w:rsid w:val="0071691D"/>
    <w:rsid w:val="00716A3C"/>
    <w:rsid w:val="00717313"/>
    <w:rsid w:val="0072027F"/>
    <w:rsid w:val="00720492"/>
    <w:rsid w:val="007205B4"/>
    <w:rsid w:val="0072074A"/>
    <w:rsid w:val="00722AFC"/>
    <w:rsid w:val="00722EDA"/>
    <w:rsid w:val="00722F87"/>
    <w:rsid w:val="00723B71"/>
    <w:rsid w:val="00724040"/>
    <w:rsid w:val="00724270"/>
    <w:rsid w:val="0072443C"/>
    <w:rsid w:val="0072450D"/>
    <w:rsid w:val="00724560"/>
    <w:rsid w:val="007246AA"/>
    <w:rsid w:val="00724930"/>
    <w:rsid w:val="007253DC"/>
    <w:rsid w:val="007266D3"/>
    <w:rsid w:val="00726935"/>
    <w:rsid w:val="00727152"/>
    <w:rsid w:val="007277B6"/>
    <w:rsid w:val="00727B19"/>
    <w:rsid w:val="00730047"/>
    <w:rsid w:val="00730063"/>
    <w:rsid w:val="00730C91"/>
    <w:rsid w:val="00730EBC"/>
    <w:rsid w:val="0073193C"/>
    <w:rsid w:val="00732301"/>
    <w:rsid w:val="007329BA"/>
    <w:rsid w:val="00733653"/>
    <w:rsid w:val="0073368D"/>
    <w:rsid w:val="007338A1"/>
    <w:rsid w:val="00733F55"/>
    <w:rsid w:val="00734669"/>
    <w:rsid w:val="00735640"/>
    <w:rsid w:val="00735786"/>
    <w:rsid w:val="007359D9"/>
    <w:rsid w:val="00735AD1"/>
    <w:rsid w:val="007361F7"/>
    <w:rsid w:val="007365D6"/>
    <w:rsid w:val="00736A39"/>
    <w:rsid w:val="007370AF"/>
    <w:rsid w:val="00737424"/>
    <w:rsid w:val="00737CD3"/>
    <w:rsid w:val="007401AC"/>
    <w:rsid w:val="00742E9D"/>
    <w:rsid w:val="00743607"/>
    <w:rsid w:val="00744021"/>
    <w:rsid w:val="007443B4"/>
    <w:rsid w:val="007444C7"/>
    <w:rsid w:val="007448AA"/>
    <w:rsid w:val="007455ED"/>
    <w:rsid w:val="007457D5"/>
    <w:rsid w:val="00745BFC"/>
    <w:rsid w:val="00746E6B"/>
    <w:rsid w:val="00747AE7"/>
    <w:rsid w:val="00747EAE"/>
    <w:rsid w:val="007504CF"/>
    <w:rsid w:val="00750A7D"/>
    <w:rsid w:val="00750FAA"/>
    <w:rsid w:val="007516D1"/>
    <w:rsid w:val="0075268A"/>
    <w:rsid w:val="00752CDE"/>
    <w:rsid w:val="0075372A"/>
    <w:rsid w:val="00754509"/>
    <w:rsid w:val="00754CC6"/>
    <w:rsid w:val="00754ED7"/>
    <w:rsid w:val="00756B36"/>
    <w:rsid w:val="00757829"/>
    <w:rsid w:val="00757AF5"/>
    <w:rsid w:val="0076035B"/>
    <w:rsid w:val="007603D3"/>
    <w:rsid w:val="00760F4C"/>
    <w:rsid w:val="00762117"/>
    <w:rsid w:val="0076245F"/>
    <w:rsid w:val="00762E23"/>
    <w:rsid w:val="007632BC"/>
    <w:rsid w:val="007653C1"/>
    <w:rsid w:val="0076561E"/>
    <w:rsid w:val="00765862"/>
    <w:rsid w:val="00765B8C"/>
    <w:rsid w:val="00765F58"/>
    <w:rsid w:val="00765F7E"/>
    <w:rsid w:val="00767CE9"/>
    <w:rsid w:val="00770031"/>
    <w:rsid w:val="0077140A"/>
    <w:rsid w:val="007714E5"/>
    <w:rsid w:val="007715E7"/>
    <w:rsid w:val="007716A5"/>
    <w:rsid w:val="00772C65"/>
    <w:rsid w:val="00773BC0"/>
    <w:rsid w:val="00773F8F"/>
    <w:rsid w:val="0077420F"/>
    <w:rsid w:val="0077469E"/>
    <w:rsid w:val="00774882"/>
    <w:rsid w:val="00774DD9"/>
    <w:rsid w:val="00775177"/>
    <w:rsid w:val="00775923"/>
    <w:rsid w:val="00775B2E"/>
    <w:rsid w:val="00775CD1"/>
    <w:rsid w:val="00776267"/>
    <w:rsid w:val="0077628D"/>
    <w:rsid w:val="007767C8"/>
    <w:rsid w:val="00776A70"/>
    <w:rsid w:val="00776E45"/>
    <w:rsid w:val="007775F3"/>
    <w:rsid w:val="00777890"/>
    <w:rsid w:val="007802D2"/>
    <w:rsid w:val="00780741"/>
    <w:rsid w:val="00780F99"/>
    <w:rsid w:val="0078178B"/>
    <w:rsid w:val="007818EE"/>
    <w:rsid w:val="00781D73"/>
    <w:rsid w:val="00781EE4"/>
    <w:rsid w:val="00781F9D"/>
    <w:rsid w:val="00782575"/>
    <w:rsid w:val="00782C81"/>
    <w:rsid w:val="00782F9E"/>
    <w:rsid w:val="00783BA0"/>
    <w:rsid w:val="00784C3B"/>
    <w:rsid w:val="00785538"/>
    <w:rsid w:val="007857E2"/>
    <w:rsid w:val="0078590E"/>
    <w:rsid w:val="00786DCA"/>
    <w:rsid w:val="00786F35"/>
    <w:rsid w:val="007870A3"/>
    <w:rsid w:val="0078728A"/>
    <w:rsid w:val="00787700"/>
    <w:rsid w:val="007878A4"/>
    <w:rsid w:val="007878D0"/>
    <w:rsid w:val="00787967"/>
    <w:rsid w:val="00787983"/>
    <w:rsid w:val="00787A2D"/>
    <w:rsid w:val="00787CB1"/>
    <w:rsid w:val="00787D15"/>
    <w:rsid w:val="007905EB"/>
    <w:rsid w:val="00790607"/>
    <w:rsid w:val="0079067C"/>
    <w:rsid w:val="00790AE6"/>
    <w:rsid w:val="00790FA2"/>
    <w:rsid w:val="00791125"/>
    <w:rsid w:val="007915A9"/>
    <w:rsid w:val="0079206B"/>
    <w:rsid w:val="00792692"/>
    <w:rsid w:val="00792E51"/>
    <w:rsid w:val="00793484"/>
    <w:rsid w:val="00793626"/>
    <w:rsid w:val="00793E7F"/>
    <w:rsid w:val="00793FB5"/>
    <w:rsid w:val="00794090"/>
    <w:rsid w:val="007943C5"/>
    <w:rsid w:val="0079456A"/>
    <w:rsid w:val="00794615"/>
    <w:rsid w:val="007949CF"/>
    <w:rsid w:val="007949F1"/>
    <w:rsid w:val="00794B35"/>
    <w:rsid w:val="00794FDB"/>
    <w:rsid w:val="007954DD"/>
    <w:rsid w:val="00795EFE"/>
    <w:rsid w:val="00796386"/>
    <w:rsid w:val="0079663F"/>
    <w:rsid w:val="007967C3"/>
    <w:rsid w:val="00796C15"/>
    <w:rsid w:val="00796FF9"/>
    <w:rsid w:val="007970B9"/>
    <w:rsid w:val="00797588"/>
    <w:rsid w:val="007976C2"/>
    <w:rsid w:val="00797F14"/>
    <w:rsid w:val="007A0B39"/>
    <w:rsid w:val="007A1382"/>
    <w:rsid w:val="007A1566"/>
    <w:rsid w:val="007A1E33"/>
    <w:rsid w:val="007A1F08"/>
    <w:rsid w:val="007A219C"/>
    <w:rsid w:val="007A21C6"/>
    <w:rsid w:val="007A22AF"/>
    <w:rsid w:val="007A23A6"/>
    <w:rsid w:val="007A2AE7"/>
    <w:rsid w:val="007A2CCE"/>
    <w:rsid w:val="007A317E"/>
    <w:rsid w:val="007A338A"/>
    <w:rsid w:val="007A33DE"/>
    <w:rsid w:val="007A37F9"/>
    <w:rsid w:val="007A390D"/>
    <w:rsid w:val="007A3A93"/>
    <w:rsid w:val="007A416C"/>
    <w:rsid w:val="007A41BD"/>
    <w:rsid w:val="007A43E7"/>
    <w:rsid w:val="007A4889"/>
    <w:rsid w:val="007A4928"/>
    <w:rsid w:val="007A51D9"/>
    <w:rsid w:val="007A51FE"/>
    <w:rsid w:val="007A5273"/>
    <w:rsid w:val="007A52B9"/>
    <w:rsid w:val="007A533C"/>
    <w:rsid w:val="007A53E4"/>
    <w:rsid w:val="007A5933"/>
    <w:rsid w:val="007A603B"/>
    <w:rsid w:val="007A60D0"/>
    <w:rsid w:val="007A6CBD"/>
    <w:rsid w:val="007A76CA"/>
    <w:rsid w:val="007B063F"/>
    <w:rsid w:val="007B0C1D"/>
    <w:rsid w:val="007B115B"/>
    <w:rsid w:val="007B15FD"/>
    <w:rsid w:val="007B18EC"/>
    <w:rsid w:val="007B1957"/>
    <w:rsid w:val="007B1AA0"/>
    <w:rsid w:val="007B1B15"/>
    <w:rsid w:val="007B2E00"/>
    <w:rsid w:val="007B3ABE"/>
    <w:rsid w:val="007B3E3A"/>
    <w:rsid w:val="007B3F19"/>
    <w:rsid w:val="007B458D"/>
    <w:rsid w:val="007B5272"/>
    <w:rsid w:val="007B5586"/>
    <w:rsid w:val="007B581D"/>
    <w:rsid w:val="007B6159"/>
    <w:rsid w:val="007B72C3"/>
    <w:rsid w:val="007C005E"/>
    <w:rsid w:val="007C0423"/>
    <w:rsid w:val="007C06C7"/>
    <w:rsid w:val="007C0A94"/>
    <w:rsid w:val="007C11F8"/>
    <w:rsid w:val="007C14A3"/>
    <w:rsid w:val="007C1C35"/>
    <w:rsid w:val="007C1DFC"/>
    <w:rsid w:val="007C1E00"/>
    <w:rsid w:val="007C21C7"/>
    <w:rsid w:val="007C2D9D"/>
    <w:rsid w:val="007C41AF"/>
    <w:rsid w:val="007C47DB"/>
    <w:rsid w:val="007C4AE5"/>
    <w:rsid w:val="007C4F23"/>
    <w:rsid w:val="007C505C"/>
    <w:rsid w:val="007C515F"/>
    <w:rsid w:val="007C5451"/>
    <w:rsid w:val="007C56D6"/>
    <w:rsid w:val="007C5768"/>
    <w:rsid w:val="007C59F3"/>
    <w:rsid w:val="007C624C"/>
    <w:rsid w:val="007C761B"/>
    <w:rsid w:val="007C7A80"/>
    <w:rsid w:val="007D0D18"/>
    <w:rsid w:val="007D121E"/>
    <w:rsid w:val="007D2331"/>
    <w:rsid w:val="007D2617"/>
    <w:rsid w:val="007D2674"/>
    <w:rsid w:val="007D33BA"/>
    <w:rsid w:val="007D34A7"/>
    <w:rsid w:val="007D37BE"/>
    <w:rsid w:val="007D3842"/>
    <w:rsid w:val="007D3AF0"/>
    <w:rsid w:val="007D42D3"/>
    <w:rsid w:val="007D46C4"/>
    <w:rsid w:val="007D476E"/>
    <w:rsid w:val="007D488A"/>
    <w:rsid w:val="007D4E0A"/>
    <w:rsid w:val="007D4F50"/>
    <w:rsid w:val="007D5B06"/>
    <w:rsid w:val="007D6B4A"/>
    <w:rsid w:val="007D6C77"/>
    <w:rsid w:val="007D7337"/>
    <w:rsid w:val="007D74F1"/>
    <w:rsid w:val="007D7A5B"/>
    <w:rsid w:val="007D7B55"/>
    <w:rsid w:val="007D7FA6"/>
    <w:rsid w:val="007E0200"/>
    <w:rsid w:val="007E02D5"/>
    <w:rsid w:val="007E0E48"/>
    <w:rsid w:val="007E1ADA"/>
    <w:rsid w:val="007E1D8C"/>
    <w:rsid w:val="007E1FC4"/>
    <w:rsid w:val="007E2277"/>
    <w:rsid w:val="007E29F8"/>
    <w:rsid w:val="007E2E26"/>
    <w:rsid w:val="007E2ECE"/>
    <w:rsid w:val="007E31B9"/>
    <w:rsid w:val="007E3308"/>
    <w:rsid w:val="007E3615"/>
    <w:rsid w:val="007E39BA"/>
    <w:rsid w:val="007E39CC"/>
    <w:rsid w:val="007E3EA5"/>
    <w:rsid w:val="007E3F2B"/>
    <w:rsid w:val="007E47B6"/>
    <w:rsid w:val="007E4A6C"/>
    <w:rsid w:val="007E4E28"/>
    <w:rsid w:val="007E5ACF"/>
    <w:rsid w:val="007E6424"/>
    <w:rsid w:val="007E65F5"/>
    <w:rsid w:val="007E72CA"/>
    <w:rsid w:val="007F0ABA"/>
    <w:rsid w:val="007F1060"/>
    <w:rsid w:val="007F1427"/>
    <w:rsid w:val="007F2438"/>
    <w:rsid w:val="007F2561"/>
    <w:rsid w:val="007F313C"/>
    <w:rsid w:val="007F3F77"/>
    <w:rsid w:val="007F4107"/>
    <w:rsid w:val="007F4294"/>
    <w:rsid w:val="007F4304"/>
    <w:rsid w:val="007F48B8"/>
    <w:rsid w:val="007F4C74"/>
    <w:rsid w:val="007F4CFF"/>
    <w:rsid w:val="007F5C8D"/>
    <w:rsid w:val="007F5E6B"/>
    <w:rsid w:val="007F7773"/>
    <w:rsid w:val="007F7AE2"/>
    <w:rsid w:val="007F7D1C"/>
    <w:rsid w:val="0080017C"/>
    <w:rsid w:val="008002E1"/>
    <w:rsid w:val="00800E8D"/>
    <w:rsid w:val="00800FAB"/>
    <w:rsid w:val="00800FBE"/>
    <w:rsid w:val="00801032"/>
    <w:rsid w:val="0080197C"/>
    <w:rsid w:val="008028F2"/>
    <w:rsid w:val="00802B99"/>
    <w:rsid w:val="00803C3C"/>
    <w:rsid w:val="008042BF"/>
    <w:rsid w:val="008044A9"/>
    <w:rsid w:val="00804598"/>
    <w:rsid w:val="008045CC"/>
    <w:rsid w:val="00804BAE"/>
    <w:rsid w:val="00805980"/>
    <w:rsid w:val="00805EB2"/>
    <w:rsid w:val="008068F3"/>
    <w:rsid w:val="00806C5D"/>
    <w:rsid w:val="0080713E"/>
    <w:rsid w:val="008100EF"/>
    <w:rsid w:val="00810101"/>
    <w:rsid w:val="00810356"/>
    <w:rsid w:val="0081062D"/>
    <w:rsid w:val="00810992"/>
    <w:rsid w:val="00810D7E"/>
    <w:rsid w:val="00811BDC"/>
    <w:rsid w:val="0081214A"/>
    <w:rsid w:val="008121A8"/>
    <w:rsid w:val="00812B84"/>
    <w:rsid w:val="00812C7C"/>
    <w:rsid w:val="00813188"/>
    <w:rsid w:val="0081386C"/>
    <w:rsid w:val="00813EE6"/>
    <w:rsid w:val="0081411B"/>
    <w:rsid w:val="008143B9"/>
    <w:rsid w:val="008143C5"/>
    <w:rsid w:val="00814612"/>
    <w:rsid w:val="00814AA3"/>
    <w:rsid w:val="00814E60"/>
    <w:rsid w:val="008150DC"/>
    <w:rsid w:val="0081516E"/>
    <w:rsid w:val="0081525F"/>
    <w:rsid w:val="00815296"/>
    <w:rsid w:val="008154AC"/>
    <w:rsid w:val="0081563B"/>
    <w:rsid w:val="00815827"/>
    <w:rsid w:val="00815AD5"/>
    <w:rsid w:val="00816A41"/>
    <w:rsid w:val="00816BB9"/>
    <w:rsid w:val="00817364"/>
    <w:rsid w:val="0081771A"/>
    <w:rsid w:val="008200ED"/>
    <w:rsid w:val="008202DE"/>
    <w:rsid w:val="00820A09"/>
    <w:rsid w:val="00820CA3"/>
    <w:rsid w:val="00821432"/>
    <w:rsid w:val="00821B6C"/>
    <w:rsid w:val="00821C48"/>
    <w:rsid w:val="00821E6F"/>
    <w:rsid w:val="008227E6"/>
    <w:rsid w:val="00822D4A"/>
    <w:rsid w:val="008238D0"/>
    <w:rsid w:val="008239B1"/>
    <w:rsid w:val="00823C52"/>
    <w:rsid w:val="008249F7"/>
    <w:rsid w:val="00825DAA"/>
    <w:rsid w:val="00825E69"/>
    <w:rsid w:val="00826A28"/>
    <w:rsid w:val="00827062"/>
    <w:rsid w:val="00827521"/>
    <w:rsid w:val="0082796B"/>
    <w:rsid w:val="00827CD7"/>
    <w:rsid w:val="00827D33"/>
    <w:rsid w:val="00827D41"/>
    <w:rsid w:val="008301EF"/>
    <w:rsid w:val="00830386"/>
    <w:rsid w:val="008310DD"/>
    <w:rsid w:val="008313DB"/>
    <w:rsid w:val="00832427"/>
    <w:rsid w:val="008325CB"/>
    <w:rsid w:val="008328BB"/>
    <w:rsid w:val="008331BE"/>
    <w:rsid w:val="0083335B"/>
    <w:rsid w:val="00833792"/>
    <w:rsid w:val="00833DB8"/>
    <w:rsid w:val="008354E9"/>
    <w:rsid w:val="00835886"/>
    <w:rsid w:val="00835A8A"/>
    <w:rsid w:val="00835E03"/>
    <w:rsid w:val="008373B7"/>
    <w:rsid w:val="00840053"/>
    <w:rsid w:val="00840B16"/>
    <w:rsid w:val="00840DA8"/>
    <w:rsid w:val="008411DB"/>
    <w:rsid w:val="00841490"/>
    <w:rsid w:val="00841D0E"/>
    <w:rsid w:val="008423F0"/>
    <w:rsid w:val="00843410"/>
    <w:rsid w:val="00844480"/>
    <w:rsid w:val="0084456D"/>
    <w:rsid w:val="00844894"/>
    <w:rsid w:val="00844AEC"/>
    <w:rsid w:val="00844B41"/>
    <w:rsid w:val="00844CEA"/>
    <w:rsid w:val="00844FA9"/>
    <w:rsid w:val="0084542D"/>
    <w:rsid w:val="00846012"/>
    <w:rsid w:val="008463C0"/>
    <w:rsid w:val="008466A1"/>
    <w:rsid w:val="008466C6"/>
    <w:rsid w:val="00846734"/>
    <w:rsid w:val="008476FB"/>
    <w:rsid w:val="008500D1"/>
    <w:rsid w:val="00850465"/>
    <w:rsid w:val="00851426"/>
    <w:rsid w:val="00851576"/>
    <w:rsid w:val="008519D3"/>
    <w:rsid w:val="00852C2F"/>
    <w:rsid w:val="00853519"/>
    <w:rsid w:val="00853636"/>
    <w:rsid w:val="00854561"/>
    <w:rsid w:val="008545C4"/>
    <w:rsid w:val="00854776"/>
    <w:rsid w:val="0085479B"/>
    <w:rsid w:val="00854BF7"/>
    <w:rsid w:val="00855255"/>
    <w:rsid w:val="008554E5"/>
    <w:rsid w:val="0085565F"/>
    <w:rsid w:val="0085605B"/>
    <w:rsid w:val="008560DF"/>
    <w:rsid w:val="008561C1"/>
    <w:rsid w:val="0085620D"/>
    <w:rsid w:val="0085689A"/>
    <w:rsid w:val="00856ACB"/>
    <w:rsid w:val="00856D51"/>
    <w:rsid w:val="00857704"/>
    <w:rsid w:val="008577A0"/>
    <w:rsid w:val="00857EE7"/>
    <w:rsid w:val="00860564"/>
    <w:rsid w:val="00860ED9"/>
    <w:rsid w:val="008610B9"/>
    <w:rsid w:val="00861FD8"/>
    <w:rsid w:val="008626A7"/>
    <w:rsid w:val="00862B7E"/>
    <w:rsid w:val="00863730"/>
    <w:rsid w:val="00863D75"/>
    <w:rsid w:val="00863E4E"/>
    <w:rsid w:val="00863F47"/>
    <w:rsid w:val="008646B0"/>
    <w:rsid w:val="0086473E"/>
    <w:rsid w:val="00864A65"/>
    <w:rsid w:val="00864D67"/>
    <w:rsid w:val="00864EC6"/>
    <w:rsid w:val="00865475"/>
    <w:rsid w:val="00865492"/>
    <w:rsid w:val="008661BA"/>
    <w:rsid w:val="008667DA"/>
    <w:rsid w:val="008669E1"/>
    <w:rsid w:val="00866F86"/>
    <w:rsid w:val="008675B0"/>
    <w:rsid w:val="00867961"/>
    <w:rsid w:val="00870069"/>
    <w:rsid w:val="00870A4C"/>
    <w:rsid w:val="00871546"/>
    <w:rsid w:val="00871A7C"/>
    <w:rsid w:val="00871EC4"/>
    <w:rsid w:val="008723DE"/>
    <w:rsid w:val="00872847"/>
    <w:rsid w:val="008729C2"/>
    <w:rsid w:val="00872E80"/>
    <w:rsid w:val="00872FA1"/>
    <w:rsid w:val="00873871"/>
    <w:rsid w:val="008746E7"/>
    <w:rsid w:val="0087475D"/>
    <w:rsid w:val="00875982"/>
    <w:rsid w:val="00875C57"/>
    <w:rsid w:val="0087643A"/>
    <w:rsid w:val="00876B5A"/>
    <w:rsid w:val="00876BB4"/>
    <w:rsid w:val="00876DB3"/>
    <w:rsid w:val="00876F53"/>
    <w:rsid w:val="00877FBD"/>
    <w:rsid w:val="008805BA"/>
    <w:rsid w:val="008806BA"/>
    <w:rsid w:val="00880752"/>
    <w:rsid w:val="00880C1B"/>
    <w:rsid w:val="0088261F"/>
    <w:rsid w:val="008835B8"/>
    <w:rsid w:val="008839F0"/>
    <w:rsid w:val="00884B02"/>
    <w:rsid w:val="00885073"/>
    <w:rsid w:val="008854CF"/>
    <w:rsid w:val="00886662"/>
    <w:rsid w:val="00886856"/>
    <w:rsid w:val="00886C15"/>
    <w:rsid w:val="00886EDD"/>
    <w:rsid w:val="008870A3"/>
    <w:rsid w:val="00887233"/>
    <w:rsid w:val="00887353"/>
    <w:rsid w:val="00887652"/>
    <w:rsid w:val="008908FF"/>
    <w:rsid w:val="00890964"/>
    <w:rsid w:val="00890C2C"/>
    <w:rsid w:val="0089156B"/>
    <w:rsid w:val="00891A16"/>
    <w:rsid w:val="00891AAD"/>
    <w:rsid w:val="00891F3F"/>
    <w:rsid w:val="00892196"/>
    <w:rsid w:val="00892685"/>
    <w:rsid w:val="0089297F"/>
    <w:rsid w:val="00892B64"/>
    <w:rsid w:val="00892C1B"/>
    <w:rsid w:val="0089439D"/>
    <w:rsid w:val="008945E1"/>
    <w:rsid w:val="008947E9"/>
    <w:rsid w:val="00894BCA"/>
    <w:rsid w:val="00895396"/>
    <w:rsid w:val="0089551A"/>
    <w:rsid w:val="00895B7C"/>
    <w:rsid w:val="00895CE0"/>
    <w:rsid w:val="00896485"/>
    <w:rsid w:val="00896E4B"/>
    <w:rsid w:val="00896F5A"/>
    <w:rsid w:val="008973D0"/>
    <w:rsid w:val="00897FE4"/>
    <w:rsid w:val="008A0B1E"/>
    <w:rsid w:val="008A12CF"/>
    <w:rsid w:val="008A156A"/>
    <w:rsid w:val="008A1AE0"/>
    <w:rsid w:val="008A1C47"/>
    <w:rsid w:val="008A1E29"/>
    <w:rsid w:val="008A2782"/>
    <w:rsid w:val="008A2A2F"/>
    <w:rsid w:val="008A2A4D"/>
    <w:rsid w:val="008A31D9"/>
    <w:rsid w:val="008A42B0"/>
    <w:rsid w:val="008A4C33"/>
    <w:rsid w:val="008A4F40"/>
    <w:rsid w:val="008A533E"/>
    <w:rsid w:val="008A5D32"/>
    <w:rsid w:val="008A6799"/>
    <w:rsid w:val="008A6C02"/>
    <w:rsid w:val="008A6E46"/>
    <w:rsid w:val="008A7171"/>
    <w:rsid w:val="008A7345"/>
    <w:rsid w:val="008A7416"/>
    <w:rsid w:val="008A7485"/>
    <w:rsid w:val="008A7521"/>
    <w:rsid w:val="008A79B7"/>
    <w:rsid w:val="008A7A7B"/>
    <w:rsid w:val="008A7AF7"/>
    <w:rsid w:val="008A7B35"/>
    <w:rsid w:val="008B0061"/>
    <w:rsid w:val="008B01F6"/>
    <w:rsid w:val="008B0D3A"/>
    <w:rsid w:val="008B11E8"/>
    <w:rsid w:val="008B14C0"/>
    <w:rsid w:val="008B1BF3"/>
    <w:rsid w:val="008B1DD3"/>
    <w:rsid w:val="008B2110"/>
    <w:rsid w:val="008B2472"/>
    <w:rsid w:val="008B26ED"/>
    <w:rsid w:val="008B27AF"/>
    <w:rsid w:val="008B3029"/>
    <w:rsid w:val="008B3622"/>
    <w:rsid w:val="008B45D4"/>
    <w:rsid w:val="008B600E"/>
    <w:rsid w:val="008B6203"/>
    <w:rsid w:val="008B6237"/>
    <w:rsid w:val="008B62C7"/>
    <w:rsid w:val="008B664A"/>
    <w:rsid w:val="008B6C93"/>
    <w:rsid w:val="008B6DB5"/>
    <w:rsid w:val="008B6E39"/>
    <w:rsid w:val="008B6FEB"/>
    <w:rsid w:val="008B7840"/>
    <w:rsid w:val="008B7C26"/>
    <w:rsid w:val="008B7CEA"/>
    <w:rsid w:val="008C1140"/>
    <w:rsid w:val="008C1289"/>
    <w:rsid w:val="008C139A"/>
    <w:rsid w:val="008C24A6"/>
    <w:rsid w:val="008C2774"/>
    <w:rsid w:val="008C3A9B"/>
    <w:rsid w:val="008C3CD3"/>
    <w:rsid w:val="008C47E7"/>
    <w:rsid w:val="008C4AF3"/>
    <w:rsid w:val="008C4D6C"/>
    <w:rsid w:val="008C5425"/>
    <w:rsid w:val="008C57CE"/>
    <w:rsid w:val="008C5E9C"/>
    <w:rsid w:val="008C5EDB"/>
    <w:rsid w:val="008C5FAD"/>
    <w:rsid w:val="008C6712"/>
    <w:rsid w:val="008C672F"/>
    <w:rsid w:val="008C6796"/>
    <w:rsid w:val="008C6D68"/>
    <w:rsid w:val="008C73F1"/>
    <w:rsid w:val="008C7665"/>
    <w:rsid w:val="008C7CA8"/>
    <w:rsid w:val="008D0260"/>
    <w:rsid w:val="008D10F8"/>
    <w:rsid w:val="008D1732"/>
    <w:rsid w:val="008D181C"/>
    <w:rsid w:val="008D19F3"/>
    <w:rsid w:val="008D1D93"/>
    <w:rsid w:val="008D2296"/>
    <w:rsid w:val="008D22EA"/>
    <w:rsid w:val="008D2C99"/>
    <w:rsid w:val="008D2DAC"/>
    <w:rsid w:val="008D3052"/>
    <w:rsid w:val="008D3124"/>
    <w:rsid w:val="008D320B"/>
    <w:rsid w:val="008D32A2"/>
    <w:rsid w:val="008D3920"/>
    <w:rsid w:val="008D44D8"/>
    <w:rsid w:val="008D4929"/>
    <w:rsid w:val="008D4F0C"/>
    <w:rsid w:val="008D51C0"/>
    <w:rsid w:val="008D5A0E"/>
    <w:rsid w:val="008D5ABC"/>
    <w:rsid w:val="008D5C76"/>
    <w:rsid w:val="008D5DC4"/>
    <w:rsid w:val="008D7585"/>
    <w:rsid w:val="008E0174"/>
    <w:rsid w:val="008E027C"/>
    <w:rsid w:val="008E0AA0"/>
    <w:rsid w:val="008E0F21"/>
    <w:rsid w:val="008E11A0"/>
    <w:rsid w:val="008E1295"/>
    <w:rsid w:val="008E12EC"/>
    <w:rsid w:val="008E1483"/>
    <w:rsid w:val="008E1A82"/>
    <w:rsid w:val="008E22CD"/>
    <w:rsid w:val="008E23BA"/>
    <w:rsid w:val="008E269E"/>
    <w:rsid w:val="008E26AD"/>
    <w:rsid w:val="008E2AC9"/>
    <w:rsid w:val="008E2BFB"/>
    <w:rsid w:val="008E2C30"/>
    <w:rsid w:val="008E3DCC"/>
    <w:rsid w:val="008E4055"/>
    <w:rsid w:val="008E40C6"/>
    <w:rsid w:val="008E40CB"/>
    <w:rsid w:val="008E489E"/>
    <w:rsid w:val="008E4B25"/>
    <w:rsid w:val="008E50E7"/>
    <w:rsid w:val="008E50EF"/>
    <w:rsid w:val="008E527A"/>
    <w:rsid w:val="008E532D"/>
    <w:rsid w:val="008E553B"/>
    <w:rsid w:val="008E58D2"/>
    <w:rsid w:val="008E5A2A"/>
    <w:rsid w:val="008E5E91"/>
    <w:rsid w:val="008E6030"/>
    <w:rsid w:val="008E6EDC"/>
    <w:rsid w:val="008E7166"/>
    <w:rsid w:val="008E7653"/>
    <w:rsid w:val="008E768F"/>
    <w:rsid w:val="008E7AA1"/>
    <w:rsid w:val="008F09C1"/>
    <w:rsid w:val="008F12BB"/>
    <w:rsid w:val="008F176C"/>
    <w:rsid w:val="008F2270"/>
    <w:rsid w:val="008F2313"/>
    <w:rsid w:val="008F282E"/>
    <w:rsid w:val="008F28BA"/>
    <w:rsid w:val="008F2A51"/>
    <w:rsid w:val="008F35AF"/>
    <w:rsid w:val="008F3E10"/>
    <w:rsid w:val="008F4361"/>
    <w:rsid w:val="008F4982"/>
    <w:rsid w:val="008F5E6B"/>
    <w:rsid w:val="008F62DE"/>
    <w:rsid w:val="008F6454"/>
    <w:rsid w:val="008F6727"/>
    <w:rsid w:val="008F70B3"/>
    <w:rsid w:val="008F7359"/>
    <w:rsid w:val="008F75FF"/>
    <w:rsid w:val="008F760A"/>
    <w:rsid w:val="0090021A"/>
    <w:rsid w:val="00900BF7"/>
    <w:rsid w:val="0090106C"/>
    <w:rsid w:val="00901261"/>
    <w:rsid w:val="00901435"/>
    <w:rsid w:val="00901462"/>
    <w:rsid w:val="0090209B"/>
    <w:rsid w:val="00902BDE"/>
    <w:rsid w:val="00902F10"/>
    <w:rsid w:val="0090382F"/>
    <w:rsid w:val="009038B1"/>
    <w:rsid w:val="00903F36"/>
    <w:rsid w:val="00904B2C"/>
    <w:rsid w:val="00904CB0"/>
    <w:rsid w:val="00905A07"/>
    <w:rsid w:val="00905D65"/>
    <w:rsid w:val="00905F5D"/>
    <w:rsid w:val="00906326"/>
    <w:rsid w:val="00906615"/>
    <w:rsid w:val="0090676B"/>
    <w:rsid w:val="00906F7C"/>
    <w:rsid w:val="0090764D"/>
    <w:rsid w:val="0090774F"/>
    <w:rsid w:val="00907839"/>
    <w:rsid w:val="0090785E"/>
    <w:rsid w:val="009078A2"/>
    <w:rsid w:val="009109EB"/>
    <w:rsid w:val="00910C03"/>
    <w:rsid w:val="00910FAC"/>
    <w:rsid w:val="009117D4"/>
    <w:rsid w:val="00911931"/>
    <w:rsid w:val="00911C36"/>
    <w:rsid w:val="00911D77"/>
    <w:rsid w:val="00912F30"/>
    <w:rsid w:val="0091397A"/>
    <w:rsid w:val="00914283"/>
    <w:rsid w:val="009155A5"/>
    <w:rsid w:val="009162F0"/>
    <w:rsid w:val="0091648D"/>
    <w:rsid w:val="009168BD"/>
    <w:rsid w:val="00916C47"/>
    <w:rsid w:val="009177A5"/>
    <w:rsid w:val="0091797F"/>
    <w:rsid w:val="00920FB9"/>
    <w:rsid w:val="009215C5"/>
    <w:rsid w:val="009219A3"/>
    <w:rsid w:val="00921D00"/>
    <w:rsid w:val="0092228C"/>
    <w:rsid w:val="009225CA"/>
    <w:rsid w:val="0092301B"/>
    <w:rsid w:val="009231D6"/>
    <w:rsid w:val="00923945"/>
    <w:rsid w:val="00923DB6"/>
    <w:rsid w:val="00923FCE"/>
    <w:rsid w:val="009242DD"/>
    <w:rsid w:val="009247F5"/>
    <w:rsid w:val="00924A8A"/>
    <w:rsid w:val="00924AE8"/>
    <w:rsid w:val="00924D66"/>
    <w:rsid w:val="00924DB2"/>
    <w:rsid w:val="00924DCC"/>
    <w:rsid w:val="009256A2"/>
    <w:rsid w:val="00926126"/>
    <w:rsid w:val="00926735"/>
    <w:rsid w:val="0092687D"/>
    <w:rsid w:val="0092708D"/>
    <w:rsid w:val="00927269"/>
    <w:rsid w:val="009272A7"/>
    <w:rsid w:val="009273EF"/>
    <w:rsid w:val="0092756D"/>
    <w:rsid w:val="009275E6"/>
    <w:rsid w:val="00930113"/>
    <w:rsid w:val="00930FAC"/>
    <w:rsid w:val="0093127F"/>
    <w:rsid w:val="00931698"/>
    <w:rsid w:val="00931A71"/>
    <w:rsid w:val="00931ECB"/>
    <w:rsid w:val="0093217B"/>
    <w:rsid w:val="00932BF9"/>
    <w:rsid w:val="00932CCA"/>
    <w:rsid w:val="009330DB"/>
    <w:rsid w:val="00933770"/>
    <w:rsid w:val="00933850"/>
    <w:rsid w:val="00933F5F"/>
    <w:rsid w:val="00934FB1"/>
    <w:rsid w:val="009357A2"/>
    <w:rsid w:val="009358DC"/>
    <w:rsid w:val="00935DBC"/>
    <w:rsid w:val="0093608E"/>
    <w:rsid w:val="0093647C"/>
    <w:rsid w:val="00936748"/>
    <w:rsid w:val="00936EDA"/>
    <w:rsid w:val="009371D3"/>
    <w:rsid w:val="0093782C"/>
    <w:rsid w:val="00937A8B"/>
    <w:rsid w:val="00937F93"/>
    <w:rsid w:val="00940EE7"/>
    <w:rsid w:val="00941FFA"/>
    <w:rsid w:val="009423C3"/>
    <w:rsid w:val="00942484"/>
    <w:rsid w:val="009426F3"/>
    <w:rsid w:val="00942FA2"/>
    <w:rsid w:val="00943BFF"/>
    <w:rsid w:val="00943D81"/>
    <w:rsid w:val="00943E1A"/>
    <w:rsid w:val="00943EDB"/>
    <w:rsid w:val="00943F2F"/>
    <w:rsid w:val="0094423D"/>
    <w:rsid w:val="00944787"/>
    <w:rsid w:val="00944826"/>
    <w:rsid w:val="009448A7"/>
    <w:rsid w:val="00944E81"/>
    <w:rsid w:val="0094532F"/>
    <w:rsid w:val="00945D6F"/>
    <w:rsid w:val="00945EAE"/>
    <w:rsid w:val="00946755"/>
    <w:rsid w:val="0094677D"/>
    <w:rsid w:val="00946A3F"/>
    <w:rsid w:val="00947CA6"/>
    <w:rsid w:val="00947CEF"/>
    <w:rsid w:val="009504B1"/>
    <w:rsid w:val="0095149B"/>
    <w:rsid w:val="009517D8"/>
    <w:rsid w:val="0095248A"/>
    <w:rsid w:val="0095263F"/>
    <w:rsid w:val="00952913"/>
    <w:rsid w:val="00952D88"/>
    <w:rsid w:val="00952FBD"/>
    <w:rsid w:val="009534CF"/>
    <w:rsid w:val="00953616"/>
    <w:rsid w:val="009545E2"/>
    <w:rsid w:val="00954C42"/>
    <w:rsid w:val="009553E4"/>
    <w:rsid w:val="009557B9"/>
    <w:rsid w:val="00955831"/>
    <w:rsid w:val="00955C53"/>
    <w:rsid w:val="00955D33"/>
    <w:rsid w:val="009564FD"/>
    <w:rsid w:val="00956B3B"/>
    <w:rsid w:val="00957733"/>
    <w:rsid w:val="00957DF3"/>
    <w:rsid w:val="00957FF7"/>
    <w:rsid w:val="0096019A"/>
    <w:rsid w:val="0096029D"/>
    <w:rsid w:val="009606AE"/>
    <w:rsid w:val="00961859"/>
    <w:rsid w:val="00961AFC"/>
    <w:rsid w:val="00962FFB"/>
    <w:rsid w:val="00963715"/>
    <w:rsid w:val="00963832"/>
    <w:rsid w:val="00963ACF"/>
    <w:rsid w:val="009640A1"/>
    <w:rsid w:val="00964A2E"/>
    <w:rsid w:val="00964A93"/>
    <w:rsid w:val="00964B1D"/>
    <w:rsid w:val="009651D3"/>
    <w:rsid w:val="00965B7A"/>
    <w:rsid w:val="009666C5"/>
    <w:rsid w:val="00966974"/>
    <w:rsid w:val="00966F97"/>
    <w:rsid w:val="00967CCD"/>
    <w:rsid w:val="009700B7"/>
    <w:rsid w:val="0097033C"/>
    <w:rsid w:val="0097094E"/>
    <w:rsid w:val="009710D8"/>
    <w:rsid w:val="009713E4"/>
    <w:rsid w:val="009716D1"/>
    <w:rsid w:val="00971B06"/>
    <w:rsid w:val="00972134"/>
    <w:rsid w:val="009726AB"/>
    <w:rsid w:val="00973065"/>
    <w:rsid w:val="00973099"/>
    <w:rsid w:val="0097322F"/>
    <w:rsid w:val="009732E6"/>
    <w:rsid w:val="00973462"/>
    <w:rsid w:val="009734D6"/>
    <w:rsid w:val="009735B5"/>
    <w:rsid w:val="0097390C"/>
    <w:rsid w:val="00973DC8"/>
    <w:rsid w:val="00974018"/>
    <w:rsid w:val="009753AA"/>
    <w:rsid w:val="009758D4"/>
    <w:rsid w:val="00975AD4"/>
    <w:rsid w:val="00976237"/>
    <w:rsid w:val="00976E67"/>
    <w:rsid w:val="009774D4"/>
    <w:rsid w:val="00977723"/>
    <w:rsid w:val="00977E3F"/>
    <w:rsid w:val="00977FF8"/>
    <w:rsid w:val="009803D9"/>
    <w:rsid w:val="0098093F"/>
    <w:rsid w:val="00980BEB"/>
    <w:rsid w:val="009814B8"/>
    <w:rsid w:val="009817CE"/>
    <w:rsid w:val="00981A2F"/>
    <w:rsid w:val="009823EE"/>
    <w:rsid w:val="00982415"/>
    <w:rsid w:val="009825A3"/>
    <w:rsid w:val="00982AD0"/>
    <w:rsid w:val="00982BC9"/>
    <w:rsid w:val="0098303D"/>
    <w:rsid w:val="00983B05"/>
    <w:rsid w:val="00984547"/>
    <w:rsid w:val="009848AA"/>
    <w:rsid w:val="009848C6"/>
    <w:rsid w:val="00984A1D"/>
    <w:rsid w:val="00985088"/>
    <w:rsid w:val="009850F7"/>
    <w:rsid w:val="00985907"/>
    <w:rsid w:val="009869D6"/>
    <w:rsid w:val="00987096"/>
    <w:rsid w:val="0098719D"/>
    <w:rsid w:val="009875C0"/>
    <w:rsid w:val="009877F2"/>
    <w:rsid w:val="00987935"/>
    <w:rsid w:val="00987F24"/>
    <w:rsid w:val="0099087B"/>
    <w:rsid w:val="00990EEB"/>
    <w:rsid w:val="00991D6C"/>
    <w:rsid w:val="00991E90"/>
    <w:rsid w:val="00991F3C"/>
    <w:rsid w:val="009920D7"/>
    <w:rsid w:val="009928BE"/>
    <w:rsid w:val="00992C5C"/>
    <w:rsid w:val="00992E02"/>
    <w:rsid w:val="00993299"/>
    <w:rsid w:val="009932D3"/>
    <w:rsid w:val="00993766"/>
    <w:rsid w:val="00993ECB"/>
    <w:rsid w:val="009941D0"/>
    <w:rsid w:val="0099461F"/>
    <w:rsid w:val="009949E7"/>
    <w:rsid w:val="00995156"/>
    <w:rsid w:val="0099534C"/>
    <w:rsid w:val="0099565E"/>
    <w:rsid w:val="00995AB7"/>
    <w:rsid w:val="00996541"/>
    <w:rsid w:val="00996AF8"/>
    <w:rsid w:val="00996DF8"/>
    <w:rsid w:val="00996F0C"/>
    <w:rsid w:val="0099789E"/>
    <w:rsid w:val="00997AE3"/>
    <w:rsid w:val="009A0865"/>
    <w:rsid w:val="009A09A9"/>
    <w:rsid w:val="009A1208"/>
    <w:rsid w:val="009A14E3"/>
    <w:rsid w:val="009A1DA5"/>
    <w:rsid w:val="009A2328"/>
    <w:rsid w:val="009A2AD9"/>
    <w:rsid w:val="009A2B20"/>
    <w:rsid w:val="009A2E79"/>
    <w:rsid w:val="009A30D1"/>
    <w:rsid w:val="009A3159"/>
    <w:rsid w:val="009A32A9"/>
    <w:rsid w:val="009A340A"/>
    <w:rsid w:val="009A3CF0"/>
    <w:rsid w:val="009A3E1F"/>
    <w:rsid w:val="009A3F65"/>
    <w:rsid w:val="009A4195"/>
    <w:rsid w:val="009A494D"/>
    <w:rsid w:val="009A4B50"/>
    <w:rsid w:val="009A5217"/>
    <w:rsid w:val="009A5F90"/>
    <w:rsid w:val="009A6110"/>
    <w:rsid w:val="009A6B0D"/>
    <w:rsid w:val="009A6D2D"/>
    <w:rsid w:val="009A73DB"/>
    <w:rsid w:val="009A78A8"/>
    <w:rsid w:val="009B0510"/>
    <w:rsid w:val="009B0603"/>
    <w:rsid w:val="009B0951"/>
    <w:rsid w:val="009B0A62"/>
    <w:rsid w:val="009B0CE6"/>
    <w:rsid w:val="009B0DE0"/>
    <w:rsid w:val="009B0E54"/>
    <w:rsid w:val="009B1E8F"/>
    <w:rsid w:val="009B1FA4"/>
    <w:rsid w:val="009B2585"/>
    <w:rsid w:val="009B2D66"/>
    <w:rsid w:val="009B3842"/>
    <w:rsid w:val="009B3B49"/>
    <w:rsid w:val="009B3DBA"/>
    <w:rsid w:val="009B432E"/>
    <w:rsid w:val="009B450E"/>
    <w:rsid w:val="009B4846"/>
    <w:rsid w:val="009B4EBE"/>
    <w:rsid w:val="009B4FD6"/>
    <w:rsid w:val="009B5ED8"/>
    <w:rsid w:val="009B6591"/>
    <w:rsid w:val="009B7F11"/>
    <w:rsid w:val="009C05A0"/>
    <w:rsid w:val="009C06BB"/>
    <w:rsid w:val="009C0EF6"/>
    <w:rsid w:val="009C1070"/>
    <w:rsid w:val="009C1487"/>
    <w:rsid w:val="009C1EA6"/>
    <w:rsid w:val="009C3804"/>
    <w:rsid w:val="009C49BB"/>
    <w:rsid w:val="009C4B12"/>
    <w:rsid w:val="009C547E"/>
    <w:rsid w:val="009C5587"/>
    <w:rsid w:val="009C5A88"/>
    <w:rsid w:val="009C60BA"/>
    <w:rsid w:val="009C68B4"/>
    <w:rsid w:val="009C7276"/>
    <w:rsid w:val="009C73F3"/>
    <w:rsid w:val="009C778D"/>
    <w:rsid w:val="009D025F"/>
    <w:rsid w:val="009D0D67"/>
    <w:rsid w:val="009D1D76"/>
    <w:rsid w:val="009D1FF4"/>
    <w:rsid w:val="009D2597"/>
    <w:rsid w:val="009D288C"/>
    <w:rsid w:val="009D2DEE"/>
    <w:rsid w:val="009D2E03"/>
    <w:rsid w:val="009D3691"/>
    <w:rsid w:val="009D3E7E"/>
    <w:rsid w:val="009D401F"/>
    <w:rsid w:val="009D4499"/>
    <w:rsid w:val="009D4566"/>
    <w:rsid w:val="009D4C96"/>
    <w:rsid w:val="009D4EB8"/>
    <w:rsid w:val="009D534F"/>
    <w:rsid w:val="009D5A16"/>
    <w:rsid w:val="009D6310"/>
    <w:rsid w:val="009D700F"/>
    <w:rsid w:val="009D7908"/>
    <w:rsid w:val="009E0E41"/>
    <w:rsid w:val="009E0EB6"/>
    <w:rsid w:val="009E129C"/>
    <w:rsid w:val="009E17F7"/>
    <w:rsid w:val="009E1BF8"/>
    <w:rsid w:val="009E21A6"/>
    <w:rsid w:val="009E3999"/>
    <w:rsid w:val="009E3D35"/>
    <w:rsid w:val="009E407D"/>
    <w:rsid w:val="009E4564"/>
    <w:rsid w:val="009E4846"/>
    <w:rsid w:val="009E4AE7"/>
    <w:rsid w:val="009E4C38"/>
    <w:rsid w:val="009E54FB"/>
    <w:rsid w:val="009E58C1"/>
    <w:rsid w:val="009E5C45"/>
    <w:rsid w:val="009E6949"/>
    <w:rsid w:val="009E7008"/>
    <w:rsid w:val="009E7654"/>
    <w:rsid w:val="009F038D"/>
    <w:rsid w:val="009F0575"/>
    <w:rsid w:val="009F0EB6"/>
    <w:rsid w:val="009F0F41"/>
    <w:rsid w:val="009F11B4"/>
    <w:rsid w:val="009F1CB8"/>
    <w:rsid w:val="009F20A7"/>
    <w:rsid w:val="009F22A3"/>
    <w:rsid w:val="009F3410"/>
    <w:rsid w:val="009F3935"/>
    <w:rsid w:val="009F3B03"/>
    <w:rsid w:val="009F408D"/>
    <w:rsid w:val="009F40FB"/>
    <w:rsid w:val="009F502C"/>
    <w:rsid w:val="009F5C3F"/>
    <w:rsid w:val="009F65CF"/>
    <w:rsid w:val="009F68D0"/>
    <w:rsid w:val="009F69BA"/>
    <w:rsid w:val="009F7081"/>
    <w:rsid w:val="009F7750"/>
    <w:rsid w:val="009F7768"/>
    <w:rsid w:val="009F7F30"/>
    <w:rsid w:val="00A00013"/>
    <w:rsid w:val="00A0076B"/>
    <w:rsid w:val="00A00DAC"/>
    <w:rsid w:val="00A01D41"/>
    <w:rsid w:val="00A02F34"/>
    <w:rsid w:val="00A03148"/>
    <w:rsid w:val="00A03B67"/>
    <w:rsid w:val="00A0462B"/>
    <w:rsid w:val="00A05DCF"/>
    <w:rsid w:val="00A060C4"/>
    <w:rsid w:val="00A067D0"/>
    <w:rsid w:val="00A067F8"/>
    <w:rsid w:val="00A069F9"/>
    <w:rsid w:val="00A06DC2"/>
    <w:rsid w:val="00A0753E"/>
    <w:rsid w:val="00A1078F"/>
    <w:rsid w:val="00A113F9"/>
    <w:rsid w:val="00A119C3"/>
    <w:rsid w:val="00A11E64"/>
    <w:rsid w:val="00A124B5"/>
    <w:rsid w:val="00A127F7"/>
    <w:rsid w:val="00A130D9"/>
    <w:rsid w:val="00A134FE"/>
    <w:rsid w:val="00A13861"/>
    <w:rsid w:val="00A13D60"/>
    <w:rsid w:val="00A13F36"/>
    <w:rsid w:val="00A147F3"/>
    <w:rsid w:val="00A14BD7"/>
    <w:rsid w:val="00A154B4"/>
    <w:rsid w:val="00A155A2"/>
    <w:rsid w:val="00A15D70"/>
    <w:rsid w:val="00A161B5"/>
    <w:rsid w:val="00A16893"/>
    <w:rsid w:val="00A16BEE"/>
    <w:rsid w:val="00A16DC7"/>
    <w:rsid w:val="00A16EBE"/>
    <w:rsid w:val="00A175C6"/>
    <w:rsid w:val="00A17694"/>
    <w:rsid w:val="00A17C70"/>
    <w:rsid w:val="00A20327"/>
    <w:rsid w:val="00A20657"/>
    <w:rsid w:val="00A20FF7"/>
    <w:rsid w:val="00A211D1"/>
    <w:rsid w:val="00A2128C"/>
    <w:rsid w:val="00A21460"/>
    <w:rsid w:val="00A2148B"/>
    <w:rsid w:val="00A21BF3"/>
    <w:rsid w:val="00A226C4"/>
    <w:rsid w:val="00A22C5D"/>
    <w:rsid w:val="00A22F19"/>
    <w:rsid w:val="00A23091"/>
    <w:rsid w:val="00A231C0"/>
    <w:rsid w:val="00A232CE"/>
    <w:rsid w:val="00A23479"/>
    <w:rsid w:val="00A2348B"/>
    <w:rsid w:val="00A234F5"/>
    <w:rsid w:val="00A2357B"/>
    <w:rsid w:val="00A237EA"/>
    <w:rsid w:val="00A23926"/>
    <w:rsid w:val="00A23DC1"/>
    <w:rsid w:val="00A2443B"/>
    <w:rsid w:val="00A2444E"/>
    <w:rsid w:val="00A2455E"/>
    <w:rsid w:val="00A24762"/>
    <w:rsid w:val="00A2497F"/>
    <w:rsid w:val="00A24C28"/>
    <w:rsid w:val="00A25B20"/>
    <w:rsid w:val="00A25B28"/>
    <w:rsid w:val="00A25DD9"/>
    <w:rsid w:val="00A25E35"/>
    <w:rsid w:val="00A260FE"/>
    <w:rsid w:val="00A2665F"/>
    <w:rsid w:val="00A26A3E"/>
    <w:rsid w:val="00A26CA4"/>
    <w:rsid w:val="00A26E81"/>
    <w:rsid w:val="00A270CB"/>
    <w:rsid w:val="00A27526"/>
    <w:rsid w:val="00A275BE"/>
    <w:rsid w:val="00A275C0"/>
    <w:rsid w:val="00A279D2"/>
    <w:rsid w:val="00A27B08"/>
    <w:rsid w:val="00A27C33"/>
    <w:rsid w:val="00A30016"/>
    <w:rsid w:val="00A307FF"/>
    <w:rsid w:val="00A309A6"/>
    <w:rsid w:val="00A30B37"/>
    <w:rsid w:val="00A30E44"/>
    <w:rsid w:val="00A31306"/>
    <w:rsid w:val="00A314F1"/>
    <w:rsid w:val="00A3214E"/>
    <w:rsid w:val="00A32547"/>
    <w:rsid w:val="00A328B6"/>
    <w:rsid w:val="00A328F5"/>
    <w:rsid w:val="00A3303A"/>
    <w:rsid w:val="00A33722"/>
    <w:rsid w:val="00A34207"/>
    <w:rsid w:val="00A342DB"/>
    <w:rsid w:val="00A35EE8"/>
    <w:rsid w:val="00A3623B"/>
    <w:rsid w:val="00A368B2"/>
    <w:rsid w:val="00A368D8"/>
    <w:rsid w:val="00A36AD7"/>
    <w:rsid w:val="00A372B1"/>
    <w:rsid w:val="00A37437"/>
    <w:rsid w:val="00A3745C"/>
    <w:rsid w:val="00A375C0"/>
    <w:rsid w:val="00A37643"/>
    <w:rsid w:val="00A37ADB"/>
    <w:rsid w:val="00A37D13"/>
    <w:rsid w:val="00A401CA"/>
    <w:rsid w:val="00A4096B"/>
    <w:rsid w:val="00A40997"/>
    <w:rsid w:val="00A41010"/>
    <w:rsid w:val="00A428BC"/>
    <w:rsid w:val="00A42EC2"/>
    <w:rsid w:val="00A432A6"/>
    <w:rsid w:val="00A438A1"/>
    <w:rsid w:val="00A449D3"/>
    <w:rsid w:val="00A44C01"/>
    <w:rsid w:val="00A44DD2"/>
    <w:rsid w:val="00A45519"/>
    <w:rsid w:val="00A458E5"/>
    <w:rsid w:val="00A4625A"/>
    <w:rsid w:val="00A467A1"/>
    <w:rsid w:val="00A46CCD"/>
    <w:rsid w:val="00A46E98"/>
    <w:rsid w:val="00A47048"/>
    <w:rsid w:val="00A4716B"/>
    <w:rsid w:val="00A47831"/>
    <w:rsid w:val="00A50731"/>
    <w:rsid w:val="00A51151"/>
    <w:rsid w:val="00A5117A"/>
    <w:rsid w:val="00A5121D"/>
    <w:rsid w:val="00A51238"/>
    <w:rsid w:val="00A5162A"/>
    <w:rsid w:val="00A51F2B"/>
    <w:rsid w:val="00A52100"/>
    <w:rsid w:val="00A52587"/>
    <w:rsid w:val="00A52D9F"/>
    <w:rsid w:val="00A531AA"/>
    <w:rsid w:val="00A543A4"/>
    <w:rsid w:val="00A54428"/>
    <w:rsid w:val="00A54D92"/>
    <w:rsid w:val="00A55374"/>
    <w:rsid w:val="00A55D72"/>
    <w:rsid w:val="00A565AA"/>
    <w:rsid w:val="00A5687C"/>
    <w:rsid w:val="00A56C48"/>
    <w:rsid w:val="00A56D6E"/>
    <w:rsid w:val="00A56F3C"/>
    <w:rsid w:val="00A571A8"/>
    <w:rsid w:val="00A57901"/>
    <w:rsid w:val="00A57D19"/>
    <w:rsid w:val="00A6030B"/>
    <w:rsid w:val="00A6049C"/>
    <w:rsid w:val="00A60646"/>
    <w:rsid w:val="00A60A30"/>
    <w:rsid w:val="00A60B9D"/>
    <w:rsid w:val="00A6126E"/>
    <w:rsid w:val="00A61403"/>
    <w:rsid w:val="00A622E7"/>
    <w:rsid w:val="00A625E3"/>
    <w:rsid w:val="00A62789"/>
    <w:rsid w:val="00A6281C"/>
    <w:rsid w:val="00A62E1C"/>
    <w:rsid w:val="00A64317"/>
    <w:rsid w:val="00A646A7"/>
    <w:rsid w:val="00A64710"/>
    <w:rsid w:val="00A64DAC"/>
    <w:rsid w:val="00A65AE2"/>
    <w:rsid w:val="00A65B92"/>
    <w:rsid w:val="00A65C79"/>
    <w:rsid w:val="00A6615C"/>
    <w:rsid w:val="00A6630A"/>
    <w:rsid w:val="00A66488"/>
    <w:rsid w:val="00A67551"/>
    <w:rsid w:val="00A675A6"/>
    <w:rsid w:val="00A67A7A"/>
    <w:rsid w:val="00A67AEC"/>
    <w:rsid w:val="00A7025A"/>
    <w:rsid w:val="00A723BB"/>
    <w:rsid w:val="00A723F5"/>
    <w:rsid w:val="00A73192"/>
    <w:rsid w:val="00A734DB"/>
    <w:rsid w:val="00A73A50"/>
    <w:rsid w:val="00A73C0B"/>
    <w:rsid w:val="00A73F70"/>
    <w:rsid w:val="00A743F1"/>
    <w:rsid w:val="00A746B8"/>
    <w:rsid w:val="00A7486E"/>
    <w:rsid w:val="00A74FA3"/>
    <w:rsid w:val="00A75293"/>
    <w:rsid w:val="00A758FD"/>
    <w:rsid w:val="00A759F4"/>
    <w:rsid w:val="00A75E7D"/>
    <w:rsid w:val="00A76259"/>
    <w:rsid w:val="00A762DF"/>
    <w:rsid w:val="00A763B5"/>
    <w:rsid w:val="00A769F7"/>
    <w:rsid w:val="00A76A43"/>
    <w:rsid w:val="00A770EC"/>
    <w:rsid w:val="00A77423"/>
    <w:rsid w:val="00A77483"/>
    <w:rsid w:val="00A776B3"/>
    <w:rsid w:val="00A77F8B"/>
    <w:rsid w:val="00A80796"/>
    <w:rsid w:val="00A80B1F"/>
    <w:rsid w:val="00A80C67"/>
    <w:rsid w:val="00A810BD"/>
    <w:rsid w:val="00A815B0"/>
    <w:rsid w:val="00A81617"/>
    <w:rsid w:val="00A81BFE"/>
    <w:rsid w:val="00A81F20"/>
    <w:rsid w:val="00A81F8B"/>
    <w:rsid w:val="00A82173"/>
    <w:rsid w:val="00A8263C"/>
    <w:rsid w:val="00A82C13"/>
    <w:rsid w:val="00A82F41"/>
    <w:rsid w:val="00A8300B"/>
    <w:rsid w:val="00A83922"/>
    <w:rsid w:val="00A83BB7"/>
    <w:rsid w:val="00A83FEB"/>
    <w:rsid w:val="00A847DD"/>
    <w:rsid w:val="00A84B59"/>
    <w:rsid w:val="00A84F5F"/>
    <w:rsid w:val="00A85628"/>
    <w:rsid w:val="00A85974"/>
    <w:rsid w:val="00A85998"/>
    <w:rsid w:val="00A85AF6"/>
    <w:rsid w:val="00A85CD1"/>
    <w:rsid w:val="00A85E2C"/>
    <w:rsid w:val="00A85FFB"/>
    <w:rsid w:val="00A86003"/>
    <w:rsid w:val="00A8602B"/>
    <w:rsid w:val="00A866F5"/>
    <w:rsid w:val="00A86F51"/>
    <w:rsid w:val="00A87C69"/>
    <w:rsid w:val="00A87D34"/>
    <w:rsid w:val="00A87FEA"/>
    <w:rsid w:val="00A90609"/>
    <w:rsid w:val="00A9081A"/>
    <w:rsid w:val="00A90B29"/>
    <w:rsid w:val="00A90BAE"/>
    <w:rsid w:val="00A91528"/>
    <w:rsid w:val="00A91B99"/>
    <w:rsid w:val="00A91C49"/>
    <w:rsid w:val="00A91C74"/>
    <w:rsid w:val="00A91FE6"/>
    <w:rsid w:val="00A9251E"/>
    <w:rsid w:val="00A928F5"/>
    <w:rsid w:val="00A92C21"/>
    <w:rsid w:val="00A9302C"/>
    <w:rsid w:val="00A935AF"/>
    <w:rsid w:val="00A93735"/>
    <w:rsid w:val="00A939DB"/>
    <w:rsid w:val="00A93CF0"/>
    <w:rsid w:val="00A93FD7"/>
    <w:rsid w:val="00A940F8"/>
    <w:rsid w:val="00A94B9F"/>
    <w:rsid w:val="00A9559A"/>
    <w:rsid w:val="00A95F0E"/>
    <w:rsid w:val="00A96478"/>
    <w:rsid w:val="00A96493"/>
    <w:rsid w:val="00A96AF0"/>
    <w:rsid w:val="00A9717A"/>
    <w:rsid w:val="00A97643"/>
    <w:rsid w:val="00A97E09"/>
    <w:rsid w:val="00AA0B4C"/>
    <w:rsid w:val="00AA0C06"/>
    <w:rsid w:val="00AA0C21"/>
    <w:rsid w:val="00AA1542"/>
    <w:rsid w:val="00AA157F"/>
    <w:rsid w:val="00AA1722"/>
    <w:rsid w:val="00AA18F6"/>
    <w:rsid w:val="00AA1F29"/>
    <w:rsid w:val="00AA2C31"/>
    <w:rsid w:val="00AA2F4C"/>
    <w:rsid w:val="00AA32A7"/>
    <w:rsid w:val="00AA365F"/>
    <w:rsid w:val="00AA3FFC"/>
    <w:rsid w:val="00AA471E"/>
    <w:rsid w:val="00AA5D9E"/>
    <w:rsid w:val="00AA6278"/>
    <w:rsid w:val="00AA62CC"/>
    <w:rsid w:val="00AA6351"/>
    <w:rsid w:val="00AA64A1"/>
    <w:rsid w:val="00AA6648"/>
    <w:rsid w:val="00AA754C"/>
    <w:rsid w:val="00AB0736"/>
    <w:rsid w:val="00AB07A2"/>
    <w:rsid w:val="00AB0B74"/>
    <w:rsid w:val="00AB1202"/>
    <w:rsid w:val="00AB1B97"/>
    <w:rsid w:val="00AB1F33"/>
    <w:rsid w:val="00AB2044"/>
    <w:rsid w:val="00AB2C81"/>
    <w:rsid w:val="00AB2CD0"/>
    <w:rsid w:val="00AB2DDD"/>
    <w:rsid w:val="00AB2EBA"/>
    <w:rsid w:val="00AB3504"/>
    <w:rsid w:val="00AB3ECC"/>
    <w:rsid w:val="00AB3FFA"/>
    <w:rsid w:val="00AB4717"/>
    <w:rsid w:val="00AB4BC0"/>
    <w:rsid w:val="00AB4F12"/>
    <w:rsid w:val="00AB536B"/>
    <w:rsid w:val="00AB5608"/>
    <w:rsid w:val="00AB5695"/>
    <w:rsid w:val="00AB5C1E"/>
    <w:rsid w:val="00AB5D37"/>
    <w:rsid w:val="00AB639D"/>
    <w:rsid w:val="00AB6401"/>
    <w:rsid w:val="00AB69A0"/>
    <w:rsid w:val="00AB69E8"/>
    <w:rsid w:val="00AB6A04"/>
    <w:rsid w:val="00AB6B68"/>
    <w:rsid w:val="00AB6CC2"/>
    <w:rsid w:val="00AB75C6"/>
    <w:rsid w:val="00AB7CAE"/>
    <w:rsid w:val="00AC0637"/>
    <w:rsid w:val="00AC08E3"/>
    <w:rsid w:val="00AC0E0C"/>
    <w:rsid w:val="00AC0E8B"/>
    <w:rsid w:val="00AC1193"/>
    <w:rsid w:val="00AC255B"/>
    <w:rsid w:val="00AC2C72"/>
    <w:rsid w:val="00AC30B9"/>
    <w:rsid w:val="00AC3161"/>
    <w:rsid w:val="00AC3BFA"/>
    <w:rsid w:val="00AC3CE5"/>
    <w:rsid w:val="00AC3F70"/>
    <w:rsid w:val="00AC3FD8"/>
    <w:rsid w:val="00AC42C1"/>
    <w:rsid w:val="00AC43ED"/>
    <w:rsid w:val="00AC44EA"/>
    <w:rsid w:val="00AC45B9"/>
    <w:rsid w:val="00AC51AF"/>
    <w:rsid w:val="00AC51B3"/>
    <w:rsid w:val="00AC572E"/>
    <w:rsid w:val="00AC6177"/>
    <w:rsid w:val="00AC6888"/>
    <w:rsid w:val="00AC6A06"/>
    <w:rsid w:val="00AC7271"/>
    <w:rsid w:val="00AC72C9"/>
    <w:rsid w:val="00AC7C97"/>
    <w:rsid w:val="00AC7D0F"/>
    <w:rsid w:val="00AD0856"/>
    <w:rsid w:val="00AD088E"/>
    <w:rsid w:val="00AD159A"/>
    <w:rsid w:val="00AD1FDE"/>
    <w:rsid w:val="00AD2108"/>
    <w:rsid w:val="00AD247F"/>
    <w:rsid w:val="00AD253C"/>
    <w:rsid w:val="00AD2958"/>
    <w:rsid w:val="00AD295F"/>
    <w:rsid w:val="00AD2D61"/>
    <w:rsid w:val="00AD2D93"/>
    <w:rsid w:val="00AD32A8"/>
    <w:rsid w:val="00AD336B"/>
    <w:rsid w:val="00AD363D"/>
    <w:rsid w:val="00AD39E3"/>
    <w:rsid w:val="00AD3D6E"/>
    <w:rsid w:val="00AD428E"/>
    <w:rsid w:val="00AD53F5"/>
    <w:rsid w:val="00AD59AA"/>
    <w:rsid w:val="00AD5B5F"/>
    <w:rsid w:val="00AD6500"/>
    <w:rsid w:val="00AD65FF"/>
    <w:rsid w:val="00AD6858"/>
    <w:rsid w:val="00AD6A23"/>
    <w:rsid w:val="00AD6AEF"/>
    <w:rsid w:val="00AD6C99"/>
    <w:rsid w:val="00AD6DD7"/>
    <w:rsid w:val="00AD6F66"/>
    <w:rsid w:val="00AD6F8A"/>
    <w:rsid w:val="00AD721F"/>
    <w:rsid w:val="00AD7AD5"/>
    <w:rsid w:val="00AE00C1"/>
    <w:rsid w:val="00AE07D0"/>
    <w:rsid w:val="00AE0AC1"/>
    <w:rsid w:val="00AE0B46"/>
    <w:rsid w:val="00AE2540"/>
    <w:rsid w:val="00AE2BAB"/>
    <w:rsid w:val="00AE2F79"/>
    <w:rsid w:val="00AE400B"/>
    <w:rsid w:val="00AE4B93"/>
    <w:rsid w:val="00AE4E45"/>
    <w:rsid w:val="00AE59F7"/>
    <w:rsid w:val="00AE5B6A"/>
    <w:rsid w:val="00AE5E78"/>
    <w:rsid w:val="00AE5F7A"/>
    <w:rsid w:val="00AE78A4"/>
    <w:rsid w:val="00AE7E09"/>
    <w:rsid w:val="00AF00CC"/>
    <w:rsid w:val="00AF0A6A"/>
    <w:rsid w:val="00AF0D64"/>
    <w:rsid w:val="00AF0F43"/>
    <w:rsid w:val="00AF152C"/>
    <w:rsid w:val="00AF1966"/>
    <w:rsid w:val="00AF2212"/>
    <w:rsid w:val="00AF41AE"/>
    <w:rsid w:val="00AF4843"/>
    <w:rsid w:val="00AF4E3C"/>
    <w:rsid w:val="00AF570F"/>
    <w:rsid w:val="00AF59AE"/>
    <w:rsid w:val="00AF5BFB"/>
    <w:rsid w:val="00AF5F4A"/>
    <w:rsid w:val="00AF6621"/>
    <w:rsid w:val="00AF674B"/>
    <w:rsid w:val="00AF6ACC"/>
    <w:rsid w:val="00AF7AD2"/>
    <w:rsid w:val="00B00065"/>
    <w:rsid w:val="00B00105"/>
    <w:rsid w:val="00B00D1D"/>
    <w:rsid w:val="00B00D98"/>
    <w:rsid w:val="00B010CD"/>
    <w:rsid w:val="00B012E7"/>
    <w:rsid w:val="00B01424"/>
    <w:rsid w:val="00B01654"/>
    <w:rsid w:val="00B0172B"/>
    <w:rsid w:val="00B01794"/>
    <w:rsid w:val="00B01AC0"/>
    <w:rsid w:val="00B01EE2"/>
    <w:rsid w:val="00B0202B"/>
    <w:rsid w:val="00B021F9"/>
    <w:rsid w:val="00B02FA9"/>
    <w:rsid w:val="00B03358"/>
    <w:rsid w:val="00B03607"/>
    <w:rsid w:val="00B03724"/>
    <w:rsid w:val="00B03994"/>
    <w:rsid w:val="00B049FC"/>
    <w:rsid w:val="00B04C8D"/>
    <w:rsid w:val="00B0527A"/>
    <w:rsid w:val="00B0586B"/>
    <w:rsid w:val="00B05FA1"/>
    <w:rsid w:val="00B0657D"/>
    <w:rsid w:val="00B068A9"/>
    <w:rsid w:val="00B06B61"/>
    <w:rsid w:val="00B06C14"/>
    <w:rsid w:val="00B0707E"/>
    <w:rsid w:val="00B07A9D"/>
    <w:rsid w:val="00B07C86"/>
    <w:rsid w:val="00B07EDE"/>
    <w:rsid w:val="00B10364"/>
    <w:rsid w:val="00B10380"/>
    <w:rsid w:val="00B10407"/>
    <w:rsid w:val="00B104FF"/>
    <w:rsid w:val="00B11262"/>
    <w:rsid w:val="00B11373"/>
    <w:rsid w:val="00B11636"/>
    <w:rsid w:val="00B1171D"/>
    <w:rsid w:val="00B124A3"/>
    <w:rsid w:val="00B12DBB"/>
    <w:rsid w:val="00B12F6D"/>
    <w:rsid w:val="00B1342E"/>
    <w:rsid w:val="00B13666"/>
    <w:rsid w:val="00B136DA"/>
    <w:rsid w:val="00B13905"/>
    <w:rsid w:val="00B13CD2"/>
    <w:rsid w:val="00B143C3"/>
    <w:rsid w:val="00B14957"/>
    <w:rsid w:val="00B14B3C"/>
    <w:rsid w:val="00B14FC9"/>
    <w:rsid w:val="00B1518F"/>
    <w:rsid w:val="00B1557B"/>
    <w:rsid w:val="00B1583F"/>
    <w:rsid w:val="00B15B20"/>
    <w:rsid w:val="00B15C8C"/>
    <w:rsid w:val="00B161E2"/>
    <w:rsid w:val="00B16247"/>
    <w:rsid w:val="00B16780"/>
    <w:rsid w:val="00B16B23"/>
    <w:rsid w:val="00B16DD0"/>
    <w:rsid w:val="00B177D3"/>
    <w:rsid w:val="00B178E9"/>
    <w:rsid w:val="00B17D75"/>
    <w:rsid w:val="00B17EE6"/>
    <w:rsid w:val="00B2015A"/>
    <w:rsid w:val="00B20DB0"/>
    <w:rsid w:val="00B20EBF"/>
    <w:rsid w:val="00B20F46"/>
    <w:rsid w:val="00B212E2"/>
    <w:rsid w:val="00B2296F"/>
    <w:rsid w:val="00B232C7"/>
    <w:rsid w:val="00B233EA"/>
    <w:rsid w:val="00B238F3"/>
    <w:rsid w:val="00B23DCC"/>
    <w:rsid w:val="00B240E8"/>
    <w:rsid w:val="00B25123"/>
    <w:rsid w:val="00B2596A"/>
    <w:rsid w:val="00B25B84"/>
    <w:rsid w:val="00B25D22"/>
    <w:rsid w:val="00B262A0"/>
    <w:rsid w:val="00B26AC4"/>
    <w:rsid w:val="00B26AD7"/>
    <w:rsid w:val="00B271AC"/>
    <w:rsid w:val="00B27B28"/>
    <w:rsid w:val="00B27BA9"/>
    <w:rsid w:val="00B3091E"/>
    <w:rsid w:val="00B31126"/>
    <w:rsid w:val="00B31377"/>
    <w:rsid w:val="00B32177"/>
    <w:rsid w:val="00B321C2"/>
    <w:rsid w:val="00B32504"/>
    <w:rsid w:val="00B3270D"/>
    <w:rsid w:val="00B32B27"/>
    <w:rsid w:val="00B338CA"/>
    <w:rsid w:val="00B33A94"/>
    <w:rsid w:val="00B33AF5"/>
    <w:rsid w:val="00B33C6C"/>
    <w:rsid w:val="00B340E8"/>
    <w:rsid w:val="00B34326"/>
    <w:rsid w:val="00B35ACB"/>
    <w:rsid w:val="00B35C15"/>
    <w:rsid w:val="00B35D8A"/>
    <w:rsid w:val="00B3661C"/>
    <w:rsid w:val="00B36908"/>
    <w:rsid w:val="00B36A72"/>
    <w:rsid w:val="00B36E10"/>
    <w:rsid w:val="00B37090"/>
    <w:rsid w:val="00B3752E"/>
    <w:rsid w:val="00B377F0"/>
    <w:rsid w:val="00B37C22"/>
    <w:rsid w:val="00B37D63"/>
    <w:rsid w:val="00B402B5"/>
    <w:rsid w:val="00B404F9"/>
    <w:rsid w:val="00B40DED"/>
    <w:rsid w:val="00B41D24"/>
    <w:rsid w:val="00B41F47"/>
    <w:rsid w:val="00B421DA"/>
    <w:rsid w:val="00B42FDB"/>
    <w:rsid w:val="00B432A2"/>
    <w:rsid w:val="00B43526"/>
    <w:rsid w:val="00B43565"/>
    <w:rsid w:val="00B436A0"/>
    <w:rsid w:val="00B43780"/>
    <w:rsid w:val="00B4381B"/>
    <w:rsid w:val="00B43F53"/>
    <w:rsid w:val="00B441A0"/>
    <w:rsid w:val="00B44676"/>
    <w:rsid w:val="00B446F3"/>
    <w:rsid w:val="00B44737"/>
    <w:rsid w:val="00B4495E"/>
    <w:rsid w:val="00B45338"/>
    <w:rsid w:val="00B45C25"/>
    <w:rsid w:val="00B45D18"/>
    <w:rsid w:val="00B46051"/>
    <w:rsid w:val="00B4649C"/>
    <w:rsid w:val="00B46F5D"/>
    <w:rsid w:val="00B473BE"/>
    <w:rsid w:val="00B47E15"/>
    <w:rsid w:val="00B50EBC"/>
    <w:rsid w:val="00B50F25"/>
    <w:rsid w:val="00B51438"/>
    <w:rsid w:val="00B51714"/>
    <w:rsid w:val="00B517E3"/>
    <w:rsid w:val="00B5197B"/>
    <w:rsid w:val="00B51994"/>
    <w:rsid w:val="00B526A9"/>
    <w:rsid w:val="00B53268"/>
    <w:rsid w:val="00B53D17"/>
    <w:rsid w:val="00B54304"/>
    <w:rsid w:val="00B54632"/>
    <w:rsid w:val="00B54E57"/>
    <w:rsid w:val="00B55028"/>
    <w:rsid w:val="00B559F3"/>
    <w:rsid w:val="00B57234"/>
    <w:rsid w:val="00B572BE"/>
    <w:rsid w:val="00B57420"/>
    <w:rsid w:val="00B57C00"/>
    <w:rsid w:val="00B57DDB"/>
    <w:rsid w:val="00B60289"/>
    <w:rsid w:val="00B60458"/>
    <w:rsid w:val="00B605E4"/>
    <w:rsid w:val="00B60CE1"/>
    <w:rsid w:val="00B6153C"/>
    <w:rsid w:val="00B61F04"/>
    <w:rsid w:val="00B6218B"/>
    <w:rsid w:val="00B6274B"/>
    <w:rsid w:val="00B62DD7"/>
    <w:rsid w:val="00B63702"/>
    <w:rsid w:val="00B6395A"/>
    <w:rsid w:val="00B64D15"/>
    <w:rsid w:val="00B65609"/>
    <w:rsid w:val="00B656DB"/>
    <w:rsid w:val="00B66053"/>
    <w:rsid w:val="00B66453"/>
    <w:rsid w:val="00B66544"/>
    <w:rsid w:val="00B66A6B"/>
    <w:rsid w:val="00B66AAE"/>
    <w:rsid w:val="00B67081"/>
    <w:rsid w:val="00B67296"/>
    <w:rsid w:val="00B673F8"/>
    <w:rsid w:val="00B677A6"/>
    <w:rsid w:val="00B67A6D"/>
    <w:rsid w:val="00B70083"/>
    <w:rsid w:val="00B7062C"/>
    <w:rsid w:val="00B70745"/>
    <w:rsid w:val="00B70B10"/>
    <w:rsid w:val="00B70B21"/>
    <w:rsid w:val="00B711E5"/>
    <w:rsid w:val="00B7120F"/>
    <w:rsid w:val="00B71BBC"/>
    <w:rsid w:val="00B7204D"/>
    <w:rsid w:val="00B7226A"/>
    <w:rsid w:val="00B724C9"/>
    <w:rsid w:val="00B72AC6"/>
    <w:rsid w:val="00B730FD"/>
    <w:rsid w:val="00B7324B"/>
    <w:rsid w:val="00B733DA"/>
    <w:rsid w:val="00B73813"/>
    <w:rsid w:val="00B73AD0"/>
    <w:rsid w:val="00B73E60"/>
    <w:rsid w:val="00B74613"/>
    <w:rsid w:val="00B7467F"/>
    <w:rsid w:val="00B74B4A"/>
    <w:rsid w:val="00B74EC0"/>
    <w:rsid w:val="00B75322"/>
    <w:rsid w:val="00B75514"/>
    <w:rsid w:val="00B757A8"/>
    <w:rsid w:val="00B75A6F"/>
    <w:rsid w:val="00B75BBD"/>
    <w:rsid w:val="00B75C9A"/>
    <w:rsid w:val="00B77908"/>
    <w:rsid w:val="00B8088D"/>
    <w:rsid w:val="00B80E5A"/>
    <w:rsid w:val="00B81137"/>
    <w:rsid w:val="00B81649"/>
    <w:rsid w:val="00B82420"/>
    <w:rsid w:val="00B826A8"/>
    <w:rsid w:val="00B82B1B"/>
    <w:rsid w:val="00B83198"/>
    <w:rsid w:val="00B83337"/>
    <w:rsid w:val="00B83D41"/>
    <w:rsid w:val="00B864CA"/>
    <w:rsid w:val="00B871E1"/>
    <w:rsid w:val="00B87543"/>
    <w:rsid w:val="00B87AC9"/>
    <w:rsid w:val="00B87BEB"/>
    <w:rsid w:val="00B901A5"/>
    <w:rsid w:val="00B90A4B"/>
    <w:rsid w:val="00B9117F"/>
    <w:rsid w:val="00B91274"/>
    <w:rsid w:val="00B9157F"/>
    <w:rsid w:val="00B919A0"/>
    <w:rsid w:val="00B920B3"/>
    <w:rsid w:val="00B92178"/>
    <w:rsid w:val="00B922DF"/>
    <w:rsid w:val="00B92300"/>
    <w:rsid w:val="00B9304C"/>
    <w:rsid w:val="00B93058"/>
    <w:rsid w:val="00B930F8"/>
    <w:rsid w:val="00B934B3"/>
    <w:rsid w:val="00B93999"/>
    <w:rsid w:val="00B93BB8"/>
    <w:rsid w:val="00B9472F"/>
    <w:rsid w:val="00B94DB4"/>
    <w:rsid w:val="00B9509D"/>
    <w:rsid w:val="00B96440"/>
    <w:rsid w:val="00B96DC1"/>
    <w:rsid w:val="00B971B2"/>
    <w:rsid w:val="00B9764D"/>
    <w:rsid w:val="00B976EE"/>
    <w:rsid w:val="00B97E6E"/>
    <w:rsid w:val="00BA0396"/>
    <w:rsid w:val="00BA080B"/>
    <w:rsid w:val="00BA0A96"/>
    <w:rsid w:val="00BA0DC8"/>
    <w:rsid w:val="00BA1136"/>
    <w:rsid w:val="00BA11B3"/>
    <w:rsid w:val="00BA2763"/>
    <w:rsid w:val="00BA2B87"/>
    <w:rsid w:val="00BA31D0"/>
    <w:rsid w:val="00BA31EF"/>
    <w:rsid w:val="00BA3346"/>
    <w:rsid w:val="00BA434D"/>
    <w:rsid w:val="00BA43EF"/>
    <w:rsid w:val="00BA466B"/>
    <w:rsid w:val="00BA47A4"/>
    <w:rsid w:val="00BA4EE5"/>
    <w:rsid w:val="00BA51A7"/>
    <w:rsid w:val="00BA5828"/>
    <w:rsid w:val="00BA59EC"/>
    <w:rsid w:val="00BA5B77"/>
    <w:rsid w:val="00BA5CFA"/>
    <w:rsid w:val="00BA6038"/>
    <w:rsid w:val="00BA6BF2"/>
    <w:rsid w:val="00BA6F3D"/>
    <w:rsid w:val="00BA7687"/>
    <w:rsid w:val="00BB0804"/>
    <w:rsid w:val="00BB0D16"/>
    <w:rsid w:val="00BB123F"/>
    <w:rsid w:val="00BB16C2"/>
    <w:rsid w:val="00BB1B1B"/>
    <w:rsid w:val="00BB1C23"/>
    <w:rsid w:val="00BB1E31"/>
    <w:rsid w:val="00BB2296"/>
    <w:rsid w:val="00BB245B"/>
    <w:rsid w:val="00BB3112"/>
    <w:rsid w:val="00BB3A24"/>
    <w:rsid w:val="00BB3E27"/>
    <w:rsid w:val="00BB42F2"/>
    <w:rsid w:val="00BB4403"/>
    <w:rsid w:val="00BB4852"/>
    <w:rsid w:val="00BB4A6A"/>
    <w:rsid w:val="00BB4EF2"/>
    <w:rsid w:val="00BB52EA"/>
    <w:rsid w:val="00BB55EC"/>
    <w:rsid w:val="00BB565E"/>
    <w:rsid w:val="00BB609A"/>
    <w:rsid w:val="00BB6D41"/>
    <w:rsid w:val="00BB6DFE"/>
    <w:rsid w:val="00BB6E82"/>
    <w:rsid w:val="00BB6F95"/>
    <w:rsid w:val="00BB73C8"/>
    <w:rsid w:val="00BB7C2B"/>
    <w:rsid w:val="00BB7DBC"/>
    <w:rsid w:val="00BB7F33"/>
    <w:rsid w:val="00BC076C"/>
    <w:rsid w:val="00BC0AB4"/>
    <w:rsid w:val="00BC0AF5"/>
    <w:rsid w:val="00BC0E7A"/>
    <w:rsid w:val="00BC0EBB"/>
    <w:rsid w:val="00BC11DC"/>
    <w:rsid w:val="00BC13C5"/>
    <w:rsid w:val="00BC14F0"/>
    <w:rsid w:val="00BC1581"/>
    <w:rsid w:val="00BC1602"/>
    <w:rsid w:val="00BC1641"/>
    <w:rsid w:val="00BC1BD8"/>
    <w:rsid w:val="00BC1C54"/>
    <w:rsid w:val="00BC1E4E"/>
    <w:rsid w:val="00BC1EE0"/>
    <w:rsid w:val="00BC20C8"/>
    <w:rsid w:val="00BC216C"/>
    <w:rsid w:val="00BC255B"/>
    <w:rsid w:val="00BC310A"/>
    <w:rsid w:val="00BC3A78"/>
    <w:rsid w:val="00BC44AD"/>
    <w:rsid w:val="00BC44B0"/>
    <w:rsid w:val="00BC4C7D"/>
    <w:rsid w:val="00BC4E0B"/>
    <w:rsid w:val="00BC4E8A"/>
    <w:rsid w:val="00BC505A"/>
    <w:rsid w:val="00BC568F"/>
    <w:rsid w:val="00BC5A0D"/>
    <w:rsid w:val="00BC5B1C"/>
    <w:rsid w:val="00BC6192"/>
    <w:rsid w:val="00BC629B"/>
    <w:rsid w:val="00BC635C"/>
    <w:rsid w:val="00BC6430"/>
    <w:rsid w:val="00BC6785"/>
    <w:rsid w:val="00BC679D"/>
    <w:rsid w:val="00BC7F6C"/>
    <w:rsid w:val="00BC7F76"/>
    <w:rsid w:val="00BD05E4"/>
    <w:rsid w:val="00BD0E8D"/>
    <w:rsid w:val="00BD1F44"/>
    <w:rsid w:val="00BD2006"/>
    <w:rsid w:val="00BD2082"/>
    <w:rsid w:val="00BD2139"/>
    <w:rsid w:val="00BD27D2"/>
    <w:rsid w:val="00BD2CF6"/>
    <w:rsid w:val="00BD3084"/>
    <w:rsid w:val="00BD3588"/>
    <w:rsid w:val="00BD36A5"/>
    <w:rsid w:val="00BD4440"/>
    <w:rsid w:val="00BD45EB"/>
    <w:rsid w:val="00BD4E94"/>
    <w:rsid w:val="00BD513E"/>
    <w:rsid w:val="00BD550A"/>
    <w:rsid w:val="00BD5A18"/>
    <w:rsid w:val="00BD5C89"/>
    <w:rsid w:val="00BD616E"/>
    <w:rsid w:val="00BD66C4"/>
    <w:rsid w:val="00BD6BC4"/>
    <w:rsid w:val="00BD6FA5"/>
    <w:rsid w:val="00BD7048"/>
    <w:rsid w:val="00BD780B"/>
    <w:rsid w:val="00BE00F1"/>
    <w:rsid w:val="00BE0866"/>
    <w:rsid w:val="00BE08F1"/>
    <w:rsid w:val="00BE0D03"/>
    <w:rsid w:val="00BE13FA"/>
    <w:rsid w:val="00BE28FA"/>
    <w:rsid w:val="00BE2D85"/>
    <w:rsid w:val="00BE318D"/>
    <w:rsid w:val="00BE3191"/>
    <w:rsid w:val="00BE368C"/>
    <w:rsid w:val="00BE3BD1"/>
    <w:rsid w:val="00BE3C70"/>
    <w:rsid w:val="00BE4854"/>
    <w:rsid w:val="00BE4B4F"/>
    <w:rsid w:val="00BE4FEE"/>
    <w:rsid w:val="00BE57D3"/>
    <w:rsid w:val="00BE5951"/>
    <w:rsid w:val="00BE5C4F"/>
    <w:rsid w:val="00BE65EC"/>
    <w:rsid w:val="00BE6A2F"/>
    <w:rsid w:val="00BE6ADA"/>
    <w:rsid w:val="00BE6D63"/>
    <w:rsid w:val="00BE6DF6"/>
    <w:rsid w:val="00BE70F4"/>
    <w:rsid w:val="00BE71CE"/>
    <w:rsid w:val="00BF0089"/>
    <w:rsid w:val="00BF0ADA"/>
    <w:rsid w:val="00BF0C53"/>
    <w:rsid w:val="00BF0D4A"/>
    <w:rsid w:val="00BF10C4"/>
    <w:rsid w:val="00BF1904"/>
    <w:rsid w:val="00BF1A54"/>
    <w:rsid w:val="00BF2314"/>
    <w:rsid w:val="00BF2416"/>
    <w:rsid w:val="00BF3532"/>
    <w:rsid w:val="00BF42F1"/>
    <w:rsid w:val="00BF46DD"/>
    <w:rsid w:val="00BF4A66"/>
    <w:rsid w:val="00BF4FEA"/>
    <w:rsid w:val="00BF50BE"/>
    <w:rsid w:val="00BF5146"/>
    <w:rsid w:val="00BF5642"/>
    <w:rsid w:val="00BF5CAE"/>
    <w:rsid w:val="00BF6D62"/>
    <w:rsid w:val="00BF7DB9"/>
    <w:rsid w:val="00C005E7"/>
    <w:rsid w:val="00C00E77"/>
    <w:rsid w:val="00C00ED0"/>
    <w:rsid w:val="00C017BB"/>
    <w:rsid w:val="00C0251A"/>
    <w:rsid w:val="00C026C4"/>
    <w:rsid w:val="00C02E30"/>
    <w:rsid w:val="00C0380B"/>
    <w:rsid w:val="00C04464"/>
    <w:rsid w:val="00C0447E"/>
    <w:rsid w:val="00C04780"/>
    <w:rsid w:val="00C047AE"/>
    <w:rsid w:val="00C047C1"/>
    <w:rsid w:val="00C04D9A"/>
    <w:rsid w:val="00C05370"/>
    <w:rsid w:val="00C0581D"/>
    <w:rsid w:val="00C05891"/>
    <w:rsid w:val="00C05E20"/>
    <w:rsid w:val="00C05F8A"/>
    <w:rsid w:val="00C063DA"/>
    <w:rsid w:val="00C06B69"/>
    <w:rsid w:val="00C06CE5"/>
    <w:rsid w:val="00C06D88"/>
    <w:rsid w:val="00C07071"/>
    <w:rsid w:val="00C07963"/>
    <w:rsid w:val="00C07A09"/>
    <w:rsid w:val="00C10FA3"/>
    <w:rsid w:val="00C1101E"/>
    <w:rsid w:val="00C11681"/>
    <w:rsid w:val="00C117F0"/>
    <w:rsid w:val="00C1190D"/>
    <w:rsid w:val="00C11B77"/>
    <w:rsid w:val="00C11D2A"/>
    <w:rsid w:val="00C12127"/>
    <w:rsid w:val="00C13AAD"/>
    <w:rsid w:val="00C14140"/>
    <w:rsid w:val="00C14430"/>
    <w:rsid w:val="00C14984"/>
    <w:rsid w:val="00C14BFC"/>
    <w:rsid w:val="00C14DF1"/>
    <w:rsid w:val="00C15472"/>
    <w:rsid w:val="00C15887"/>
    <w:rsid w:val="00C169B7"/>
    <w:rsid w:val="00C16A16"/>
    <w:rsid w:val="00C171C0"/>
    <w:rsid w:val="00C172BF"/>
    <w:rsid w:val="00C17888"/>
    <w:rsid w:val="00C17C57"/>
    <w:rsid w:val="00C2059C"/>
    <w:rsid w:val="00C20DA2"/>
    <w:rsid w:val="00C20EB3"/>
    <w:rsid w:val="00C213E9"/>
    <w:rsid w:val="00C21743"/>
    <w:rsid w:val="00C21C90"/>
    <w:rsid w:val="00C2286C"/>
    <w:rsid w:val="00C22AEF"/>
    <w:rsid w:val="00C22D76"/>
    <w:rsid w:val="00C238A9"/>
    <w:rsid w:val="00C23962"/>
    <w:rsid w:val="00C24A32"/>
    <w:rsid w:val="00C2512A"/>
    <w:rsid w:val="00C254D9"/>
    <w:rsid w:val="00C258F7"/>
    <w:rsid w:val="00C2590A"/>
    <w:rsid w:val="00C261F6"/>
    <w:rsid w:val="00C274E8"/>
    <w:rsid w:val="00C277F8"/>
    <w:rsid w:val="00C27D47"/>
    <w:rsid w:val="00C27DB7"/>
    <w:rsid w:val="00C3026C"/>
    <w:rsid w:val="00C3027D"/>
    <w:rsid w:val="00C30392"/>
    <w:rsid w:val="00C306FF"/>
    <w:rsid w:val="00C3091B"/>
    <w:rsid w:val="00C30927"/>
    <w:rsid w:val="00C30B90"/>
    <w:rsid w:val="00C3166F"/>
    <w:rsid w:val="00C3199A"/>
    <w:rsid w:val="00C3238E"/>
    <w:rsid w:val="00C32716"/>
    <w:rsid w:val="00C32A63"/>
    <w:rsid w:val="00C32EA6"/>
    <w:rsid w:val="00C32F73"/>
    <w:rsid w:val="00C33723"/>
    <w:rsid w:val="00C338F2"/>
    <w:rsid w:val="00C343A4"/>
    <w:rsid w:val="00C34543"/>
    <w:rsid w:val="00C35EE1"/>
    <w:rsid w:val="00C364E0"/>
    <w:rsid w:val="00C36A54"/>
    <w:rsid w:val="00C36C27"/>
    <w:rsid w:val="00C36E59"/>
    <w:rsid w:val="00C3733C"/>
    <w:rsid w:val="00C3735B"/>
    <w:rsid w:val="00C37880"/>
    <w:rsid w:val="00C37909"/>
    <w:rsid w:val="00C37BCD"/>
    <w:rsid w:val="00C37CF8"/>
    <w:rsid w:val="00C4021D"/>
    <w:rsid w:val="00C40C7B"/>
    <w:rsid w:val="00C40D6A"/>
    <w:rsid w:val="00C413ED"/>
    <w:rsid w:val="00C4143B"/>
    <w:rsid w:val="00C41866"/>
    <w:rsid w:val="00C41FB9"/>
    <w:rsid w:val="00C42A47"/>
    <w:rsid w:val="00C42E4C"/>
    <w:rsid w:val="00C434F0"/>
    <w:rsid w:val="00C43691"/>
    <w:rsid w:val="00C436A7"/>
    <w:rsid w:val="00C43A77"/>
    <w:rsid w:val="00C43CA7"/>
    <w:rsid w:val="00C43F26"/>
    <w:rsid w:val="00C43FE1"/>
    <w:rsid w:val="00C4417C"/>
    <w:rsid w:val="00C44BCB"/>
    <w:rsid w:val="00C44D69"/>
    <w:rsid w:val="00C4603E"/>
    <w:rsid w:val="00C462EE"/>
    <w:rsid w:val="00C46724"/>
    <w:rsid w:val="00C47DD6"/>
    <w:rsid w:val="00C50B9D"/>
    <w:rsid w:val="00C50CC9"/>
    <w:rsid w:val="00C51062"/>
    <w:rsid w:val="00C512F8"/>
    <w:rsid w:val="00C5190F"/>
    <w:rsid w:val="00C519DE"/>
    <w:rsid w:val="00C5213F"/>
    <w:rsid w:val="00C522AC"/>
    <w:rsid w:val="00C52571"/>
    <w:rsid w:val="00C5278C"/>
    <w:rsid w:val="00C528DF"/>
    <w:rsid w:val="00C5302E"/>
    <w:rsid w:val="00C5348D"/>
    <w:rsid w:val="00C542CB"/>
    <w:rsid w:val="00C55435"/>
    <w:rsid w:val="00C5548B"/>
    <w:rsid w:val="00C55F26"/>
    <w:rsid w:val="00C5655A"/>
    <w:rsid w:val="00C57915"/>
    <w:rsid w:val="00C57C61"/>
    <w:rsid w:val="00C57C85"/>
    <w:rsid w:val="00C606A8"/>
    <w:rsid w:val="00C6078F"/>
    <w:rsid w:val="00C6188F"/>
    <w:rsid w:val="00C619AB"/>
    <w:rsid w:val="00C61BCF"/>
    <w:rsid w:val="00C61CA8"/>
    <w:rsid w:val="00C61E8B"/>
    <w:rsid w:val="00C620EE"/>
    <w:rsid w:val="00C62772"/>
    <w:rsid w:val="00C62B54"/>
    <w:rsid w:val="00C6439C"/>
    <w:rsid w:val="00C6487F"/>
    <w:rsid w:val="00C648E8"/>
    <w:rsid w:val="00C64A51"/>
    <w:rsid w:val="00C6549E"/>
    <w:rsid w:val="00C6584C"/>
    <w:rsid w:val="00C6608E"/>
    <w:rsid w:val="00C661F0"/>
    <w:rsid w:val="00C67E6A"/>
    <w:rsid w:val="00C702C4"/>
    <w:rsid w:val="00C70F3B"/>
    <w:rsid w:val="00C71C2D"/>
    <w:rsid w:val="00C71D80"/>
    <w:rsid w:val="00C72090"/>
    <w:rsid w:val="00C723F8"/>
    <w:rsid w:val="00C73197"/>
    <w:rsid w:val="00C73C99"/>
    <w:rsid w:val="00C7402B"/>
    <w:rsid w:val="00C74450"/>
    <w:rsid w:val="00C7524D"/>
    <w:rsid w:val="00C75B3A"/>
    <w:rsid w:val="00C75BD2"/>
    <w:rsid w:val="00C76655"/>
    <w:rsid w:val="00C767BD"/>
    <w:rsid w:val="00C769D1"/>
    <w:rsid w:val="00C76E2B"/>
    <w:rsid w:val="00C772E0"/>
    <w:rsid w:val="00C7743E"/>
    <w:rsid w:val="00C7766C"/>
    <w:rsid w:val="00C80504"/>
    <w:rsid w:val="00C80926"/>
    <w:rsid w:val="00C80F62"/>
    <w:rsid w:val="00C8108B"/>
    <w:rsid w:val="00C81442"/>
    <w:rsid w:val="00C81774"/>
    <w:rsid w:val="00C81C79"/>
    <w:rsid w:val="00C81CA3"/>
    <w:rsid w:val="00C8272C"/>
    <w:rsid w:val="00C8283F"/>
    <w:rsid w:val="00C82C71"/>
    <w:rsid w:val="00C82D70"/>
    <w:rsid w:val="00C83314"/>
    <w:rsid w:val="00C83BA7"/>
    <w:rsid w:val="00C8498A"/>
    <w:rsid w:val="00C84E3A"/>
    <w:rsid w:val="00C84F6A"/>
    <w:rsid w:val="00C8531D"/>
    <w:rsid w:val="00C85459"/>
    <w:rsid w:val="00C85782"/>
    <w:rsid w:val="00C85BB9"/>
    <w:rsid w:val="00C85D17"/>
    <w:rsid w:val="00C85DB6"/>
    <w:rsid w:val="00C862D5"/>
    <w:rsid w:val="00C86689"/>
    <w:rsid w:val="00C8783A"/>
    <w:rsid w:val="00C87A27"/>
    <w:rsid w:val="00C87C85"/>
    <w:rsid w:val="00C87E5E"/>
    <w:rsid w:val="00C900B8"/>
    <w:rsid w:val="00C90114"/>
    <w:rsid w:val="00C90A77"/>
    <w:rsid w:val="00C90BE9"/>
    <w:rsid w:val="00C91989"/>
    <w:rsid w:val="00C9252F"/>
    <w:rsid w:val="00C929AA"/>
    <w:rsid w:val="00C92CBD"/>
    <w:rsid w:val="00C92CD8"/>
    <w:rsid w:val="00C92DCD"/>
    <w:rsid w:val="00C932FA"/>
    <w:rsid w:val="00C93657"/>
    <w:rsid w:val="00C93B76"/>
    <w:rsid w:val="00C93F2D"/>
    <w:rsid w:val="00C93F8A"/>
    <w:rsid w:val="00C93FD6"/>
    <w:rsid w:val="00C940E5"/>
    <w:rsid w:val="00C944A4"/>
    <w:rsid w:val="00C9457A"/>
    <w:rsid w:val="00C94A86"/>
    <w:rsid w:val="00C94BB3"/>
    <w:rsid w:val="00C94F90"/>
    <w:rsid w:val="00C950BA"/>
    <w:rsid w:val="00C95160"/>
    <w:rsid w:val="00C956C4"/>
    <w:rsid w:val="00C96E16"/>
    <w:rsid w:val="00C971C7"/>
    <w:rsid w:val="00C97623"/>
    <w:rsid w:val="00C976B6"/>
    <w:rsid w:val="00C97DBA"/>
    <w:rsid w:val="00CA03A8"/>
    <w:rsid w:val="00CA049B"/>
    <w:rsid w:val="00CA11C1"/>
    <w:rsid w:val="00CA1F1A"/>
    <w:rsid w:val="00CA25AB"/>
    <w:rsid w:val="00CA3A4B"/>
    <w:rsid w:val="00CA4832"/>
    <w:rsid w:val="00CA496D"/>
    <w:rsid w:val="00CA4A3F"/>
    <w:rsid w:val="00CA4A67"/>
    <w:rsid w:val="00CA5489"/>
    <w:rsid w:val="00CA59F1"/>
    <w:rsid w:val="00CA5AF9"/>
    <w:rsid w:val="00CA6034"/>
    <w:rsid w:val="00CA6306"/>
    <w:rsid w:val="00CA6404"/>
    <w:rsid w:val="00CA73EC"/>
    <w:rsid w:val="00CA76DF"/>
    <w:rsid w:val="00CA78AD"/>
    <w:rsid w:val="00CA7AD1"/>
    <w:rsid w:val="00CA7E17"/>
    <w:rsid w:val="00CA7E87"/>
    <w:rsid w:val="00CA7FD8"/>
    <w:rsid w:val="00CB0A71"/>
    <w:rsid w:val="00CB0C18"/>
    <w:rsid w:val="00CB2303"/>
    <w:rsid w:val="00CB255D"/>
    <w:rsid w:val="00CB2AEC"/>
    <w:rsid w:val="00CB300F"/>
    <w:rsid w:val="00CB33C6"/>
    <w:rsid w:val="00CB3929"/>
    <w:rsid w:val="00CB3C3B"/>
    <w:rsid w:val="00CB3D2C"/>
    <w:rsid w:val="00CB3ED5"/>
    <w:rsid w:val="00CB408E"/>
    <w:rsid w:val="00CB40C5"/>
    <w:rsid w:val="00CB4785"/>
    <w:rsid w:val="00CB4DC2"/>
    <w:rsid w:val="00CB4F78"/>
    <w:rsid w:val="00CB4F95"/>
    <w:rsid w:val="00CB502C"/>
    <w:rsid w:val="00CB58A0"/>
    <w:rsid w:val="00CB5D1E"/>
    <w:rsid w:val="00CB6A4E"/>
    <w:rsid w:val="00CB6D5B"/>
    <w:rsid w:val="00CB6DF4"/>
    <w:rsid w:val="00CB74D9"/>
    <w:rsid w:val="00CB7F85"/>
    <w:rsid w:val="00CC12DB"/>
    <w:rsid w:val="00CC1E84"/>
    <w:rsid w:val="00CC1EA0"/>
    <w:rsid w:val="00CC1EA3"/>
    <w:rsid w:val="00CC2299"/>
    <w:rsid w:val="00CC26EF"/>
    <w:rsid w:val="00CC279C"/>
    <w:rsid w:val="00CC28CE"/>
    <w:rsid w:val="00CC2D76"/>
    <w:rsid w:val="00CC2DD7"/>
    <w:rsid w:val="00CC2FB2"/>
    <w:rsid w:val="00CC36F0"/>
    <w:rsid w:val="00CC444D"/>
    <w:rsid w:val="00CC49A5"/>
    <w:rsid w:val="00CC57F5"/>
    <w:rsid w:val="00CC5DC8"/>
    <w:rsid w:val="00CC62D6"/>
    <w:rsid w:val="00CC6367"/>
    <w:rsid w:val="00CC654B"/>
    <w:rsid w:val="00CC6A5C"/>
    <w:rsid w:val="00CC7346"/>
    <w:rsid w:val="00CC7823"/>
    <w:rsid w:val="00CC7E44"/>
    <w:rsid w:val="00CD0126"/>
    <w:rsid w:val="00CD0422"/>
    <w:rsid w:val="00CD1AA4"/>
    <w:rsid w:val="00CD1CA2"/>
    <w:rsid w:val="00CD22D1"/>
    <w:rsid w:val="00CD27E5"/>
    <w:rsid w:val="00CD395D"/>
    <w:rsid w:val="00CD3E25"/>
    <w:rsid w:val="00CD3F16"/>
    <w:rsid w:val="00CD4C5D"/>
    <w:rsid w:val="00CD4EB0"/>
    <w:rsid w:val="00CD50AA"/>
    <w:rsid w:val="00CD51E6"/>
    <w:rsid w:val="00CD5532"/>
    <w:rsid w:val="00CD5761"/>
    <w:rsid w:val="00CD5946"/>
    <w:rsid w:val="00CD5C4E"/>
    <w:rsid w:val="00CD5C6E"/>
    <w:rsid w:val="00CD5FB0"/>
    <w:rsid w:val="00CD61E7"/>
    <w:rsid w:val="00CD66D0"/>
    <w:rsid w:val="00CD74D9"/>
    <w:rsid w:val="00CD7C25"/>
    <w:rsid w:val="00CD7D22"/>
    <w:rsid w:val="00CE00E5"/>
    <w:rsid w:val="00CE08D8"/>
    <w:rsid w:val="00CE0F98"/>
    <w:rsid w:val="00CE131D"/>
    <w:rsid w:val="00CE1B37"/>
    <w:rsid w:val="00CE269A"/>
    <w:rsid w:val="00CE28BE"/>
    <w:rsid w:val="00CE2BF0"/>
    <w:rsid w:val="00CE308E"/>
    <w:rsid w:val="00CE32A7"/>
    <w:rsid w:val="00CE3F38"/>
    <w:rsid w:val="00CE4BB4"/>
    <w:rsid w:val="00CE501C"/>
    <w:rsid w:val="00CE5232"/>
    <w:rsid w:val="00CE585E"/>
    <w:rsid w:val="00CE5863"/>
    <w:rsid w:val="00CE587F"/>
    <w:rsid w:val="00CE593E"/>
    <w:rsid w:val="00CE5A4E"/>
    <w:rsid w:val="00CE64D3"/>
    <w:rsid w:val="00CE67E5"/>
    <w:rsid w:val="00CE68DA"/>
    <w:rsid w:val="00CE6E41"/>
    <w:rsid w:val="00CE718E"/>
    <w:rsid w:val="00CE7390"/>
    <w:rsid w:val="00CE779B"/>
    <w:rsid w:val="00CE79F2"/>
    <w:rsid w:val="00CE7A12"/>
    <w:rsid w:val="00CF0327"/>
    <w:rsid w:val="00CF0840"/>
    <w:rsid w:val="00CF11CB"/>
    <w:rsid w:val="00CF1922"/>
    <w:rsid w:val="00CF2175"/>
    <w:rsid w:val="00CF299F"/>
    <w:rsid w:val="00CF2A8C"/>
    <w:rsid w:val="00CF32C3"/>
    <w:rsid w:val="00CF379C"/>
    <w:rsid w:val="00CF3A4C"/>
    <w:rsid w:val="00CF408C"/>
    <w:rsid w:val="00CF4227"/>
    <w:rsid w:val="00CF48F3"/>
    <w:rsid w:val="00CF5093"/>
    <w:rsid w:val="00CF5631"/>
    <w:rsid w:val="00CF5725"/>
    <w:rsid w:val="00CF59C3"/>
    <w:rsid w:val="00CF5A83"/>
    <w:rsid w:val="00CF5D86"/>
    <w:rsid w:val="00CF704D"/>
    <w:rsid w:val="00CF7BAA"/>
    <w:rsid w:val="00D0003F"/>
    <w:rsid w:val="00D00F75"/>
    <w:rsid w:val="00D014EF"/>
    <w:rsid w:val="00D01651"/>
    <w:rsid w:val="00D01713"/>
    <w:rsid w:val="00D017E1"/>
    <w:rsid w:val="00D0223A"/>
    <w:rsid w:val="00D023BF"/>
    <w:rsid w:val="00D024A9"/>
    <w:rsid w:val="00D025CB"/>
    <w:rsid w:val="00D0283D"/>
    <w:rsid w:val="00D02B1F"/>
    <w:rsid w:val="00D02BE8"/>
    <w:rsid w:val="00D02DE9"/>
    <w:rsid w:val="00D034D9"/>
    <w:rsid w:val="00D03BA0"/>
    <w:rsid w:val="00D04A54"/>
    <w:rsid w:val="00D04D73"/>
    <w:rsid w:val="00D052D3"/>
    <w:rsid w:val="00D05856"/>
    <w:rsid w:val="00D066F4"/>
    <w:rsid w:val="00D070E6"/>
    <w:rsid w:val="00D073CB"/>
    <w:rsid w:val="00D074E4"/>
    <w:rsid w:val="00D075DA"/>
    <w:rsid w:val="00D07EED"/>
    <w:rsid w:val="00D103FD"/>
    <w:rsid w:val="00D104EC"/>
    <w:rsid w:val="00D10CAA"/>
    <w:rsid w:val="00D10F8D"/>
    <w:rsid w:val="00D10F91"/>
    <w:rsid w:val="00D11E47"/>
    <w:rsid w:val="00D11EDC"/>
    <w:rsid w:val="00D1213A"/>
    <w:rsid w:val="00D125AB"/>
    <w:rsid w:val="00D1273F"/>
    <w:rsid w:val="00D128DF"/>
    <w:rsid w:val="00D12B5D"/>
    <w:rsid w:val="00D13593"/>
    <w:rsid w:val="00D13885"/>
    <w:rsid w:val="00D13945"/>
    <w:rsid w:val="00D13B2E"/>
    <w:rsid w:val="00D16374"/>
    <w:rsid w:val="00D16BA3"/>
    <w:rsid w:val="00D17CAB"/>
    <w:rsid w:val="00D17D50"/>
    <w:rsid w:val="00D17DC1"/>
    <w:rsid w:val="00D20721"/>
    <w:rsid w:val="00D20CF4"/>
    <w:rsid w:val="00D20E03"/>
    <w:rsid w:val="00D21912"/>
    <w:rsid w:val="00D2240A"/>
    <w:rsid w:val="00D228BA"/>
    <w:rsid w:val="00D22B20"/>
    <w:rsid w:val="00D22C68"/>
    <w:rsid w:val="00D22CFB"/>
    <w:rsid w:val="00D23E45"/>
    <w:rsid w:val="00D24778"/>
    <w:rsid w:val="00D24CE6"/>
    <w:rsid w:val="00D24CE9"/>
    <w:rsid w:val="00D24FE4"/>
    <w:rsid w:val="00D2538B"/>
    <w:rsid w:val="00D253F6"/>
    <w:rsid w:val="00D260A5"/>
    <w:rsid w:val="00D260D6"/>
    <w:rsid w:val="00D26935"/>
    <w:rsid w:val="00D26D9E"/>
    <w:rsid w:val="00D277DF"/>
    <w:rsid w:val="00D277E6"/>
    <w:rsid w:val="00D27DCF"/>
    <w:rsid w:val="00D3042C"/>
    <w:rsid w:val="00D3071E"/>
    <w:rsid w:val="00D30AAB"/>
    <w:rsid w:val="00D311DC"/>
    <w:rsid w:val="00D31383"/>
    <w:rsid w:val="00D3192C"/>
    <w:rsid w:val="00D31B3B"/>
    <w:rsid w:val="00D320A1"/>
    <w:rsid w:val="00D3231B"/>
    <w:rsid w:val="00D333C6"/>
    <w:rsid w:val="00D33B3F"/>
    <w:rsid w:val="00D33EA8"/>
    <w:rsid w:val="00D34394"/>
    <w:rsid w:val="00D34CA8"/>
    <w:rsid w:val="00D35809"/>
    <w:rsid w:val="00D35819"/>
    <w:rsid w:val="00D35ED1"/>
    <w:rsid w:val="00D36E90"/>
    <w:rsid w:val="00D372D0"/>
    <w:rsid w:val="00D37360"/>
    <w:rsid w:val="00D375DE"/>
    <w:rsid w:val="00D400C9"/>
    <w:rsid w:val="00D4028C"/>
    <w:rsid w:val="00D40755"/>
    <w:rsid w:val="00D416C8"/>
    <w:rsid w:val="00D42B8E"/>
    <w:rsid w:val="00D43C54"/>
    <w:rsid w:val="00D44182"/>
    <w:rsid w:val="00D446FF"/>
    <w:rsid w:val="00D448E8"/>
    <w:rsid w:val="00D44E64"/>
    <w:rsid w:val="00D45D67"/>
    <w:rsid w:val="00D45DC3"/>
    <w:rsid w:val="00D46149"/>
    <w:rsid w:val="00D463F0"/>
    <w:rsid w:val="00D46FBB"/>
    <w:rsid w:val="00D47851"/>
    <w:rsid w:val="00D478BF"/>
    <w:rsid w:val="00D50458"/>
    <w:rsid w:val="00D5079A"/>
    <w:rsid w:val="00D50AF7"/>
    <w:rsid w:val="00D5118E"/>
    <w:rsid w:val="00D51586"/>
    <w:rsid w:val="00D516B2"/>
    <w:rsid w:val="00D51DDB"/>
    <w:rsid w:val="00D522A1"/>
    <w:rsid w:val="00D5240F"/>
    <w:rsid w:val="00D5431E"/>
    <w:rsid w:val="00D5437E"/>
    <w:rsid w:val="00D54478"/>
    <w:rsid w:val="00D5489D"/>
    <w:rsid w:val="00D548B8"/>
    <w:rsid w:val="00D54ABC"/>
    <w:rsid w:val="00D54B2D"/>
    <w:rsid w:val="00D54FA1"/>
    <w:rsid w:val="00D55308"/>
    <w:rsid w:val="00D555B9"/>
    <w:rsid w:val="00D55941"/>
    <w:rsid w:val="00D55A41"/>
    <w:rsid w:val="00D55BB0"/>
    <w:rsid w:val="00D55BC3"/>
    <w:rsid w:val="00D56AC0"/>
    <w:rsid w:val="00D573A0"/>
    <w:rsid w:val="00D573C2"/>
    <w:rsid w:val="00D57558"/>
    <w:rsid w:val="00D577ED"/>
    <w:rsid w:val="00D579A2"/>
    <w:rsid w:val="00D57DFC"/>
    <w:rsid w:val="00D60665"/>
    <w:rsid w:val="00D610F5"/>
    <w:rsid w:val="00D6147A"/>
    <w:rsid w:val="00D61582"/>
    <w:rsid w:val="00D626E1"/>
    <w:rsid w:val="00D62752"/>
    <w:rsid w:val="00D629DC"/>
    <w:rsid w:val="00D62CE5"/>
    <w:rsid w:val="00D643CD"/>
    <w:rsid w:val="00D64430"/>
    <w:rsid w:val="00D6444E"/>
    <w:rsid w:val="00D645EB"/>
    <w:rsid w:val="00D64600"/>
    <w:rsid w:val="00D64664"/>
    <w:rsid w:val="00D6471A"/>
    <w:rsid w:val="00D6473D"/>
    <w:rsid w:val="00D649ED"/>
    <w:rsid w:val="00D64CDB"/>
    <w:rsid w:val="00D64F5D"/>
    <w:rsid w:val="00D65FB4"/>
    <w:rsid w:val="00D660A4"/>
    <w:rsid w:val="00D661B6"/>
    <w:rsid w:val="00D66614"/>
    <w:rsid w:val="00D66B80"/>
    <w:rsid w:val="00D675AA"/>
    <w:rsid w:val="00D6762A"/>
    <w:rsid w:val="00D67679"/>
    <w:rsid w:val="00D6795A"/>
    <w:rsid w:val="00D70061"/>
    <w:rsid w:val="00D703B9"/>
    <w:rsid w:val="00D705D2"/>
    <w:rsid w:val="00D7137E"/>
    <w:rsid w:val="00D713B6"/>
    <w:rsid w:val="00D7237E"/>
    <w:rsid w:val="00D723F9"/>
    <w:rsid w:val="00D733FE"/>
    <w:rsid w:val="00D7364B"/>
    <w:rsid w:val="00D736F5"/>
    <w:rsid w:val="00D737CE"/>
    <w:rsid w:val="00D73E07"/>
    <w:rsid w:val="00D73E9B"/>
    <w:rsid w:val="00D751DF"/>
    <w:rsid w:val="00D76116"/>
    <w:rsid w:val="00D76150"/>
    <w:rsid w:val="00D76C57"/>
    <w:rsid w:val="00D77460"/>
    <w:rsid w:val="00D7755D"/>
    <w:rsid w:val="00D77D07"/>
    <w:rsid w:val="00D80263"/>
    <w:rsid w:val="00D80427"/>
    <w:rsid w:val="00D80607"/>
    <w:rsid w:val="00D8086E"/>
    <w:rsid w:val="00D808EA"/>
    <w:rsid w:val="00D80936"/>
    <w:rsid w:val="00D812EC"/>
    <w:rsid w:val="00D8164E"/>
    <w:rsid w:val="00D8173F"/>
    <w:rsid w:val="00D8209B"/>
    <w:rsid w:val="00D826FD"/>
    <w:rsid w:val="00D82962"/>
    <w:rsid w:val="00D82CDD"/>
    <w:rsid w:val="00D83081"/>
    <w:rsid w:val="00D8326F"/>
    <w:rsid w:val="00D833FD"/>
    <w:rsid w:val="00D8371B"/>
    <w:rsid w:val="00D83A89"/>
    <w:rsid w:val="00D8415B"/>
    <w:rsid w:val="00D841CD"/>
    <w:rsid w:val="00D8441A"/>
    <w:rsid w:val="00D8460C"/>
    <w:rsid w:val="00D84C63"/>
    <w:rsid w:val="00D85788"/>
    <w:rsid w:val="00D86115"/>
    <w:rsid w:val="00D86944"/>
    <w:rsid w:val="00D875C2"/>
    <w:rsid w:val="00D87CA6"/>
    <w:rsid w:val="00D87F4B"/>
    <w:rsid w:val="00D9120D"/>
    <w:rsid w:val="00D913E8"/>
    <w:rsid w:val="00D91456"/>
    <w:rsid w:val="00D91AE1"/>
    <w:rsid w:val="00D91BED"/>
    <w:rsid w:val="00D91D4F"/>
    <w:rsid w:val="00D92323"/>
    <w:rsid w:val="00D92374"/>
    <w:rsid w:val="00D92A6F"/>
    <w:rsid w:val="00D92DA7"/>
    <w:rsid w:val="00D937E1"/>
    <w:rsid w:val="00D93BB6"/>
    <w:rsid w:val="00D944AA"/>
    <w:rsid w:val="00D94971"/>
    <w:rsid w:val="00D94EE7"/>
    <w:rsid w:val="00D94EF0"/>
    <w:rsid w:val="00D9500C"/>
    <w:rsid w:val="00D95251"/>
    <w:rsid w:val="00D95386"/>
    <w:rsid w:val="00D96923"/>
    <w:rsid w:val="00D973F4"/>
    <w:rsid w:val="00D97530"/>
    <w:rsid w:val="00D97F58"/>
    <w:rsid w:val="00DA0164"/>
    <w:rsid w:val="00DA0325"/>
    <w:rsid w:val="00DA0375"/>
    <w:rsid w:val="00DA0582"/>
    <w:rsid w:val="00DA070B"/>
    <w:rsid w:val="00DA0B37"/>
    <w:rsid w:val="00DA0D16"/>
    <w:rsid w:val="00DA1032"/>
    <w:rsid w:val="00DA1432"/>
    <w:rsid w:val="00DA15C8"/>
    <w:rsid w:val="00DA162C"/>
    <w:rsid w:val="00DA1AC1"/>
    <w:rsid w:val="00DA3095"/>
    <w:rsid w:val="00DA37C9"/>
    <w:rsid w:val="00DA39A1"/>
    <w:rsid w:val="00DA3A84"/>
    <w:rsid w:val="00DA4F90"/>
    <w:rsid w:val="00DA5139"/>
    <w:rsid w:val="00DA57DE"/>
    <w:rsid w:val="00DA5F84"/>
    <w:rsid w:val="00DA69B9"/>
    <w:rsid w:val="00DA6B11"/>
    <w:rsid w:val="00DA6BBE"/>
    <w:rsid w:val="00DA6C81"/>
    <w:rsid w:val="00DA7BFF"/>
    <w:rsid w:val="00DA7D93"/>
    <w:rsid w:val="00DA7E2D"/>
    <w:rsid w:val="00DA7F8C"/>
    <w:rsid w:val="00DB01ED"/>
    <w:rsid w:val="00DB1CE0"/>
    <w:rsid w:val="00DB1F27"/>
    <w:rsid w:val="00DB23E5"/>
    <w:rsid w:val="00DB2967"/>
    <w:rsid w:val="00DB2CCA"/>
    <w:rsid w:val="00DB2E21"/>
    <w:rsid w:val="00DB2E98"/>
    <w:rsid w:val="00DB30F2"/>
    <w:rsid w:val="00DB3334"/>
    <w:rsid w:val="00DB35E7"/>
    <w:rsid w:val="00DB38A5"/>
    <w:rsid w:val="00DB3C96"/>
    <w:rsid w:val="00DB3E33"/>
    <w:rsid w:val="00DB449E"/>
    <w:rsid w:val="00DB53B9"/>
    <w:rsid w:val="00DB5BC7"/>
    <w:rsid w:val="00DB5EDA"/>
    <w:rsid w:val="00DB6160"/>
    <w:rsid w:val="00DB6595"/>
    <w:rsid w:val="00DB66C3"/>
    <w:rsid w:val="00DB6847"/>
    <w:rsid w:val="00DB6D9D"/>
    <w:rsid w:val="00DB70BD"/>
    <w:rsid w:val="00DB78C4"/>
    <w:rsid w:val="00DC0859"/>
    <w:rsid w:val="00DC0967"/>
    <w:rsid w:val="00DC0AA7"/>
    <w:rsid w:val="00DC1D46"/>
    <w:rsid w:val="00DC1D5A"/>
    <w:rsid w:val="00DC2729"/>
    <w:rsid w:val="00DC2BAE"/>
    <w:rsid w:val="00DC320C"/>
    <w:rsid w:val="00DC3684"/>
    <w:rsid w:val="00DC3808"/>
    <w:rsid w:val="00DC3A58"/>
    <w:rsid w:val="00DC3E20"/>
    <w:rsid w:val="00DC3E3D"/>
    <w:rsid w:val="00DC41C7"/>
    <w:rsid w:val="00DC43B7"/>
    <w:rsid w:val="00DC459B"/>
    <w:rsid w:val="00DC49A9"/>
    <w:rsid w:val="00DC5626"/>
    <w:rsid w:val="00DC5864"/>
    <w:rsid w:val="00DC6997"/>
    <w:rsid w:val="00DC6B63"/>
    <w:rsid w:val="00DC6C6A"/>
    <w:rsid w:val="00DC6CF6"/>
    <w:rsid w:val="00DC7C11"/>
    <w:rsid w:val="00DC7C54"/>
    <w:rsid w:val="00DC7D55"/>
    <w:rsid w:val="00DD0149"/>
    <w:rsid w:val="00DD042D"/>
    <w:rsid w:val="00DD0B33"/>
    <w:rsid w:val="00DD0DE6"/>
    <w:rsid w:val="00DD0F3B"/>
    <w:rsid w:val="00DD162C"/>
    <w:rsid w:val="00DD1689"/>
    <w:rsid w:val="00DD2A08"/>
    <w:rsid w:val="00DD3362"/>
    <w:rsid w:val="00DD388E"/>
    <w:rsid w:val="00DD42B8"/>
    <w:rsid w:val="00DD4320"/>
    <w:rsid w:val="00DD4517"/>
    <w:rsid w:val="00DD455B"/>
    <w:rsid w:val="00DD459E"/>
    <w:rsid w:val="00DD4C91"/>
    <w:rsid w:val="00DD5134"/>
    <w:rsid w:val="00DD5498"/>
    <w:rsid w:val="00DD5512"/>
    <w:rsid w:val="00DD56FE"/>
    <w:rsid w:val="00DD5834"/>
    <w:rsid w:val="00DD5B80"/>
    <w:rsid w:val="00DD5E1F"/>
    <w:rsid w:val="00DD634D"/>
    <w:rsid w:val="00DD7031"/>
    <w:rsid w:val="00DD7D56"/>
    <w:rsid w:val="00DE0473"/>
    <w:rsid w:val="00DE07DF"/>
    <w:rsid w:val="00DE0F7B"/>
    <w:rsid w:val="00DE114A"/>
    <w:rsid w:val="00DE1F86"/>
    <w:rsid w:val="00DE26EB"/>
    <w:rsid w:val="00DE28B2"/>
    <w:rsid w:val="00DE2962"/>
    <w:rsid w:val="00DE2D2E"/>
    <w:rsid w:val="00DE2DA3"/>
    <w:rsid w:val="00DE303A"/>
    <w:rsid w:val="00DE30D5"/>
    <w:rsid w:val="00DE3753"/>
    <w:rsid w:val="00DE4B4A"/>
    <w:rsid w:val="00DE5051"/>
    <w:rsid w:val="00DE5301"/>
    <w:rsid w:val="00DE5850"/>
    <w:rsid w:val="00DE58EF"/>
    <w:rsid w:val="00DE6AA7"/>
    <w:rsid w:val="00DE7090"/>
    <w:rsid w:val="00DE70D4"/>
    <w:rsid w:val="00DE7359"/>
    <w:rsid w:val="00DF0036"/>
    <w:rsid w:val="00DF0071"/>
    <w:rsid w:val="00DF038F"/>
    <w:rsid w:val="00DF0C53"/>
    <w:rsid w:val="00DF0CBD"/>
    <w:rsid w:val="00DF0F51"/>
    <w:rsid w:val="00DF189A"/>
    <w:rsid w:val="00DF1BF0"/>
    <w:rsid w:val="00DF2225"/>
    <w:rsid w:val="00DF2411"/>
    <w:rsid w:val="00DF266C"/>
    <w:rsid w:val="00DF2A59"/>
    <w:rsid w:val="00DF2CFC"/>
    <w:rsid w:val="00DF316B"/>
    <w:rsid w:val="00DF3205"/>
    <w:rsid w:val="00DF35CB"/>
    <w:rsid w:val="00DF390B"/>
    <w:rsid w:val="00DF395A"/>
    <w:rsid w:val="00DF3CF5"/>
    <w:rsid w:val="00DF47E4"/>
    <w:rsid w:val="00DF4C40"/>
    <w:rsid w:val="00DF4D9E"/>
    <w:rsid w:val="00DF506E"/>
    <w:rsid w:val="00DF6031"/>
    <w:rsid w:val="00DF65CE"/>
    <w:rsid w:val="00DF6D44"/>
    <w:rsid w:val="00DF6DE8"/>
    <w:rsid w:val="00DF720E"/>
    <w:rsid w:val="00DF75C3"/>
    <w:rsid w:val="00DF7930"/>
    <w:rsid w:val="00E0079C"/>
    <w:rsid w:val="00E0089B"/>
    <w:rsid w:val="00E00C4A"/>
    <w:rsid w:val="00E00D17"/>
    <w:rsid w:val="00E00EFD"/>
    <w:rsid w:val="00E00F06"/>
    <w:rsid w:val="00E0131C"/>
    <w:rsid w:val="00E0143D"/>
    <w:rsid w:val="00E023F4"/>
    <w:rsid w:val="00E027EC"/>
    <w:rsid w:val="00E02949"/>
    <w:rsid w:val="00E02A3D"/>
    <w:rsid w:val="00E03585"/>
    <w:rsid w:val="00E0383B"/>
    <w:rsid w:val="00E03999"/>
    <w:rsid w:val="00E04E5A"/>
    <w:rsid w:val="00E05250"/>
    <w:rsid w:val="00E055AF"/>
    <w:rsid w:val="00E0637C"/>
    <w:rsid w:val="00E06762"/>
    <w:rsid w:val="00E071F7"/>
    <w:rsid w:val="00E07421"/>
    <w:rsid w:val="00E07B65"/>
    <w:rsid w:val="00E07CC6"/>
    <w:rsid w:val="00E10080"/>
    <w:rsid w:val="00E10248"/>
    <w:rsid w:val="00E11127"/>
    <w:rsid w:val="00E11266"/>
    <w:rsid w:val="00E11C92"/>
    <w:rsid w:val="00E11D22"/>
    <w:rsid w:val="00E11D46"/>
    <w:rsid w:val="00E12163"/>
    <w:rsid w:val="00E124BA"/>
    <w:rsid w:val="00E12C14"/>
    <w:rsid w:val="00E13075"/>
    <w:rsid w:val="00E134F6"/>
    <w:rsid w:val="00E13675"/>
    <w:rsid w:val="00E13715"/>
    <w:rsid w:val="00E14D8C"/>
    <w:rsid w:val="00E14DF2"/>
    <w:rsid w:val="00E14EE6"/>
    <w:rsid w:val="00E1504C"/>
    <w:rsid w:val="00E1513C"/>
    <w:rsid w:val="00E15453"/>
    <w:rsid w:val="00E15BA4"/>
    <w:rsid w:val="00E15F84"/>
    <w:rsid w:val="00E160DF"/>
    <w:rsid w:val="00E162B7"/>
    <w:rsid w:val="00E163A6"/>
    <w:rsid w:val="00E166B1"/>
    <w:rsid w:val="00E1698B"/>
    <w:rsid w:val="00E16E29"/>
    <w:rsid w:val="00E17062"/>
    <w:rsid w:val="00E20120"/>
    <w:rsid w:val="00E203F0"/>
    <w:rsid w:val="00E209B6"/>
    <w:rsid w:val="00E20E18"/>
    <w:rsid w:val="00E21190"/>
    <w:rsid w:val="00E21241"/>
    <w:rsid w:val="00E212F2"/>
    <w:rsid w:val="00E214C0"/>
    <w:rsid w:val="00E21E6C"/>
    <w:rsid w:val="00E228C4"/>
    <w:rsid w:val="00E23436"/>
    <w:rsid w:val="00E23BC2"/>
    <w:rsid w:val="00E245D8"/>
    <w:rsid w:val="00E24CFB"/>
    <w:rsid w:val="00E24E79"/>
    <w:rsid w:val="00E250FC"/>
    <w:rsid w:val="00E25123"/>
    <w:rsid w:val="00E251F6"/>
    <w:rsid w:val="00E25AEA"/>
    <w:rsid w:val="00E25CCD"/>
    <w:rsid w:val="00E25E4C"/>
    <w:rsid w:val="00E2621B"/>
    <w:rsid w:val="00E26548"/>
    <w:rsid w:val="00E268B5"/>
    <w:rsid w:val="00E26BB8"/>
    <w:rsid w:val="00E26E82"/>
    <w:rsid w:val="00E27795"/>
    <w:rsid w:val="00E305AF"/>
    <w:rsid w:val="00E3095F"/>
    <w:rsid w:val="00E315EA"/>
    <w:rsid w:val="00E316DB"/>
    <w:rsid w:val="00E31D01"/>
    <w:rsid w:val="00E32632"/>
    <w:rsid w:val="00E32A7B"/>
    <w:rsid w:val="00E32FF2"/>
    <w:rsid w:val="00E33745"/>
    <w:rsid w:val="00E3384D"/>
    <w:rsid w:val="00E33A1C"/>
    <w:rsid w:val="00E33EBB"/>
    <w:rsid w:val="00E344B1"/>
    <w:rsid w:val="00E34B03"/>
    <w:rsid w:val="00E35167"/>
    <w:rsid w:val="00E35BB9"/>
    <w:rsid w:val="00E35C51"/>
    <w:rsid w:val="00E36A30"/>
    <w:rsid w:val="00E36FA6"/>
    <w:rsid w:val="00E374A6"/>
    <w:rsid w:val="00E37655"/>
    <w:rsid w:val="00E377B0"/>
    <w:rsid w:val="00E40460"/>
    <w:rsid w:val="00E410FD"/>
    <w:rsid w:val="00E414C1"/>
    <w:rsid w:val="00E41AB7"/>
    <w:rsid w:val="00E41B7C"/>
    <w:rsid w:val="00E41E58"/>
    <w:rsid w:val="00E41FC2"/>
    <w:rsid w:val="00E4200D"/>
    <w:rsid w:val="00E4216C"/>
    <w:rsid w:val="00E42CB6"/>
    <w:rsid w:val="00E43043"/>
    <w:rsid w:val="00E439FD"/>
    <w:rsid w:val="00E43F5A"/>
    <w:rsid w:val="00E441BA"/>
    <w:rsid w:val="00E442B2"/>
    <w:rsid w:val="00E446F7"/>
    <w:rsid w:val="00E452C0"/>
    <w:rsid w:val="00E464E4"/>
    <w:rsid w:val="00E468F3"/>
    <w:rsid w:val="00E46BA8"/>
    <w:rsid w:val="00E46CC9"/>
    <w:rsid w:val="00E46EAE"/>
    <w:rsid w:val="00E46F4F"/>
    <w:rsid w:val="00E471B7"/>
    <w:rsid w:val="00E5055D"/>
    <w:rsid w:val="00E5083D"/>
    <w:rsid w:val="00E50C53"/>
    <w:rsid w:val="00E50F52"/>
    <w:rsid w:val="00E512D5"/>
    <w:rsid w:val="00E51928"/>
    <w:rsid w:val="00E519DB"/>
    <w:rsid w:val="00E51F4B"/>
    <w:rsid w:val="00E521A3"/>
    <w:rsid w:val="00E523C9"/>
    <w:rsid w:val="00E526FA"/>
    <w:rsid w:val="00E52CC0"/>
    <w:rsid w:val="00E52D22"/>
    <w:rsid w:val="00E539D8"/>
    <w:rsid w:val="00E5446A"/>
    <w:rsid w:val="00E544D1"/>
    <w:rsid w:val="00E5456B"/>
    <w:rsid w:val="00E54626"/>
    <w:rsid w:val="00E54655"/>
    <w:rsid w:val="00E54A3E"/>
    <w:rsid w:val="00E54DF2"/>
    <w:rsid w:val="00E54F92"/>
    <w:rsid w:val="00E55196"/>
    <w:rsid w:val="00E55427"/>
    <w:rsid w:val="00E555A5"/>
    <w:rsid w:val="00E5577D"/>
    <w:rsid w:val="00E557DE"/>
    <w:rsid w:val="00E5599D"/>
    <w:rsid w:val="00E55D3A"/>
    <w:rsid w:val="00E56975"/>
    <w:rsid w:val="00E56CB0"/>
    <w:rsid w:val="00E57A6C"/>
    <w:rsid w:val="00E57E13"/>
    <w:rsid w:val="00E57F6E"/>
    <w:rsid w:val="00E6117D"/>
    <w:rsid w:val="00E61559"/>
    <w:rsid w:val="00E61628"/>
    <w:rsid w:val="00E61782"/>
    <w:rsid w:val="00E61BC5"/>
    <w:rsid w:val="00E61CED"/>
    <w:rsid w:val="00E62344"/>
    <w:rsid w:val="00E624C0"/>
    <w:rsid w:val="00E62CB4"/>
    <w:rsid w:val="00E630FD"/>
    <w:rsid w:val="00E63307"/>
    <w:rsid w:val="00E63441"/>
    <w:rsid w:val="00E63A5D"/>
    <w:rsid w:val="00E64241"/>
    <w:rsid w:val="00E64246"/>
    <w:rsid w:val="00E64429"/>
    <w:rsid w:val="00E649CE"/>
    <w:rsid w:val="00E64A32"/>
    <w:rsid w:val="00E64D01"/>
    <w:rsid w:val="00E655D2"/>
    <w:rsid w:val="00E6619A"/>
    <w:rsid w:val="00E6687E"/>
    <w:rsid w:val="00E66BF0"/>
    <w:rsid w:val="00E66EE1"/>
    <w:rsid w:val="00E67070"/>
    <w:rsid w:val="00E67332"/>
    <w:rsid w:val="00E6736B"/>
    <w:rsid w:val="00E67A37"/>
    <w:rsid w:val="00E709C6"/>
    <w:rsid w:val="00E70E12"/>
    <w:rsid w:val="00E7121E"/>
    <w:rsid w:val="00E71B0A"/>
    <w:rsid w:val="00E71DBA"/>
    <w:rsid w:val="00E73030"/>
    <w:rsid w:val="00E73171"/>
    <w:rsid w:val="00E731A4"/>
    <w:rsid w:val="00E735EA"/>
    <w:rsid w:val="00E73876"/>
    <w:rsid w:val="00E73C11"/>
    <w:rsid w:val="00E74C20"/>
    <w:rsid w:val="00E75416"/>
    <w:rsid w:val="00E75607"/>
    <w:rsid w:val="00E758EE"/>
    <w:rsid w:val="00E7688D"/>
    <w:rsid w:val="00E769C7"/>
    <w:rsid w:val="00E769CB"/>
    <w:rsid w:val="00E76BC4"/>
    <w:rsid w:val="00E76ED6"/>
    <w:rsid w:val="00E76F99"/>
    <w:rsid w:val="00E7775D"/>
    <w:rsid w:val="00E8013A"/>
    <w:rsid w:val="00E8016F"/>
    <w:rsid w:val="00E80706"/>
    <w:rsid w:val="00E80F79"/>
    <w:rsid w:val="00E81277"/>
    <w:rsid w:val="00E8143C"/>
    <w:rsid w:val="00E81E56"/>
    <w:rsid w:val="00E82281"/>
    <w:rsid w:val="00E8241F"/>
    <w:rsid w:val="00E825C3"/>
    <w:rsid w:val="00E82C34"/>
    <w:rsid w:val="00E8325A"/>
    <w:rsid w:val="00E83497"/>
    <w:rsid w:val="00E8366A"/>
    <w:rsid w:val="00E83980"/>
    <w:rsid w:val="00E84015"/>
    <w:rsid w:val="00E84246"/>
    <w:rsid w:val="00E84C9A"/>
    <w:rsid w:val="00E84F61"/>
    <w:rsid w:val="00E85365"/>
    <w:rsid w:val="00E853AA"/>
    <w:rsid w:val="00E85E31"/>
    <w:rsid w:val="00E86A75"/>
    <w:rsid w:val="00E86C7A"/>
    <w:rsid w:val="00E877DB"/>
    <w:rsid w:val="00E87A30"/>
    <w:rsid w:val="00E903BB"/>
    <w:rsid w:val="00E92156"/>
    <w:rsid w:val="00E92E06"/>
    <w:rsid w:val="00E9359C"/>
    <w:rsid w:val="00E9392A"/>
    <w:rsid w:val="00E94129"/>
    <w:rsid w:val="00E94F77"/>
    <w:rsid w:val="00E95253"/>
    <w:rsid w:val="00E95703"/>
    <w:rsid w:val="00E960E4"/>
    <w:rsid w:val="00E96196"/>
    <w:rsid w:val="00E971F8"/>
    <w:rsid w:val="00E972D9"/>
    <w:rsid w:val="00E976FE"/>
    <w:rsid w:val="00E97750"/>
    <w:rsid w:val="00E979F6"/>
    <w:rsid w:val="00EA02B9"/>
    <w:rsid w:val="00EA089E"/>
    <w:rsid w:val="00EA0D77"/>
    <w:rsid w:val="00EA15F2"/>
    <w:rsid w:val="00EA1779"/>
    <w:rsid w:val="00EA1D36"/>
    <w:rsid w:val="00EA22BF"/>
    <w:rsid w:val="00EA252B"/>
    <w:rsid w:val="00EA299A"/>
    <w:rsid w:val="00EA307B"/>
    <w:rsid w:val="00EA3305"/>
    <w:rsid w:val="00EA3369"/>
    <w:rsid w:val="00EA33F1"/>
    <w:rsid w:val="00EA3504"/>
    <w:rsid w:val="00EA3772"/>
    <w:rsid w:val="00EA3CF3"/>
    <w:rsid w:val="00EA3DF9"/>
    <w:rsid w:val="00EA42D0"/>
    <w:rsid w:val="00EA4530"/>
    <w:rsid w:val="00EA45DB"/>
    <w:rsid w:val="00EA4C98"/>
    <w:rsid w:val="00EA5512"/>
    <w:rsid w:val="00EA5596"/>
    <w:rsid w:val="00EA5C68"/>
    <w:rsid w:val="00EA5EAB"/>
    <w:rsid w:val="00EA5FCD"/>
    <w:rsid w:val="00EA60E9"/>
    <w:rsid w:val="00EA6128"/>
    <w:rsid w:val="00EA6BD2"/>
    <w:rsid w:val="00EA6C77"/>
    <w:rsid w:val="00EA707F"/>
    <w:rsid w:val="00EA744E"/>
    <w:rsid w:val="00EA7C18"/>
    <w:rsid w:val="00EA7CDB"/>
    <w:rsid w:val="00EA7FFB"/>
    <w:rsid w:val="00EB1206"/>
    <w:rsid w:val="00EB196F"/>
    <w:rsid w:val="00EB1DF3"/>
    <w:rsid w:val="00EB2051"/>
    <w:rsid w:val="00EB2EB7"/>
    <w:rsid w:val="00EB5046"/>
    <w:rsid w:val="00EB5368"/>
    <w:rsid w:val="00EB5EA4"/>
    <w:rsid w:val="00EB6557"/>
    <w:rsid w:val="00EB6712"/>
    <w:rsid w:val="00EB7E61"/>
    <w:rsid w:val="00EB7F81"/>
    <w:rsid w:val="00EC049B"/>
    <w:rsid w:val="00EC0B6A"/>
    <w:rsid w:val="00EC0C1E"/>
    <w:rsid w:val="00EC18AE"/>
    <w:rsid w:val="00EC2BED"/>
    <w:rsid w:val="00EC40C2"/>
    <w:rsid w:val="00EC4D10"/>
    <w:rsid w:val="00EC52BD"/>
    <w:rsid w:val="00EC56FC"/>
    <w:rsid w:val="00EC5A4B"/>
    <w:rsid w:val="00EC5CB4"/>
    <w:rsid w:val="00EC5D9F"/>
    <w:rsid w:val="00EC6438"/>
    <w:rsid w:val="00EC6859"/>
    <w:rsid w:val="00EC69D1"/>
    <w:rsid w:val="00EC78AD"/>
    <w:rsid w:val="00EC7BD1"/>
    <w:rsid w:val="00ED07E2"/>
    <w:rsid w:val="00ED0889"/>
    <w:rsid w:val="00ED1798"/>
    <w:rsid w:val="00ED1BA4"/>
    <w:rsid w:val="00ED1FAC"/>
    <w:rsid w:val="00ED2196"/>
    <w:rsid w:val="00ED21CB"/>
    <w:rsid w:val="00ED2BFA"/>
    <w:rsid w:val="00ED2E4A"/>
    <w:rsid w:val="00ED3588"/>
    <w:rsid w:val="00ED3A6F"/>
    <w:rsid w:val="00ED59B2"/>
    <w:rsid w:val="00ED5A86"/>
    <w:rsid w:val="00ED6738"/>
    <w:rsid w:val="00ED6FB4"/>
    <w:rsid w:val="00ED708A"/>
    <w:rsid w:val="00ED771A"/>
    <w:rsid w:val="00ED7780"/>
    <w:rsid w:val="00EE01E0"/>
    <w:rsid w:val="00EE0309"/>
    <w:rsid w:val="00EE0D54"/>
    <w:rsid w:val="00EE2161"/>
    <w:rsid w:val="00EE2C0B"/>
    <w:rsid w:val="00EE3377"/>
    <w:rsid w:val="00EE3C4E"/>
    <w:rsid w:val="00EE4522"/>
    <w:rsid w:val="00EE4AF8"/>
    <w:rsid w:val="00EE4D4E"/>
    <w:rsid w:val="00EE51F6"/>
    <w:rsid w:val="00EE5AD2"/>
    <w:rsid w:val="00EF0195"/>
    <w:rsid w:val="00EF0468"/>
    <w:rsid w:val="00EF0CB6"/>
    <w:rsid w:val="00EF1004"/>
    <w:rsid w:val="00EF1272"/>
    <w:rsid w:val="00EF162E"/>
    <w:rsid w:val="00EF1977"/>
    <w:rsid w:val="00EF1B6A"/>
    <w:rsid w:val="00EF25AF"/>
    <w:rsid w:val="00EF2614"/>
    <w:rsid w:val="00EF2A20"/>
    <w:rsid w:val="00EF333D"/>
    <w:rsid w:val="00EF3632"/>
    <w:rsid w:val="00EF3EEB"/>
    <w:rsid w:val="00EF4B28"/>
    <w:rsid w:val="00EF4C77"/>
    <w:rsid w:val="00EF53B9"/>
    <w:rsid w:val="00EF55F2"/>
    <w:rsid w:val="00EF58F9"/>
    <w:rsid w:val="00EF59AA"/>
    <w:rsid w:val="00EF617C"/>
    <w:rsid w:val="00EF6199"/>
    <w:rsid w:val="00EF6E3B"/>
    <w:rsid w:val="00EF70E7"/>
    <w:rsid w:val="00EF716B"/>
    <w:rsid w:val="00EF71FA"/>
    <w:rsid w:val="00EF7310"/>
    <w:rsid w:val="00EF7658"/>
    <w:rsid w:val="00EF7D01"/>
    <w:rsid w:val="00F00018"/>
    <w:rsid w:val="00F003A0"/>
    <w:rsid w:val="00F004C7"/>
    <w:rsid w:val="00F005A8"/>
    <w:rsid w:val="00F005FB"/>
    <w:rsid w:val="00F00BBC"/>
    <w:rsid w:val="00F019D8"/>
    <w:rsid w:val="00F01C50"/>
    <w:rsid w:val="00F01EFA"/>
    <w:rsid w:val="00F022B5"/>
    <w:rsid w:val="00F0317B"/>
    <w:rsid w:val="00F043C7"/>
    <w:rsid w:val="00F04E75"/>
    <w:rsid w:val="00F04F8D"/>
    <w:rsid w:val="00F05111"/>
    <w:rsid w:val="00F05737"/>
    <w:rsid w:val="00F059DD"/>
    <w:rsid w:val="00F05B9E"/>
    <w:rsid w:val="00F0682F"/>
    <w:rsid w:val="00F06A8E"/>
    <w:rsid w:val="00F06C35"/>
    <w:rsid w:val="00F0792E"/>
    <w:rsid w:val="00F07C0C"/>
    <w:rsid w:val="00F07EDC"/>
    <w:rsid w:val="00F1039E"/>
    <w:rsid w:val="00F1065D"/>
    <w:rsid w:val="00F10C0D"/>
    <w:rsid w:val="00F10C59"/>
    <w:rsid w:val="00F11723"/>
    <w:rsid w:val="00F11AC6"/>
    <w:rsid w:val="00F124BE"/>
    <w:rsid w:val="00F124D0"/>
    <w:rsid w:val="00F1269E"/>
    <w:rsid w:val="00F1306D"/>
    <w:rsid w:val="00F1333F"/>
    <w:rsid w:val="00F143BE"/>
    <w:rsid w:val="00F145DB"/>
    <w:rsid w:val="00F14629"/>
    <w:rsid w:val="00F1542B"/>
    <w:rsid w:val="00F154F9"/>
    <w:rsid w:val="00F15F76"/>
    <w:rsid w:val="00F1660C"/>
    <w:rsid w:val="00F17538"/>
    <w:rsid w:val="00F1753E"/>
    <w:rsid w:val="00F1756A"/>
    <w:rsid w:val="00F1763F"/>
    <w:rsid w:val="00F20075"/>
    <w:rsid w:val="00F202F2"/>
    <w:rsid w:val="00F203F3"/>
    <w:rsid w:val="00F20E57"/>
    <w:rsid w:val="00F217CE"/>
    <w:rsid w:val="00F21D18"/>
    <w:rsid w:val="00F2260D"/>
    <w:rsid w:val="00F226EC"/>
    <w:rsid w:val="00F23687"/>
    <w:rsid w:val="00F240C0"/>
    <w:rsid w:val="00F2447C"/>
    <w:rsid w:val="00F24614"/>
    <w:rsid w:val="00F24DA9"/>
    <w:rsid w:val="00F253D7"/>
    <w:rsid w:val="00F256C2"/>
    <w:rsid w:val="00F25F46"/>
    <w:rsid w:val="00F26511"/>
    <w:rsid w:val="00F274C3"/>
    <w:rsid w:val="00F274F5"/>
    <w:rsid w:val="00F277DA"/>
    <w:rsid w:val="00F27E10"/>
    <w:rsid w:val="00F30764"/>
    <w:rsid w:val="00F30875"/>
    <w:rsid w:val="00F30E1E"/>
    <w:rsid w:val="00F30EFA"/>
    <w:rsid w:val="00F3171D"/>
    <w:rsid w:val="00F31CBF"/>
    <w:rsid w:val="00F32700"/>
    <w:rsid w:val="00F328FF"/>
    <w:rsid w:val="00F32B64"/>
    <w:rsid w:val="00F32BD2"/>
    <w:rsid w:val="00F336B0"/>
    <w:rsid w:val="00F33856"/>
    <w:rsid w:val="00F33EA7"/>
    <w:rsid w:val="00F340CE"/>
    <w:rsid w:val="00F35C9B"/>
    <w:rsid w:val="00F369CF"/>
    <w:rsid w:val="00F36A74"/>
    <w:rsid w:val="00F40622"/>
    <w:rsid w:val="00F40631"/>
    <w:rsid w:val="00F414D8"/>
    <w:rsid w:val="00F4199B"/>
    <w:rsid w:val="00F41A68"/>
    <w:rsid w:val="00F42A9D"/>
    <w:rsid w:val="00F42C61"/>
    <w:rsid w:val="00F434E5"/>
    <w:rsid w:val="00F44903"/>
    <w:rsid w:val="00F44C4C"/>
    <w:rsid w:val="00F452B2"/>
    <w:rsid w:val="00F45BC4"/>
    <w:rsid w:val="00F463F1"/>
    <w:rsid w:val="00F4649E"/>
    <w:rsid w:val="00F46A71"/>
    <w:rsid w:val="00F46CC3"/>
    <w:rsid w:val="00F46E2C"/>
    <w:rsid w:val="00F46FB1"/>
    <w:rsid w:val="00F47CB8"/>
    <w:rsid w:val="00F47EBC"/>
    <w:rsid w:val="00F505E2"/>
    <w:rsid w:val="00F5089D"/>
    <w:rsid w:val="00F508B7"/>
    <w:rsid w:val="00F50954"/>
    <w:rsid w:val="00F50BF3"/>
    <w:rsid w:val="00F510A1"/>
    <w:rsid w:val="00F5245B"/>
    <w:rsid w:val="00F52637"/>
    <w:rsid w:val="00F52C7B"/>
    <w:rsid w:val="00F52EA8"/>
    <w:rsid w:val="00F53001"/>
    <w:rsid w:val="00F533B2"/>
    <w:rsid w:val="00F53CD9"/>
    <w:rsid w:val="00F54065"/>
    <w:rsid w:val="00F5537D"/>
    <w:rsid w:val="00F5576B"/>
    <w:rsid w:val="00F55B75"/>
    <w:rsid w:val="00F564E8"/>
    <w:rsid w:val="00F571F9"/>
    <w:rsid w:val="00F574D5"/>
    <w:rsid w:val="00F57EA8"/>
    <w:rsid w:val="00F60604"/>
    <w:rsid w:val="00F606E7"/>
    <w:rsid w:val="00F60A53"/>
    <w:rsid w:val="00F60C25"/>
    <w:rsid w:val="00F61125"/>
    <w:rsid w:val="00F613A5"/>
    <w:rsid w:val="00F62256"/>
    <w:rsid w:val="00F62B99"/>
    <w:rsid w:val="00F62E0C"/>
    <w:rsid w:val="00F63365"/>
    <w:rsid w:val="00F634B6"/>
    <w:rsid w:val="00F6351A"/>
    <w:rsid w:val="00F6365E"/>
    <w:rsid w:val="00F63831"/>
    <w:rsid w:val="00F63832"/>
    <w:rsid w:val="00F6392E"/>
    <w:rsid w:val="00F63D17"/>
    <w:rsid w:val="00F64095"/>
    <w:rsid w:val="00F64533"/>
    <w:rsid w:val="00F648E5"/>
    <w:rsid w:val="00F64F34"/>
    <w:rsid w:val="00F64F73"/>
    <w:rsid w:val="00F65A71"/>
    <w:rsid w:val="00F65FB0"/>
    <w:rsid w:val="00F66F02"/>
    <w:rsid w:val="00F678D7"/>
    <w:rsid w:val="00F67988"/>
    <w:rsid w:val="00F70BB9"/>
    <w:rsid w:val="00F70E5B"/>
    <w:rsid w:val="00F712A8"/>
    <w:rsid w:val="00F7143F"/>
    <w:rsid w:val="00F717B3"/>
    <w:rsid w:val="00F7220C"/>
    <w:rsid w:val="00F72E11"/>
    <w:rsid w:val="00F72E86"/>
    <w:rsid w:val="00F73CD3"/>
    <w:rsid w:val="00F74362"/>
    <w:rsid w:val="00F74634"/>
    <w:rsid w:val="00F746A9"/>
    <w:rsid w:val="00F74C78"/>
    <w:rsid w:val="00F753D9"/>
    <w:rsid w:val="00F75BC6"/>
    <w:rsid w:val="00F75DEE"/>
    <w:rsid w:val="00F764AB"/>
    <w:rsid w:val="00F76A70"/>
    <w:rsid w:val="00F76CEB"/>
    <w:rsid w:val="00F77079"/>
    <w:rsid w:val="00F808F0"/>
    <w:rsid w:val="00F81593"/>
    <w:rsid w:val="00F81733"/>
    <w:rsid w:val="00F81D7E"/>
    <w:rsid w:val="00F82BFB"/>
    <w:rsid w:val="00F82D49"/>
    <w:rsid w:val="00F82ECF"/>
    <w:rsid w:val="00F8304B"/>
    <w:rsid w:val="00F8304D"/>
    <w:rsid w:val="00F83612"/>
    <w:rsid w:val="00F83806"/>
    <w:rsid w:val="00F83F5D"/>
    <w:rsid w:val="00F84845"/>
    <w:rsid w:val="00F84E33"/>
    <w:rsid w:val="00F85097"/>
    <w:rsid w:val="00F867E6"/>
    <w:rsid w:val="00F87162"/>
    <w:rsid w:val="00F9120F"/>
    <w:rsid w:val="00F91AD8"/>
    <w:rsid w:val="00F91D02"/>
    <w:rsid w:val="00F9218A"/>
    <w:rsid w:val="00F9219B"/>
    <w:rsid w:val="00F92AD7"/>
    <w:rsid w:val="00F9309D"/>
    <w:rsid w:val="00F932A3"/>
    <w:rsid w:val="00F93B32"/>
    <w:rsid w:val="00F9497C"/>
    <w:rsid w:val="00F94B90"/>
    <w:rsid w:val="00F95065"/>
    <w:rsid w:val="00F958F6"/>
    <w:rsid w:val="00F95A46"/>
    <w:rsid w:val="00F95DB2"/>
    <w:rsid w:val="00F96109"/>
    <w:rsid w:val="00F96C2D"/>
    <w:rsid w:val="00F96D00"/>
    <w:rsid w:val="00F97F20"/>
    <w:rsid w:val="00FA072C"/>
    <w:rsid w:val="00FA07DE"/>
    <w:rsid w:val="00FA0A27"/>
    <w:rsid w:val="00FA12DD"/>
    <w:rsid w:val="00FA17D1"/>
    <w:rsid w:val="00FA1A9D"/>
    <w:rsid w:val="00FA1F66"/>
    <w:rsid w:val="00FA2070"/>
    <w:rsid w:val="00FA26BC"/>
    <w:rsid w:val="00FA2D09"/>
    <w:rsid w:val="00FA3089"/>
    <w:rsid w:val="00FA3204"/>
    <w:rsid w:val="00FA36E3"/>
    <w:rsid w:val="00FA3996"/>
    <w:rsid w:val="00FA3C16"/>
    <w:rsid w:val="00FA4125"/>
    <w:rsid w:val="00FA4A4D"/>
    <w:rsid w:val="00FA52D9"/>
    <w:rsid w:val="00FA5306"/>
    <w:rsid w:val="00FA531F"/>
    <w:rsid w:val="00FA5A92"/>
    <w:rsid w:val="00FA5B86"/>
    <w:rsid w:val="00FA5BA8"/>
    <w:rsid w:val="00FA6149"/>
    <w:rsid w:val="00FA6A7F"/>
    <w:rsid w:val="00FA6E1B"/>
    <w:rsid w:val="00FA6FEE"/>
    <w:rsid w:val="00FA744C"/>
    <w:rsid w:val="00FA7BFD"/>
    <w:rsid w:val="00FA7DCC"/>
    <w:rsid w:val="00FA7E3C"/>
    <w:rsid w:val="00FB0015"/>
    <w:rsid w:val="00FB1316"/>
    <w:rsid w:val="00FB18E8"/>
    <w:rsid w:val="00FB2A6D"/>
    <w:rsid w:val="00FB3650"/>
    <w:rsid w:val="00FB3654"/>
    <w:rsid w:val="00FB41A8"/>
    <w:rsid w:val="00FB4EFD"/>
    <w:rsid w:val="00FB560A"/>
    <w:rsid w:val="00FB638F"/>
    <w:rsid w:val="00FB640A"/>
    <w:rsid w:val="00FB6672"/>
    <w:rsid w:val="00FB6F5D"/>
    <w:rsid w:val="00FB71BF"/>
    <w:rsid w:val="00FB799D"/>
    <w:rsid w:val="00FC01FC"/>
    <w:rsid w:val="00FC1237"/>
    <w:rsid w:val="00FC13BF"/>
    <w:rsid w:val="00FC1730"/>
    <w:rsid w:val="00FC2600"/>
    <w:rsid w:val="00FC267C"/>
    <w:rsid w:val="00FC302F"/>
    <w:rsid w:val="00FC34F8"/>
    <w:rsid w:val="00FC3888"/>
    <w:rsid w:val="00FC4690"/>
    <w:rsid w:val="00FC48F0"/>
    <w:rsid w:val="00FC55A8"/>
    <w:rsid w:val="00FC6515"/>
    <w:rsid w:val="00FC7B02"/>
    <w:rsid w:val="00FC7B37"/>
    <w:rsid w:val="00FD0A41"/>
    <w:rsid w:val="00FD0A7B"/>
    <w:rsid w:val="00FD20E0"/>
    <w:rsid w:val="00FD2551"/>
    <w:rsid w:val="00FD2E54"/>
    <w:rsid w:val="00FD2FD8"/>
    <w:rsid w:val="00FD33C6"/>
    <w:rsid w:val="00FD37FB"/>
    <w:rsid w:val="00FD3843"/>
    <w:rsid w:val="00FD3DA1"/>
    <w:rsid w:val="00FD406F"/>
    <w:rsid w:val="00FD407C"/>
    <w:rsid w:val="00FD4EEE"/>
    <w:rsid w:val="00FD51CD"/>
    <w:rsid w:val="00FD52D1"/>
    <w:rsid w:val="00FD5785"/>
    <w:rsid w:val="00FD6B0A"/>
    <w:rsid w:val="00FD6D88"/>
    <w:rsid w:val="00FD6EED"/>
    <w:rsid w:val="00FD74B4"/>
    <w:rsid w:val="00FD77C5"/>
    <w:rsid w:val="00FD7926"/>
    <w:rsid w:val="00FD7D2C"/>
    <w:rsid w:val="00FD7DD9"/>
    <w:rsid w:val="00FE0EF4"/>
    <w:rsid w:val="00FE1C16"/>
    <w:rsid w:val="00FE1F17"/>
    <w:rsid w:val="00FE1FA8"/>
    <w:rsid w:val="00FE2279"/>
    <w:rsid w:val="00FE23DE"/>
    <w:rsid w:val="00FE275E"/>
    <w:rsid w:val="00FE27E6"/>
    <w:rsid w:val="00FE2D21"/>
    <w:rsid w:val="00FE2ECB"/>
    <w:rsid w:val="00FE3730"/>
    <w:rsid w:val="00FE3E36"/>
    <w:rsid w:val="00FE40B9"/>
    <w:rsid w:val="00FE4630"/>
    <w:rsid w:val="00FE4B0D"/>
    <w:rsid w:val="00FE5126"/>
    <w:rsid w:val="00FE563D"/>
    <w:rsid w:val="00FE5C30"/>
    <w:rsid w:val="00FE5D41"/>
    <w:rsid w:val="00FE648A"/>
    <w:rsid w:val="00FE64C8"/>
    <w:rsid w:val="00FE6FC7"/>
    <w:rsid w:val="00FE6FFC"/>
    <w:rsid w:val="00FE727D"/>
    <w:rsid w:val="00FF00D6"/>
    <w:rsid w:val="00FF0238"/>
    <w:rsid w:val="00FF0651"/>
    <w:rsid w:val="00FF0C17"/>
    <w:rsid w:val="00FF0EA5"/>
    <w:rsid w:val="00FF1127"/>
    <w:rsid w:val="00FF27E1"/>
    <w:rsid w:val="00FF30D3"/>
    <w:rsid w:val="00FF30DE"/>
    <w:rsid w:val="00FF3597"/>
    <w:rsid w:val="00FF3C27"/>
    <w:rsid w:val="00FF3C54"/>
    <w:rsid w:val="00FF442D"/>
    <w:rsid w:val="00FF4544"/>
    <w:rsid w:val="00FF6191"/>
    <w:rsid w:val="00FF65F0"/>
    <w:rsid w:val="00FF6BA4"/>
    <w:rsid w:val="0105793B"/>
    <w:rsid w:val="010653CD"/>
    <w:rsid w:val="010832A0"/>
    <w:rsid w:val="010E055B"/>
    <w:rsid w:val="0112397A"/>
    <w:rsid w:val="01131210"/>
    <w:rsid w:val="01172BEC"/>
    <w:rsid w:val="01214453"/>
    <w:rsid w:val="012162FB"/>
    <w:rsid w:val="01257F67"/>
    <w:rsid w:val="012737CF"/>
    <w:rsid w:val="012949F3"/>
    <w:rsid w:val="01317B7E"/>
    <w:rsid w:val="013635A1"/>
    <w:rsid w:val="013B2642"/>
    <w:rsid w:val="013D7AD1"/>
    <w:rsid w:val="014225AE"/>
    <w:rsid w:val="015347B1"/>
    <w:rsid w:val="015A7C33"/>
    <w:rsid w:val="016429B4"/>
    <w:rsid w:val="01661EB3"/>
    <w:rsid w:val="016F2EE1"/>
    <w:rsid w:val="016F6393"/>
    <w:rsid w:val="01750BF2"/>
    <w:rsid w:val="01790BDC"/>
    <w:rsid w:val="017A0A95"/>
    <w:rsid w:val="017E78AB"/>
    <w:rsid w:val="0181113A"/>
    <w:rsid w:val="018D640E"/>
    <w:rsid w:val="019B2A5D"/>
    <w:rsid w:val="01A7079D"/>
    <w:rsid w:val="01B166E8"/>
    <w:rsid w:val="01B44AB3"/>
    <w:rsid w:val="01BA1C0D"/>
    <w:rsid w:val="01BC5EAE"/>
    <w:rsid w:val="01BD1D23"/>
    <w:rsid w:val="01C73EDC"/>
    <w:rsid w:val="01C973E1"/>
    <w:rsid w:val="01D53047"/>
    <w:rsid w:val="01DF45AE"/>
    <w:rsid w:val="01E64357"/>
    <w:rsid w:val="01E82409"/>
    <w:rsid w:val="01EC3F79"/>
    <w:rsid w:val="01F11CDB"/>
    <w:rsid w:val="01FB3721"/>
    <w:rsid w:val="01FD0736"/>
    <w:rsid w:val="02054FDD"/>
    <w:rsid w:val="020D0A26"/>
    <w:rsid w:val="021B3B9A"/>
    <w:rsid w:val="021E471A"/>
    <w:rsid w:val="02256D32"/>
    <w:rsid w:val="0226404D"/>
    <w:rsid w:val="02316C67"/>
    <w:rsid w:val="02396DD7"/>
    <w:rsid w:val="023B0207"/>
    <w:rsid w:val="024E327D"/>
    <w:rsid w:val="025254C7"/>
    <w:rsid w:val="026256BA"/>
    <w:rsid w:val="02664EE1"/>
    <w:rsid w:val="027201B9"/>
    <w:rsid w:val="02724090"/>
    <w:rsid w:val="0274158C"/>
    <w:rsid w:val="02773605"/>
    <w:rsid w:val="027B3E58"/>
    <w:rsid w:val="02937251"/>
    <w:rsid w:val="02A1631A"/>
    <w:rsid w:val="02A81AED"/>
    <w:rsid w:val="02B240EF"/>
    <w:rsid w:val="02B402E3"/>
    <w:rsid w:val="02C26F76"/>
    <w:rsid w:val="02CF582A"/>
    <w:rsid w:val="02D11803"/>
    <w:rsid w:val="02D23469"/>
    <w:rsid w:val="02D40B7B"/>
    <w:rsid w:val="02DF2481"/>
    <w:rsid w:val="02E5012E"/>
    <w:rsid w:val="02EA61EA"/>
    <w:rsid w:val="02EB58AA"/>
    <w:rsid w:val="02EC5581"/>
    <w:rsid w:val="02F45F2C"/>
    <w:rsid w:val="02F64DA0"/>
    <w:rsid w:val="02F76930"/>
    <w:rsid w:val="02F93C88"/>
    <w:rsid w:val="030A2CCE"/>
    <w:rsid w:val="030D43D3"/>
    <w:rsid w:val="030F4DA1"/>
    <w:rsid w:val="03116238"/>
    <w:rsid w:val="03264EFC"/>
    <w:rsid w:val="032864A0"/>
    <w:rsid w:val="0332550A"/>
    <w:rsid w:val="033C1981"/>
    <w:rsid w:val="03414841"/>
    <w:rsid w:val="034370B6"/>
    <w:rsid w:val="03480222"/>
    <w:rsid w:val="034A1B6A"/>
    <w:rsid w:val="035352CC"/>
    <w:rsid w:val="0360434B"/>
    <w:rsid w:val="03626A91"/>
    <w:rsid w:val="0368511F"/>
    <w:rsid w:val="036F1210"/>
    <w:rsid w:val="03742BD7"/>
    <w:rsid w:val="037530D9"/>
    <w:rsid w:val="03786D7D"/>
    <w:rsid w:val="037C1BA6"/>
    <w:rsid w:val="037D50C7"/>
    <w:rsid w:val="037F12CE"/>
    <w:rsid w:val="03820AE9"/>
    <w:rsid w:val="038E0F8C"/>
    <w:rsid w:val="03922C8F"/>
    <w:rsid w:val="039A1A20"/>
    <w:rsid w:val="03A458C2"/>
    <w:rsid w:val="03A5557C"/>
    <w:rsid w:val="03AF0689"/>
    <w:rsid w:val="03B72B78"/>
    <w:rsid w:val="03B842AD"/>
    <w:rsid w:val="03B911D3"/>
    <w:rsid w:val="03BE21F1"/>
    <w:rsid w:val="03C2387C"/>
    <w:rsid w:val="03C761E7"/>
    <w:rsid w:val="03CD5584"/>
    <w:rsid w:val="03CD57F5"/>
    <w:rsid w:val="03D91777"/>
    <w:rsid w:val="03D958E4"/>
    <w:rsid w:val="03DB75CB"/>
    <w:rsid w:val="03DC2A7C"/>
    <w:rsid w:val="03DC5B3A"/>
    <w:rsid w:val="03DD635D"/>
    <w:rsid w:val="03DF445F"/>
    <w:rsid w:val="03E23A5B"/>
    <w:rsid w:val="03E35963"/>
    <w:rsid w:val="03EC78FF"/>
    <w:rsid w:val="03EF05D2"/>
    <w:rsid w:val="03EF48BA"/>
    <w:rsid w:val="03F17989"/>
    <w:rsid w:val="03F53FCE"/>
    <w:rsid w:val="03FC2580"/>
    <w:rsid w:val="03FE5B7F"/>
    <w:rsid w:val="04041834"/>
    <w:rsid w:val="04041F57"/>
    <w:rsid w:val="040862AC"/>
    <w:rsid w:val="040A4F38"/>
    <w:rsid w:val="04115862"/>
    <w:rsid w:val="041326F8"/>
    <w:rsid w:val="04162436"/>
    <w:rsid w:val="042E2924"/>
    <w:rsid w:val="043422B3"/>
    <w:rsid w:val="04354DA0"/>
    <w:rsid w:val="04371CFA"/>
    <w:rsid w:val="04372230"/>
    <w:rsid w:val="043C62CB"/>
    <w:rsid w:val="043F0B61"/>
    <w:rsid w:val="04500ACC"/>
    <w:rsid w:val="045571A0"/>
    <w:rsid w:val="04573EEA"/>
    <w:rsid w:val="046007F9"/>
    <w:rsid w:val="0469701B"/>
    <w:rsid w:val="047130CD"/>
    <w:rsid w:val="04756F17"/>
    <w:rsid w:val="04791BE7"/>
    <w:rsid w:val="047E0369"/>
    <w:rsid w:val="04812767"/>
    <w:rsid w:val="0481797D"/>
    <w:rsid w:val="04841194"/>
    <w:rsid w:val="0487789D"/>
    <w:rsid w:val="04896B99"/>
    <w:rsid w:val="048A53FB"/>
    <w:rsid w:val="048B3BB9"/>
    <w:rsid w:val="048E1D4C"/>
    <w:rsid w:val="04957B1C"/>
    <w:rsid w:val="049D28C0"/>
    <w:rsid w:val="049E46F4"/>
    <w:rsid w:val="049F583B"/>
    <w:rsid w:val="04A63AAB"/>
    <w:rsid w:val="04B17483"/>
    <w:rsid w:val="04B50DD0"/>
    <w:rsid w:val="04BD3C02"/>
    <w:rsid w:val="04C87607"/>
    <w:rsid w:val="04C90C7E"/>
    <w:rsid w:val="04C948AC"/>
    <w:rsid w:val="04E67EFA"/>
    <w:rsid w:val="04F60F28"/>
    <w:rsid w:val="04FD0256"/>
    <w:rsid w:val="04FD7EB2"/>
    <w:rsid w:val="04FF6571"/>
    <w:rsid w:val="05000718"/>
    <w:rsid w:val="050E7E48"/>
    <w:rsid w:val="052128AA"/>
    <w:rsid w:val="052672BF"/>
    <w:rsid w:val="052D6A0C"/>
    <w:rsid w:val="052D6F1C"/>
    <w:rsid w:val="05325C99"/>
    <w:rsid w:val="05330B10"/>
    <w:rsid w:val="05343214"/>
    <w:rsid w:val="053713F9"/>
    <w:rsid w:val="0541430C"/>
    <w:rsid w:val="0541796A"/>
    <w:rsid w:val="054331AA"/>
    <w:rsid w:val="054C36EF"/>
    <w:rsid w:val="05526DC1"/>
    <w:rsid w:val="055928C9"/>
    <w:rsid w:val="055C2865"/>
    <w:rsid w:val="05641DFD"/>
    <w:rsid w:val="0567663A"/>
    <w:rsid w:val="056774AA"/>
    <w:rsid w:val="05695483"/>
    <w:rsid w:val="056C3E13"/>
    <w:rsid w:val="056F5F60"/>
    <w:rsid w:val="05965C4E"/>
    <w:rsid w:val="05B2226C"/>
    <w:rsid w:val="05BB6A25"/>
    <w:rsid w:val="05C06D14"/>
    <w:rsid w:val="05C54014"/>
    <w:rsid w:val="05C6547F"/>
    <w:rsid w:val="05DC62D8"/>
    <w:rsid w:val="05DD3574"/>
    <w:rsid w:val="05EA1571"/>
    <w:rsid w:val="05F976E8"/>
    <w:rsid w:val="060164B0"/>
    <w:rsid w:val="06063406"/>
    <w:rsid w:val="06164B51"/>
    <w:rsid w:val="06194153"/>
    <w:rsid w:val="06195100"/>
    <w:rsid w:val="06222F59"/>
    <w:rsid w:val="06265D70"/>
    <w:rsid w:val="06357A88"/>
    <w:rsid w:val="063C6BF8"/>
    <w:rsid w:val="064C1848"/>
    <w:rsid w:val="06531F98"/>
    <w:rsid w:val="06650D7C"/>
    <w:rsid w:val="066910A8"/>
    <w:rsid w:val="066B0E6B"/>
    <w:rsid w:val="06767C5C"/>
    <w:rsid w:val="067B0AA0"/>
    <w:rsid w:val="067C4BE7"/>
    <w:rsid w:val="067C7462"/>
    <w:rsid w:val="0683736D"/>
    <w:rsid w:val="06A40172"/>
    <w:rsid w:val="06AB2F85"/>
    <w:rsid w:val="06B11454"/>
    <w:rsid w:val="06B54621"/>
    <w:rsid w:val="06B67F3D"/>
    <w:rsid w:val="06B902BF"/>
    <w:rsid w:val="06BE028C"/>
    <w:rsid w:val="06BF52F8"/>
    <w:rsid w:val="06CD4A8A"/>
    <w:rsid w:val="06D45F01"/>
    <w:rsid w:val="06DA6112"/>
    <w:rsid w:val="06F552FE"/>
    <w:rsid w:val="06FE6B07"/>
    <w:rsid w:val="06FF5981"/>
    <w:rsid w:val="07064406"/>
    <w:rsid w:val="070904FE"/>
    <w:rsid w:val="07146B9E"/>
    <w:rsid w:val="071575F0"/>
    <w:rsid w:val="07166A66"/>
    <w:rsid w:val="071813E8"/>
    <w:rsid w:val="071B57D7"/>
    <w:rsid w:val="071C786F"/>
    <w:rsid w:val="072430A3"/>
    <w:rsid w:val="072735D4"/>
    <w:rsid w:val="072B1748"/>
    <w:rsid w:val="072B75DD"/>
    <w:rsid w:val="072F5975"/>
    <w:rsid w:val="072F614F"/>
    <w:rsid w:val="07316C12"/>
    <w:rsid w:val="07350B9A"/>
    <w:rsid w:val="07356EBC"/>
    <w:rsid w:val="073C46F4"/>
    <w:rsid w:val="074D20F6"/>
    <w:rsid w:val="07514E6F"/>
    <w:rsid w:val="0755789E"/>
    <w:rsid w:val="0759525D"/>
    <w:rsid w:val="075A15D5"/>
    <w:rsid w:val="075F62A9"/>
    <w:rsid w:val="07607930"/>
    <w:rsid w:val="07623B91"/>
    <w:rsid w:val="076C7441"/>
    <w:rsid w:val="078F1846"/>
    <w:rsid w:val="07964B53"/>
    <w:rsid w:val="07987B55"/>
    <w:rsid w:val="07A06228"/>
    <w:rsid w:val="07AE12F0"/>
    <w:rsid w:val="07B17CAF"/>
    <w:rsid w:val="07B651AD"/>
    <w:rsid w:val="07C14E47"/>
    <w:rsid w:val="07C33EC5"/>
    <w:rsid w:val="07CB238A"/>
    <w:rsid w:val="07CE7881"/>
    <w:rsid w:val="07CF3864"/>
    <w:rsid w:val="07E43E4B"/>
    <w:rsid w:val="07E975E7"/>
    <w:rsid w:val="07E97D66"/>
    <w:rsid w:val="07EC33B0"/>
    <w:rsid w:val="07EF42EE"/>
    <w:rsid w:val="07EF5300"/>
    <w:rsid w:val="07F0238D"/>
    <w:rsid w:val="07F30DD7"/>
    <w:rsid w:val="07F721BF"/>
    <w:rsid w:val="080025E3"/>
    <w:rsid w:val="08012880"/>
    <w:rsid w:val="08081413"/>
    <w:rsid w:val="080929BF"/>
    <w:rsid w:val="080D29CF"/>
    <w:rsid w:val="080E790D"/>
    <w:rsid w:val="08130188"/>
    <w:rsid w:val="08136170"/>
    <w:rsid w:val="08157EE4"/>
    <w:rsid w:val="081B741F"/>
    <w:rsid w:val="082978CB"/>
    <w:rsid w:val="082D57B8"/>
    <w:rsid w:val="082E04F6"/>
    <w:rsid w:val="08315D20"/>
    <w:rsid w:val="08317978"/>
    <w:rsid w:val="083A5E87"/>
    <w:rsid w:val="083B6FD1"/>
    <w:rsid w:val="0843467D"/>
    <w:rsid w:val="08447A76"/>
    <w:rsid w:val="084C19FC"/>
    <w:rsid w:val="086B5EF1"/>
    <w:rsid w:val="086E3E0C"/>
    <w:rsid w:val="087078A3"/>
    <w:rsid w:val="08720363"/>
    <w:rsid w:val="0874013A"/>
    <w:rsid w:val="087B0F48"/>
    <w:rsid w:val="088D6219"/>
    <w:rsid w:val="08977F70"/>
    <w:rsid w:val="0899495E"/>
    <w:rsid w:val="08A7566C"/>
    <w:rsid w:val="08AD16F8"/>
    <w:rsid w:val="08AD1932"/>
    <w:rsid w:val="08C12C43"/>
    <w:rsid w:val="08C40397"/>
    <w:rsid w:val="08C80A6F"/>
    <w:rsid w:val="08CA656B"/>
    <w:rsid w:val="08D25B45"/>
    <w:rsid w:val="08D53939"/>
    <w:rsid w:val="08D63DBF"/>
    <w:rsid w:val="08D90273"/>
    <w:rsid w:val="08DA19E2"/>
    <w:rsid w:val="08DC2040"/>
    <w:rsid w:val="08E21C9D"/>
    <w:rsid w:val="08E92A78"/>
    <w:rsid w:val="08F17A91"/>
    <w:rsid w:val="08F4075D"/>
    <w:rsid w:val="08F951AD"/>
    <w:rsid w:val="08FE6477"/>
    <w:rsid w:val="09043CB3"/>
    <w:rsid w:val="0904759F"/>
    <w:rsid w:val="090D144B"/>
    <w:rsid w:val="090E7AE8"/>
    <w:rsid w:val="091D047C"/>
    <w:rsid w:val="091E0735"/>
    <w:rsid w:val="092C7454"/>
    <w:rsid w:val="09303139"/>
    <w:rsid w:val="09353B9A"/>
    <w:rsid w:val="093B1A6E"/>
    <w:rsid w:val="093F678E"/>
    <w:rsid w:val="09432C6C"/>
    <w:rsid w:val="094A1560"/>
    <w:rsid w:val="094B40EA"/>
    <w:rsid w:val="094D4501"/>
    <w:rsid w:val="095705FE"/>
    <w:rsid w:val="095752B9"/>
    <w:rsid w:val="095878C5"/>
    <w:rsid w:val="096302A1"/>
    <w:rsid w:val="096B198E"/>
    <w:rsid w:val="09760447"/>
    <w:rsid w:val="09783271"/>
    <w:rsid w:val="0979657C"/>
    <w:rsid w:val="097A5466"/>
    <w:rsid w:val="097C71A5"/>
    <w:rsid w:val="098A18DE"/>
    <w:rsid w:val="098D44E3"/>
    <w:rsid w:val="0994465C"/>
    <w:rsid w:val="099549DA"/>
    <w:rsid w:val="099741FC"/>
    <w:rsid w:val="099D507C"/>
    <w:rsid w:val="099F7609"/>
    <w:rsid w:val="09A419FF"/>
    <w:rsid w:val="09A844E9"/>
    <w:rsid w:val="09AC66C2"/>
    <w:rsid w:val="09B6308C"/>
    <w:rsid w:val="09BA6BCB"/>
    <w:rsid w:val="09BC3814"/>
    <w:rsid w:val="09BD17B5"/>
    <w:rsid w:val="09CA57E8"/>
    <w:rsid w:val="09CE64A8"/>
    <w:rsid w:val="09E44738"/>
    <w:rsid w:val="0A003BEF"/>
    <w:rsid w:val="0A112687"/>
    <w:rsid w:val="0A181B9C"/>
    <w:rsid w:val="0A1E17BC"/>
    <w:rsid w:val="0A2844A5"/>
    <w:rsid w:val="0A2C5CE2"/>
    <w:rsid w:val="0A2F1136"/>
    <w:rsid w:val="0A302709"/>
    <w:rsid w:val="0A3A6625"/>
    <w:rsid w:val="0A4515A2"/>
    <w:rsid w:val="0A480A83"/>
    <w:rsid w:val="0A494DD0"/>
    <w:rsid w:val="0A4B44AE"/>
    <w:rsid w:val="0A4D2AB3"/>
    <w:rsid w:val="0A4F401A"/>
    <w:rsid w:val="0A55518C"/>
    <w:rsid w:val="0A55634B"/>
    <w:rsid w:val="0A566C2A"/>
    <w:rsid w:val="0A643B7B"/>
    <w:rsid w:val="0A772E93"/>
    <w:rsid w:val="0A805852"/>
    <w:rsid w:val="0A852F7E"/>
    <w:rsid w:val="0A87785C"/>
    <w:rsid w:val="0A880E75"/>
    <w:rsid w:val="0A8D7F43"/>
    <w:rsid w:val="0A920DEC"/>
    <w:rsid w:val="0AA64462"/>
    <w:rsid w:val="0AAD0F47"/>
    <w:rsid w:val="0AB67339"/>
    <w:rsid w:val="0ABB50AB"/>
    <w:rsid w:val="0ABE0070"/>
    <w:rsid w:val="0AC30BB6"/>
    <w:rsid w:val="0AC66C27"/>
    <w:rsid w:val="0AC81523"/>
    <w:rsid w:val="0ACD17A3"/>
    <w:rsid w:val="0ADC31DF"/>
    <w:rsid w:val="0AE051D1"/>
    <w:rsid w:val="0AE122A9"/>
    <w:rsid w:val="0AE333B2"/>
    <w:rsid w:val="0AE7031A"/>
    <w:rsid w:val="0AE8337F"/>
    <w:rsid w:val="0AF8394C"/>
    <w:rsid w:val="0B066FBD"/>
    <w:rsid w:val="0B114F89"/>
    <w:rsid w:val="0B166771"/>
    <w:rsid w:val="0B1A371F"/>
    <w:rsid w:val="0B224202"/>
    <w:rsid w:val="0B2407EB"/>
    <w:rsid w:val="0B27233E"/>
    <w:rsid w:val="0B2C355E"/>
    <w:rsid w:val="0B326380"/>
    <w:rsid w:val="0B347AC0"/>
    <w:rsid w:val="0B35162E"/>
    <w:rsid w:val="0B3D3683"/>
    <w:rsid w:val="0B471EAE"/>
    <w:rsid w:val="0B4E1143"/>
    <w:rsid w:val="0B532173"/>
    <w:rsid w:val="0B56029D"/>
    <w:rsid w:val="0B594E3C"/>
    <w:rsid w:val="0B5C0EE8"/>
    <w:rsid w:val="0B5C15B0"/>
    <w:rsid w:val="0B5D53ED"/>
    <w:rsid w:val="0B680512"/>
    <w:rsid w:val="0B6F0CFA"/>
    <w:rsid w:val="0B76204C"/>
    <w:rsid w:val="0B782F44"/>
    <w:rsid w:val="0B81391B"/>
    <w:rsid w:val="0B8170DC"/>
    <w:rsid w:val="0B851100"/>
    <w:rsid w:val="0B85222F"/>
    <w:rsid w:val="0B8654DD"/>
    <w:rsid w:val="0B924DF5"/>
    <w:rsid w:val="0B9604C0"/>
    <w:rsid w:val="0B997093"/>
    <w:rsid w:val="0BA3060F"/>
    <w:rsid w:val="0BA92698"/>
    <w:rsid w:val="0BAA34A0"/>
    <w:rsid w:val="0BB524B3"/>
    <w:rsid w:val="0BB6149B"/>
    <w:rsid w:val="0BC63404"/>
    <w:rsid w:val="0BD95AC2"/>
    <w:rsid w:val="0BDC776A"/>
    <w:rsid w:val="0BDE26DC"/>
    <w:rsid w:val="0BE410EC"/>
    <w:rsid w:val="0BE6471D"/>
    <w:rsid w:val="0BE817E4"/>
    <w:rsid w:val="0BEA4916"/>
    <w:rsid w:val="0BF8765B"/>
    <w:rsid w:val="0BFE67D6"/>
    <w:rsid w:val="0C043D09"/>
    <w:rsid w:val="0C0B0596"/>
    <w:rsid w:val="0C0B0622"/>
    <w:rsid w:val="0C0C61CE"/>
    <w:rsid w:val="0C1062A7"/>
    <w:rsid w:val="0C123143"/>
    <w:rsid w:val="0C151E54"/>
    <w:rsid w:val="0C1A070A"/>
    <w:rsid w:val="0C230CF8"/>
    <w:rsid w:val="0C2C4A42"/>
    <w:rsid w:val="0C2C5C9F"/>
    <w:rsid w:val="0C306963"/>
    <w:rsid w:val="0C306DFF"/>
    <w:rsid w:val="0C35672F"/>
    <w:rsid w:val="0C42338A"/>
    <w:rsid w:val="0C695EA8"/>
    <w:rsid w:val="0C6D1C1F"/>
    <w:rsid w:val="0C792DF5"/>
    <w:rsid w:val="0C7C6B74"/>
    <w:rsid w:val="0C817D10"/>
    <w:rsid w:val="0C9468C3"/>
    <w:rsid w:val="0C9B41CA"/>
    <w:rsid w:val="0C9E0BBB"/>
    <w:rsid w:val="0C9F18D6"/>
    <w:rsid w:val="0C9F31B0"/>
    <w:rsid w:val="0CA17232"/>
    <w:rsid w:val="0CA552A7"/>
    <w:rsid w:val="0CAD72EA"/>
    <w:rsid w:val="0CBD5B75"/>
    <w:rsid w:val="0CC25417"/>
    <w:rsid w:val="0CC769B8"/>
    <w:rsid w:val="0CC9063F"/>
    <w:rsid w:val="0CCA0D1F"/>
    <w:rsid w:val="0CD92875"/>
    <w:rsid w:val="0CE44363"/>
    <w:rsid w:val="0CE55E20"/>
    <w:rsid w:val="0CE80799"/>
    <w:rsid w:val="0CEB1D0F"/>
    <w:rsid w:val="0CEC1DF8"/>
    <w:rsid w:val="0CEE3346"/>
    <w:rsid w:val="0CF65D91"/>
    <w:rsid w:val="0CF76623"/>
    <w:rsid w:val="0CFB1F2A"/>
    <w:rsid w:val="0CFF78EC"/>
    <w:rsid w:val="0D024062"/>
    <w:rsid w:val="0D075E04"/>
    <w:rsid w:val="0D1D0FC1"/>
    <w:rsid w:val="0D1E1605"/>
    <w:rsid w:val="0D3320E2"/>
    <w:rsid w:val="0D367309"/>
    <w:rsid w:val="0D413DFD"/>
    <w:rsid w:val="0D414A0E"/>
    <w:rsid w:val="0D423747"/>
    <w:rsid w:val="0D4352D7"/>
    <w:rsid w:val="0D49165B"/>
    <w:rsid w:val="0D4E0C5E"/>
    <w:rsid w:val="0D4F5E6B"/>
    <w:rsid w:val="0D640A93"/>
    <w:rsid w:val="0D686300"/>
    <w:rsid w:val="0D691963"/>
    <w:rsid w:val="0D6A6E14"/>
    <w:rsid w:val="0D774BF5"/>
    <w:rsid w:val="0D7B1D3A"/>
    <w:rsid w:val="0D863A39"/>
    <w:rsid w:val="0D896BA3"/>
    <w:rsid w:val="0D8C6E9A"/>
    <w:rsid w:val="0D9220ED"/>
    <w:rsid w:val="0DA43BC8"/>
    <w:rsid w:val="0DB10032"/>
    <w:rsid w:val="0DB20CC4"/>
    <w:rsid w:val="0DB73966"/>
    <w:rsid w:val="0DB748FD"/>
    <w:rsid w:val="0DBC153D"/>
    <w:rsid w:val="0DBC6C3C"/>
    <w:rsid w:val="0DD43D87"/>
    <w:rsid w:val="0DD71C6F"/>
    <w:rsid w:val="0DD727B7"/>
    <w:rsid w:val="0DDD14A1"/>
    <w:rsid w:val="0DE8139D"/>
    <w:rsid w:val="0DEB3D4C"/>
    <w:rsid w:val="0DEC660F"/>
    <w:rsid w:val="0DEE174C"/>
    <w:rsid w:val="0DF369C3"/>
    <w:rsid w:val="0DF84A26"/>
    <w:rsid w:val="0DFE213B"/>
    <w:rsid w:val="0E0037F5"/>
    <w:rsid w:val="0E014939"/>
    <w:rsid w:val="0E0178E9"/>
    <w:rsid w:val="0E072962"/>
    <w:rsid w:val="0E0A7266"/>
    <w:rsid w:val="0E107BA6"/>
    <w:rsid w:val="0E11130A"/>
    <w:rsid w:val="0E126F13"/>
    <w:rsid w:val="0E161D6B"/>
    <w:rsid w:val="0E173FCF"/>
    <w:rsid w:val="0E1A69A0"/>
    <w:rsid w:val="0E1C7AAE"/>
    <w:rsid w:val="0E1E3D28"/>
    <w:rsid w:val="0E232B03"/>
    <w:rsid w:val="0E253685"/>
    <w:rsid w:val="0E275B50"/>
    <w:rsid w:val="0E2E32D3"/>
    <w:rsid w:val="0E2F3986"/>
    <w:rsid w:val="0E3F103D"/>
    <w:rsid w:val="0E485363"/>
    <w:rsid w:val="0E49521E"/>
    <w:rsid w:val="0E503EF6"/>
    <w:rsid w:val="0E543880"/>
    <w:rsid w:val="0E5A1C60"/>
    <w:rsid w:val="0E5A3C09"/>
    <w:rsid w:val="0E673561"/>
    <w:rsid w:val="0E6A6337"/>
    <w:rsid w:val="0E703CC4"/>
    <w:rsid w:val="0E731FC3"/>
    <w:rsid w:val="0E764FAF"/>
    <w:rsid w:val="0E867AD8"/>
    <w:rsid w:val="0E8704BF"/>
    <w:rsid w:val="0E8C63C4"/>
    <w:rsid w:val="0E8D1C14"/>
    <w:rsid w:val="0E8D4B5F"/>
    <w:rsid w:val="0E925992"/>
    <w:rsid w:val="0E9E3C5F"/>
    <w:rsid w:val="0EA01315"/>
    <w:rsid w:val="0EA2577A"/>
    <w:rsid w:val="0EA94631"/>
    <w:rsid w:val="0EAB3BEF"/>
    <w:rsid w:val="0EB53512"/>
    <w:rsid w:val="0EB6128C"/>
    <w:rsid w:val="0EBE00FB"/>
    <w:rsid w:val="0EC05060"/>
    <w:rsid w:val="0EC304F1"/>
    <w:rsid w:val="0EC541F1"/>
    <w:rsid w:val="0ECC00F7"/>
    <w:rsid w:val="0EDB1BC8"/>
    <w:rsid w:val="0EEF04AF"/>
    <w:rsid w:val="0EF03273"/>
    <w:rsid w:val="0EF344E6"/>
    <w:rsid w:val="0EFC1D0A"/>
    <w:rsid w:val="0F034AAC"/>
    <w:rsid w:val="0F055D29"/>
    <w:rsid w:val="0F064DA4"/>
    <w:rsid w:val="0F084BD0"/>
    <w:rsid w:val="0F0A788C"/>
    <w:rsid w:val="0F0E772F"/>
    <w:rsid w:val="0F103B2E"/>
    <w:rsid w:val="0F105328"/>
    <w:rsid w:val="0F146469"/>
    <w:rsid w:val="0F1A6CBA"/>
    <w:rsid w:val="0F2D4C0B"/>
    <w:rsid w:val="0F321185"/>
    <w:rsid w:val="0F3C1142"/>
    <w:rsid w:val="0F3C4A81"/>
    <w:rsid w:val="0F3C71DD"/>
    <w:rsid w:val="0F493B20"/>
    <w:rsid w:val="0F5602FF"/>
    <w:rsid w:val="0F566568"/>
    <w:rsid w:val="0F5769A3"/>
    <w:rsid w:val="0F603CB4"/>
    <w:rsid w:val="0F701728"/>
    <w:rsid w:val="0F736B5F"/>
    <w:rsid w:val="0F7B6D0F"/>
    <w:rsid w:val="0F7F372B"/>
    <w:rsid w:val="0F8960E6"/>
    <w:rsid w:val="0F9210B5"/>
    <w:rsid w:val="0F956EBB"/>
    <w:rsid w:val="0F962B77"/>
    <w:rsid w:val="0FAD1C06"/>
    <w:rsid w:val="0FAF581E"/>
    <w:rsid w:val="0FB04C34"/>
    <w:rsid w:val="0FC01B88"/>
    <w:rsid w:val="0FC22E52"/>
    <w:rsid w:val="0FC5591C"/>
    <w:rsid w:val="0FCD16C0"/>
    <w:rsid w:val="0FD00E15"/>
    <w:rsid w:val="0FDE348B"/>
    <w:rsid w:val="0FDE761C"/>
    <w:rsid w:val="0FE023A2"/>
    <w:rsid w:val="0FE25153"/>
    <w:rsid w:val="0FE74990"/>
    <w:rsid w:val="0FED4B59"/>
    <w:rsid w:val="0FEE3BBD"/>
    <w:rsid w:val="0FF14D9C"/>
    <w:rsid w:val="0FF43610"/>
    <w:rsid w:val="0FF52A45"/>
    <w:rsid w:val="100035AC"/>
    <w:rsid w:val="100331D2"/>
    <w:rsid w:val="100A3B95"/>
    <w:rsid w:val="100B0F6B"/>
    <w:rsid w:val="10141B23"/>
    <w:rsid w:val="101D5F52"/>
    <w:rsid w:val="102D04E4"/>
    <w:rsid w:val="10354315"/>
    <w:rsid w:val="103760F2"/>
    <w:rsid w:val="10393357"/>
    <w:rsid w:val="103B45C2"/>
    <w:rsid w:val="10566976"/>
    <w:rsid w:val="1068539D"/>
    <w:rsid w:val="106C3C46"/>
    <w:rsid w:val="106D60A4"/>
    <w:rsid w:val="10770D2F"/>
    <w:rsid w:val="10773655"/>
    <w:rsid w:val="107A393E"/>
    <w:rsid w:val="107B430F"/>
    <w:rsid w:val="107F0D1E"/>
    <w:rsid w:val="10923361"/>
    <w:rsid w:val="10936760"/>
    <w:rsid w:val="1097383C"/>
    <w:rsid w:val="10A41024"/>
    <w:rsid w:val="10AA5C3B"/>
    <w:rsid w:val="10B019FA"/>
    <w:rsid w:val="10B23F82"/>
    <w:rsid w:val="10B40BBA"/>
    <w:rsid w:val="10B45548"/>
    <w:rsid w:val="10BF692C"/>
    <w:rsid w:val="10C0270B"/>
    <w:rsid w:val="10C445E8"/>
    <w:rsid w:val="10CA7957"/>
    <w:rsid w:val="10CF0B30"/>
    <w:rsid w:val="10E0027E"/>
    <w:rsid w:val="10E1105C"/>
    <w:rsid w:val="10E60787"/>
    <w:rsid w:val="10F86051"/>
    <w:rsid w:val="10F94C5A"/>
    <w:rsid w:val="10FA2C48"/>
    <w:rsid w:val="110310FA"/>
    <w:rsid w:val="11041E62"/>
    <w:rsid w:val="110E13E9"/>
    <w:rsid w:val="110F1045"/>
    <w:rsid w:val="111433D0"/>
    <w:rsid w:val="11155115"/>
    <w:rsid w:val="111C4F3D"/>
    <w:rsid w:val="111E1782"/>
    <w:rsid w:val="112020A2"/>
    <w:rsid w:val="11212A4B"/>
    <w:rsid w:val="112C042A"/>
    <w:rsid w:val="11323784"/>
    <w:rsid w:val="11401CAB"/>
    <w:rsid w:val="11403CD5"/>
    <w:rsid w:val="114924F8"/>
    <w:rsid w:val="114B63C5"/>
    <w:rsid w:val="11544A09"/>
    <w:rsid w:val="1155552F"/>
    <w:rsid w:val="115915B1"/>
    <w:rsid w:val="115C5911"/>
    <w:rsid w:val="115D2AAA"/>
    <w:rsid w:val="11620158"/>
    <w:rsid w:val="116370F0"/>
    <w:rsid w:val="1168526A"/>
    <w:rsid w:val="116E7962"/>
    <w:rsid w:val="11730AFB"/>
    <w:rsid w:val="117A1775"/>
    <w:rsid w:val="117D054B"/>
    <w:rsid w:val="117D2807"/>
    <w:rsid w:val="117E0D0A"/>
    <w:rsid w:val="11815428"/>
    <w:rsid w:val="11836E72"/>
    <w:rsid w:val="118A29BC"/>
    <w:rsid w:val="118B1E70"/>
    <w:rsid w:val="11931E20"/>
    <w:rsid w:val="1193420F"/>
    <w:rsid w:val="119E1196"/>
    <w:rsid w:val="11A22D8B"/>
    <w:rsid w:val="11A705AE"/>
    <w:rsid w:val="11A76054"/>
    <w:rsid w:val="11AC349C"/>
    <w:rsid w:val="11AC7D61"/>
    <w:rsid w:val="11B22057"/>
    <w:rsid w:val="11B454BA"/>
    <w:rsid w:val="11BA6688"/>
    <w:rsid w:val="11BB71DE"/>
    <w:rsid w:val="11BF5269"/>
    <w:rsid w:val="11CC5FE2"/>
    <w:rsid w:val="11CD6376"/>
    <w:rsid w:val="11CF680A"/>
    <w:rsid w:val="11CF68B0"/>
    <w:rsid w:val="11D32120"/>
    <w:rsid w:val="11D329A2"/>
    <w:rsid w:val="11DA0160"/>
    <w:rsid w:val="11DA53B7"/>
    <w:rsid w:val="11DB075B"/>
    <w:rsid w:val="11DD49CD"/>
    <w:rsid w:val="11DF35CD"/>
    <w:rsid w:val="11E310F9"/>
    <w:rsid w:val="11EA0FA9"/>
    <w:rsid w:val="11F71F9C"/>
    <w:rsid w:val="11FD637F"/>
    <w:rsid w:val="120A682B"/>
    <w:rsid w:val="12101584"/>
    <w:rsid w:val="121453ED"/>
    <w:rsid w:val="12157E25"/>
    <w:rsid w:val="12167FE8"/>
    <w:rsid w:val="121A7A1E"/>
    <w:rsid w:val="12232C23"/>
    <w:rsid w:val="122F4D79"/>
    <w:rsid w:val="123701F7"/>
    <w:rsid w:val="1237557D"/>
    <w:rsid w:val="1246307A"/>
    <w:rsid w:val="124807F2"/>
    <w:rsid w:val="12485BBC"/>
    <w:rsid w:val="124D64C7"/>
    <w:rsid w:val="12505CD6"/>
    <w:rsid w:val="12543ABF"/>
    <w:rsid w:val="125B1D95"/>
    <w:rsid w:val="125D4C19"/>
    <w:rsid w:val="12720AC8"/>
    <w:rsid w:val="127908EA"/>
    <w:rsid w:val="127E7C9C"/>
    <w:rsid w:val="12801ECD"/>
    <w:rsid w:val="12833AAB"/>
    <w:rsid w:val="12847825"/>
    <w:rsid w:val="12864244"/>
    <w:rsid w:val="128C23BA"/>
    <w:rsid w:val="128E542E"/>
    <w:rsid w:val="12934C64"/>
    <w:rsid w:val="12983AA0"/>
    <w:rsid w:val="129D2BA5"/>
    <w:rsid w:val="12A32696"/>
    <w:rsid w:val="12AA261A"/>
    <w:rsid w:val="12AE5091"/>
    <w:rsid w:val="12B1493E"/>
    <w:rsid w:val="12B63335"/>
    <w:rsid w:val="12C76019"/>
    <w:rsid w:val="12D56C7E"/>
    <w:rsid w:val="12DC064E"/>
    <w:rsid w:val="12DD6A83"/>
    <w:rsid w:val="12DD7A45"/>
    <w:rsid w:val="12DF2A38"/>
    <w:rsid w:val="12E02114"/>
    <w:rsid w:val="12E736EF"/>
    <w:rsid w:val="12E957D4"/>
    <w:rsid w:val="12F12819"/>
    <w:rsid w:val="12F30C4E"/>
    <w:rsid w:val="13052BCD"/>
    <w:rsid w:val="130869FC"/>
    <w:rsid w:val="1309683F"/>
    <w:rsid w:val="130E307F"/>
    <w:rsid w:val="131441DF"/>
    <w:rsid w:val="131F35F1"/>
    <w:rsid w:val="132E1E08"/>
    <w:rsid w:val="133006E9"/>
    <w:rsid w:val="13311187"/>
    <w:rsid w:val="13314C7F"/>
    <w:rsid w:val="133174C4"/>
    <w:rsid w:val="13330FBF"/>
    <w:rsid w:val="133431B0"/>
    <w:rsid w:val="133A543F"/>
    <w:rsid w:val="135328E5"/>
    <w:rsid w:val="13541247"/>
    <w:rsid w:val="13573F02"/>
    <w:rsid w:val="136815C3"/>
    <w:rsid w:val="1368356F"/>
    <w:rsid w:val="137318BA"/>
    <w:rsid w:val="1375293A"/>
    <w:rsid w:val="137E5F14"/>
    <w:rsid w:val="13815CDB"/>
    <w:rsid w:val="1386058E"/>
    <w:rsid w:val="138A7D51"/>
    <w:rsid w:val="138B48F7"/>
    <w:rsid w:val="138C1C5B"/>
    <w:rsid w:val="138E05E8"/>
    <w:rsid w:val="138E1EEC"/>
    <w:rsid w:val="1393447B"/>
    <w:rsid w:val="13965F33"/>
    <w:rsid w:val="13A5204C"/>
    <w:rsid w:val="13A901EB"/>
    <w:rsid w:val="13A93387"/>
    <w:rsid w:val="13AD5252"/>
    <w:rsid w:val="13B854A4"/>
    <w:rsid w:val="13C07BCA"/>
    <w:rsid w:val="13C3301F"/>
    <w:rsid w:val="13D0379B"/>
    <w:rsid w:val="13D24B1C"/>
    <w:rsid w:val="13D8188E"/>
    <w:rsid w:val="13DA0F79"/>
    <w:rsid w:val="13DA527E"/>
    <w:rsid w:val="13DF5D17"/>
    <w:rsid w:val="13ED6CB0"/>
    <w:rsid w:val="13F00E28"/>
    <w:rsid w:val="13FA7E05"/>
    <w:rsid w:val="13FF02A5"/>
    <w:rsid w:val="14061AC1"/>
    <w:rsid w:val="140B32C3"/>
    <w:rsid w:val="14107156"/>
    <w:rsid w:val="14115BE9"/>
    <w:rsid w:val="14136B6A"/>
    <w:rsid w:val="142B7444"/>
    <w:rsid w:val="142F5152"/>
    <w:rsid w:val="143941EB"/>
    <w:rsid w:val="14400342"/>
    <w:rsid w:val="14461AB9"/>
    <w:rsid w:val="144B7EE2"/>
    <w:rsid w:val="145A12C4"/>
    <w:rsid w:val="146322EA"/>
    <w:rsid w:val="146A1A1D"/>
    <w:rsid w:val="146F5B7E"/>
    <w:rsid w:val="14726643"/>
    <w:rsid w:val="147735A9"/>
    <w:rsid w:val="147839CD"/>
    <w:rsid w:val="147F7FF9"/>
    <w:rsid w:val="148A7CA3"/>
    <w:rsid w:val="148D4FD6"/>
    <w:rsid w:val="14923555"/>
    <w:rsid w:val="149E6B73"/>
    <w:rsid w:val="14A019DC"/>
    <w:rsid w:val="14A65A6E"/>
    <w:rsid w:val="14A74CDF"/>
    <w:rsid w:val="14AF08CE"/>
    <w:rsid w:val="14B118C8"/>
    <w:rsid w:val="14B660AF"/>
    <w:rsid w:val="14B72BBB"/>
    <w:rsid w:val="14B834D8"/>
    <w:rsid w:val="14B90FDD"/>
    <w:rsid w:val="14C74286"/>
    <w:rsid w:val="14CF3CF9"/>
    <w:rsid w:val="14D3640B"/>
    <w:rsid w:val="14D44C8A"/>
    <w:rsid w:val="14DF2C69"/>
    <w:rsid w:val="14E31E08"/>
    <w:rsid w:val="14F24071"/>
    <w:rsid w:val="14FD5715"/>
    <w:rsid w:val="14FF27A1"/>
    <w:rsid w:val="1509772B"/>
    <w:rsid w:val="150B5137"/>
    <w:rsid w:val="150C5759"/>
    <w:rsid w:val="150C65D5"/>
    <w:rsid w:val="150D63F0"/>
    <w:rsid w:val="150E6D01"/>
    <w:rsid w:val="151702F2"/>
    <w:rsid w:val="151D1F33"/>
    <w:rsid w:val="15235CEF"/>
    <w:rsid w:val="15310194"/>
    <w:rsid w:val="153723D6"/>
    <w:rsid w:val="15410E89"/>
    <w:rsid w:val="154143D4"/>
    <w:rsid w:val="154148FD"/>
    <w:rsid w:val="154149CA"/>
    <w:rsid w:val="15474D27"/>
    <w:rsid w:val="154F3E0A"/>
    <w:rsid w:val="15504F28"/>
    <w:rsid w:val="15542A8A"/>
    <w:rsid w:val="15574852"/>
    <w:rsid w:val="15575C3C"/>
    <w:rsid w:val="155F695D"/>
    <w:rsid w:val="1568162F"/>
    <w:rsid w:val="15691C8A"/>
    <w:rsid w:val="15731192"/>
    <w:rsid w:val="157669D0"/>
    <w:rsid w:val="15840BAD"/>
    <w:rsid w:val="158450E4"/>
    <w:rsid w:val="158473AB"/>
    <w:rsid w:val="158845F4"/>
    <w:rsid w:val="15993633"/>
    <w:rsid w:val="15A57247"/>
    <w:rsid w:val="15B26E8B"/>
    <w:rsid w:val="15BE3C8C"/>
    <w:rsid w:val="15C73BE1"/>
    <w:rsid w:val="15CE667B"/>
    <w:rsid w:val="15D26FFB"/>
    <w:rsid w:val="15D37D32"/>
    <w:rsid w:val="15D72AE5"/>
    <w:rsid w:val="15DA4B31"/>
    <w:rsid w:val="15DC284C"/>
    <w:rsid w:val="15E12785"/>
    <w:rsid w:val="15F01600"/>
    <w:rsid w:val="15F9237E"/>
    <w:rsid w:val="15FD46A0"/>
    <w:rsid w:val="15FF71C7"/>
    <w:rsid w:val="160103D5"/>
    <w:rsid w:val="16094EE2"/>
    <w:rsid w:val="160B3B0C"/>
    <w:rsid w:val="160F23B8"/>
    <w:rsid w:val="160F63E0"/>
    <w:rsid w:val="161823B5"/>
    <w:rsid w:val="161D1F0C"/>
    <w:rsid w:val="161F1758"/>
    <w:rsid w:val="16212661"/>
    <w:rsid w:val="162147D6"/>
    <w:rsid w:val="16224D42"/>
    <w:rsid w:val="16226CFA"/>
    <w:rsid w:val="16242974"/>
    <w:rsid w:val="163B50D5"/>
    <w:rsid w:val="1654407C"/>
    <w:rsid w:val="165C5DEC"/>
    <w:rsid w:val="168208D8"/>
    <w:rsid w:val="168F6496"/>
    <w:rsid w:val="169269E4"/>
    <w:rsid w:val="169462B3"/>
    <w:rsid w:val="1698205C"/>
    <w:rsid w:val="169E6575"/>
    <w:rsid w:val="16A00D08"/>
    <w:rsid w:val="16A4645E"/>
    <w:rsid w:val="16A919D8"/>
    <w:rsid w:val="16A940B9"/>
    <w:rsid w:val="16AA70FE"/>
    <w:rsid w:val="16AB7991"/>
    <w:rsid w:val="16AF6B0A"/>
    <w:rsid w:val="16B105A4"/>
    <w:rsid w:val="16BD2A7B"/>
    <w:rsid w:val="16BF6E05"/>
    <w:rsid w:val="16CE06D5"/>
    <w:rsid w:val="16CF1FFE"/>
    <w:rsid w:val="16D24FB0"/>
    <w:rsid w:val="16D32992"/>
    <w:rsid w:val="16D81026"/>
    <w:rsid w:val="16DC247F"/>
    <w:rsid w:val="16E25C2B"/>
    <w:rsid w:val="16E766F1"/>
    <w:rsid w:val="16EA25B2"/>
    <w:rsid w:val="16EB2CF3"/>
    <w:rsid w:val="16EC2E29"/>
    <w:rsid w:val="16F15E79"/>
    <w:rsid w:val="170D3C9D"/>
    <w:rsid w:val="170E15E3"/>
    <w:rsid w:val="17114CDA"/>
    <w:rsid w:val="17120DAF"/>
    <w:rsid w:val="17195254"/>
    <w:rsid w:val="171B0873"/>
    <w:rsid w:val="171D1C97"/>
    <w:rsid w:val="171E5AB9"/>
    <w:rsid w:val="172F3BC7"/>
    <w:rsid w:val="173175AF"/>
    <w:rsid w:val="17345CC4"/>
    <w:rsid w:val="173D7811"/>
    <w:rsid w:val="17485DCD"/>
    <w:rsid w:val="174B0534"/>
    <w:rsid w:val="17500CAE"/>
    <w:rsid w:val="17594486"/>
    <w:rsid w:val="176B7328"/>
    <w:rsid w:val="17837D43"/>
    <w:rsid w:val="1787400B"/>
    <w:rsid w:val="178A6137"/>
    <w:rsid w:val="178B7FFB"/>
    <w:rsid w:val="179E2C66"/>
    <w:rsid w:val="179E550D"/>
    <w:rsid w:val="17A162D8"/>
    <w:rsid w:val="17A64BC2"/>
    <w:rsid w:val="17A843ED"/>
    <w:rsid w:val="17AF749F"/>
    <w:rsid w:val="17B02152"/>
    <w:rsid w:val="17B0229A"/>
    <w:rsid w:val="17B203EC"/>
    <w:rsid w:val="17B21D45"/>
    <w:rsid w:val="17B52F6B"/>
    <w:rsid w:val="17B6223E"/>
    <w:rsid w:val="17C12F47"/>
    <w:rsid w:val="17C46ECD"/>
    <w:rsid w:val="17C80BB2"/>
    <w:rsid w:val="17D21452"/>
    <w:rsid w:val="17D4076F"/>
    <w:rsid w:val="17D717AC"/>
    <w:rsid w:val="17D80457"/>
    <w:rsid w:val="17DA4BC0"/>
    <w:rsid w:val="17DB6278"/>
    <w:rsid w:val="17E22481"/>
    <w:rsid w:val="17E25C7D"/>
    <w:rsid w:val="17E83D6C"/>
    <w:rsid w:val="17ED66FC"/>
    <w:rsid w:val="17F5737D"/>
    <w:rsid w:val="17F846C9"/>
    <w:rsid w:val="17FB3FCC"/>
    <w:rsid w:val="180321DD"/>
    <w:rsid w:val="180760D8"/>
    <w:rsid w:val="1818495A"/>
    <w:rsid w:val="18272B42"/>
    <w:rsid w:val="182A2267"/>
    <w:rsid w:val="182A68D9"/>
    <w:rsid w:val="182B77D9"/>
    <w:rsid w:val="182C2ECD"/>
    <w:rsid w:val="18327BB4"/>
    <w:rsid w:val="183A78DA"/>
    <w:rsid w:val="183C2B86"/>
    <w:rsid w:val="183E70D9"/>
    <w:rsid w:val="184848A2"/>
    <w:rsid w:val="184947FC"/>
    <w:rsid w:val="18494A07"/>
    <w:rsid w:val="184E4564"/>
    <w:rsid w:val="184E476B"/>
    <w:rsid w:val="185128C7"/>
    <w:rsid w:val="185305FC"/>
    <w:rsid w:val="185B1E99"/>
    <w:rsid w:val="18641C1E"/>
    <w:rsid w:val="18661B11"/>
    <w:rsid w:val="18672DC7"/>
    <w:rsid w:val="18692B82"/>
    <w:rsid w:val="186C0360"/>
    <w:rsid w:val="186C5231"/>
    <w:rsid w:val="186E4051"/>
    <w:rsid w:val="1870396C"/>
    <w:rsid w:val="18802368"/>
    <w:rsid w:val="18891C00"/>
    <w:rsid w:val="189B4C4A"/>
    <w:rsid w:val="18AA31A0"/>
    <w:rsid w:val="18B43473"/>
    <w:rsid w:val="18BB159B"/>
    <w:rsid w:val="18BC7A48"/>
    <w:rsid w:val="18BE2D92"/>
    <w:rsid w:val="18C766B0"/>
    <w:rsid w:val="18D14E64"/>
    <w:rsid w:val="18D51863"/>
    <w:rsid w:val="18D65F4C"/>
    <w:rsid w:val="18D66E10"/>
    <w:rsid w:val="18DA2281"/>
    <w:rsid w:val="18DB623B"/>
    <w:rsid w:val="18DE2748"/>
    <w:rsid w:val="18E35D83"/>
    <w:rsid w:val="18E64B8F"/>
    <w:rsid w:val="18E75DC6"/>
    <w:rsid w:val="18ED342C"/>
    <w:rsid w:val="18F37E90"/>
    <w:rsid w:val="18F40FDA"/>
    <w:rsid w:val="18FC1E29"/>
    <w:rsid w:val="19025156"/>
    <w:rsid w:val="190755FC"/>
    <w:rsid w:val="190B1470"/>
    <w:rsid w:val="19152702"/>
    <w:rsid w:val="191561A2"/>
    <w:rsid w:val="19161F46"/>
    <w:rsid w:val="19220271"/>
    <w:rsid w:val="192F3D63"/>
    <w:rsid w:val="19306AC9"/>
    <w:rsid w:val="19317E9A"/>
    <w:rsid w:val="19322C90"/>
    <w:rsid w:val="193651BA"/>
    <w:rsid w:val="1941648B"/>
    <w:rsid w:val="19426777"/>
    <w:rsid w:val="194F2F55"/>
    <w:rsid w:val="19505FF7"/>
    <w:rsid w:val="1952757F"/>
    <w:rsid w:val="195A5601"/>
    <w:rsid w:val="195B0EE9"/>
    <w:rsid w:val="195E6D67"/>
    <w:rsid w:val="1968384E"/>
    <w:rsid w:val="196B16A4"/>
    <w:rsid w:val="19710C86"/>
    <w:rsid w:val="197B3F94"/>
    <w:rsid w:val="197C753A"/>
    <w:rsid w:val="19846937"/>
    <w:rsid w:val="198807B4"/>
    <w:rsid w:val="1988169E"/>
    <w:rsid w:val="198C309D"/>
    <w:rsid w:val="199256FE"/>
    <w:rsid w:val="19925D22"/>
    <w:rsid w:val="19954E27"/>
    <w:rsid w:val="19957B05"/>
    <w:rsid w:val="199863EF"/>
    <w:rsid w:val="199F5FE1"/>
    <w:rsid w:val="19AC4BB5"/>
    <w:rsid w:val="19C27CF4"/>
    <w:rsid w:val="19C61372"/>
    <w:rsid w:val="19CC17C4"/>
    <w:rsid w:val="19CD1E7E"/>
    <w:rsid w:val="19CE4CE2"/>
    <w:rsid w:val="19CF196B"/>
    <w:rsid w:val="19DE3E68"/>
    <w:rsid w:val="19E06F39"/>
    <w:rsid w:val="19E9102B"/>
    <w:rsid w:val="19F2097C"/>
    <w:rsid w:val="19F32606"/>
    <w:rsid w:val="1A0675D6"/>
    <w:rsid w:val="1A100ECA"/>
    <w:rsid w:val="1A125C0D"/>
    <w:rsid w:val="1A1F0466"/>
    <w:rsid w:val="1A23018E"/>
    <w:rsid w:val="1A231C5D"/>
    <w:rsid w:val="1A2949A8"/>
    <w:rsid w:val="1A2A6360"/>
    <w:rsid w:val="1A2C52DD"/>
    <w:rsid w:val="1A2E21E3"/>
    <w:rsid w:val="1A347B37"/>
    <w:rsid w:val="1A3F16E3"/>
    <w:rsid w:val="1A4B1581"/>
    <w:rsid w:val="1A6840B3"/>
    <w:rsid w:val="1A692F5F"/>
    <w:rsid w:val="1A6B6A70"/>
    <w:rsid w:val="1A6E342D"/>
    <w:rsid w:val="1A7046A3"/>
    <w:rsid w:val="1A7162B1"/>
    <w:rsid w:val="1A7162FC"/>
    <w:rsid w:val="1A720362"/>
    <w:rsid w:val="1A784212"/>
    <w:rsid w:val="1A7A5496"/>
    <w:rsid w:val="1A8319DD"/>
    <w:rsid w:val="1A9471F3"/>
    <w:rsid w:val="1A9D0F78"/>
    <w:rsid w:val="1AA24804"/>
    <w:rsid w:val="1AA36AC3"/>
    <w:rsid w:val="1AAC4865"/>
    <w:rsid w:val="1AB1106D"/>
    <w:rsid w:val="1AB33544"/>
    <w:rsid w:val="1AB401A9"/>
    <w:rsid w:val="1AB54D1C"/>
    <w:rsid w:val="1AB941EF"/>
    <w:rsid w:val="1AB959A4"/>
    <w:rsid w:val="1ABB16E6"/>
    <w:rsid w:val="1AC63091"/>
    <w:rsid w:val="1AC75577"/>
    <w:rsid w:val="1AC86DED"/>
    <w:rsid w:val="1ACA0281"/>
    <w:rsid w:val="1AD6359E"/>
    <w:rsid w:val="1ADB4A5C"/>
    <w:rsid w:val="1ADD0462"/>
    <w:rsid w:val="1AED1B40"/>
    <w:rsid w:val="1AF221ED"/>
    <w:rsid w:val="1AFB0159"/>
    <w:rsid w:val="1AFD6C87"/>
    <w:rsid w:val="1B003CA6"/>
    <w:rsid w:val="1B01047E"/>
    <w:rsid w:val="1B035899"/>
    <w:rsid w:val="1B0717F7"/>
    <w:rsid w:val="1B082413"/>
    <w:rsid w:val="1B0C0FE4"/>
    <w:rsid w:val="1B0E348E"/>
    <w:rsid w:val="1B1160C8"/>
    <w:rsid w:val="1B130753"/>
    <w:rsid w:val="1B137D82"/>
    <w:rsid w:val="1B17558D"/>
    <w:rsid w:val="1B186706"/>
    <w:rsid w:val="1B1B381E"/>
    <w:rsid w:val="1B1C3B6E"/>
    <w:rsid w:val="1B28256B"/>
    <w:rsid w:val="1B2F0677"/>
    <w:rsid w:val="1B394A62"/>
    <w:rsid w:val="1B424F6B"/>
    <w:rsid w:val="1B4A7A11"/>
    <w:rsid w:val="1B517E47"/>
    <w:rsid w:val="1B5223B5"/>
    <w:rsid w:val="1B5A09A3"/>
    <w:rsid w:val="1B63398A"/>
    <w:rsid w:val="1B6621F9"/>
    <w:rsid w:val="1B6622BD"/>
    <w:rsid w:val="1B676C45"/>
    <w:rsid w:val="1B6C79DC"/>
    <w:rsid w:val="1B6E7845"/>
    <w:rsid w:val="1B710A93"/>
    <w:rsid w:val="1B710AB2"/>
    <w:rsid w:val="1B711BAD"/>
    <w:rsid w:val="1B716CCF"/>
    <w:rsid w:val="1B743A9D"/>
    <w:rsid w:val="1B794512"/>
    <w:rsid w:val="1B7B5BD4"/>
    <w:rsid w:val="1B830F9B"/>
    <w:rsid w:val="1B8C02DC"/>
    <w:rsid w:val="1B963188"/>
    <w:rsid w:val="1B9B5EF0"/>
    <w:rsid w:val="1B9F1954"/>
    <w:rsid w:val="1BA03394"/>
    <w:rsid w:val="1BA5465C"/>
    <w:rsid w:val="1BA72C9E"/>
    <w:rsid w:val="1BA8081F"/>
    <w:rsid w:val="1BA83C5A"/>
    <w:rsid w:val="1BBB3060"/>
    <w:rsid w:val="1BEC55BF"/>
    <w:rsid w:val="1BEF0D71"/>
    <w:rsid w:val="1BF0061D"/>
    <w:rsid w:val="1BF07F2B"/>
    <w:rsid w:val="1BF14316"/>
    <w:rsid w:val="1BF170C0"/>
    <w:rsid w:val="1BFE2EB1"/>
    <w:rsid w:val="1C0139E3"/>
    <w:rsid w:val="1C05072B"/>
    <w:rsid w:val="1C08569C"/>
    <w:rsid w:val="1C0938C0"/>
    <w:rsid w:val="1C1661FB"/>
    <w:rsid w:val="1C1C0455"/>
    <w:rsid w:val="1C291F3A"/>
    <w:rsid w:val="1C2C60CF"/>
    <w:rsid w:val="1C2E0F26"/>
    <w:rsid w:val="1C303F46"/>
    <w:rsid w:val="1C351BDF"/>
    <w:rsid w:val="1C364FBB"/>
    <w:rsid w:val="1C37056C"/>
    <w:rsid w:val="1C372DC2"/>
    <w:rsid w:val="1C3C304F"/>
    <w:rsid w:val="1C3C4CBB"/>
    <w:rsid w:val="1C3F4340"/>
    <w:rsid w:val="1C3F4BAC"/>
    <w:rsid w:val="1C410252"/>
    <w:rsid w:val="1C420561"/>
    <w:rsid w:val="1C4D75E3"/>
    <w:rsid w:val="1C4E54BB"/>
    <w:rsid w:val="1C6E60AC"/>
    <w:rsid w:val="1C712C34"/>
    <w:rsid w:val="1C737C31"/>
    <w:rsid w:val="1C755EC6"/>
    <w:rsid w:val="1C7D5430"/>
    <w:rsid w:val="1C7E6DD6"/>
    <w:rsid w:val="1C82775E"/>
    <w:rsid w:val="1C886DA6"/>
    <w:rsid w:val="1C8C0CD9"/>
    <w:rsid w:val="1C924A69"/>
    <w:rsid w:val="1C956424"/>
    <w:rsid w:val="1C9B006B"/>
    <w:rsid w:val="1CA72F53"/>
    <w:rsid w:val="1CA93472"/>
    <w:rsid w:val="1CAB7A12"/>
    <w:rsid w:val="1CAF660F"/>
    <w:rsid w:val="1CC0637E"/>
    <w:rsid w:val="1CD14ADE"/>
    <w:rsid w:val="1CD304DF"/>
    <w:rsid w:val="1CD31C14"/>
    <w:rsid w:val="1CD437DB"/>
    <w:rsid w:val="1CD501CA"/>
    <w:rsid w:val="1CD61697"/>
    <w:rsid w:val="1CDD4DD0"/>
    <w:rsid w:val="1CE5336F"/>
    <w:rsid w:val="1CF00D07"/>
    <w:rsid w:val="1CF15DA8"/>
    <w:rsid w:val="1CF67D1E"/>
    <w:rsid w:val="1CFA135A"/>
    <w:rsid w:val="1CFE0660"/>
    <w:rsid w:val="1D086112"/>
    <w:rsid w:val="1D122202"/>
    <w:rsid w:val="1D133DED"/>
    <w:rsid w:val="1D161BD9"/>
    <w:rsid w:val="1D166C39"/>
    <w:rsid w:val="1D1C1E0E"/>
    <w:rsid w:val="1D1E7F42"/>
    <w:rsid w:val="1D2058EF"/>
    <w:rsid w:val="1D2F7F93"/>
    <w:rsid w:val="1D3E422D"/>
    <w:rsid w:val="1D416CCB"/>
    <w:rsid w:val="1D441757"/>
    <w:rsid w:val="1D4D60A6"/>
    <w:rsid w:val="1D5435EB"/>
    <w:rsid w:val="1D5748FD"/>
    <w:rsid w:val="1D5A04C2"/>
    <w:rsid w:val="1D625D36"/>
    <w:rsid w:val="1D66685F"/>
    <w:rsid w:val="1D6A1E03"/>
    <w:rsid w:val="1D6E5E99"/>
    <w:rsid w:val="1D6F4C1D"/>
    <w:rsid w:val="1D726DF4"/>
    <w:rsid w:val="1D727414"/>
    <w:rsid w:val="1D7A28E9"/>
    <w:rsid w:val="1D881AA6"/>
    <w:rsid w:val="1D8870B2"/>
    <w:rsid w:val="1D8C13DF"/>
    <w:rsid w:val="1D924DF5"/>
    <w:rsid w:val="1D947B95"/>
    <w:rsid w:val="1D977D05"/>
    <w:rsid w:val="1D99717F"/>
    <w:rsid w:val="1DA1152A"/>
    <w:rsid w:val="1DA17729"/>
    <w:rsid w:val="1DA46D2F"/>
    <w:rsid w:val="1DAB1324"/>
    <w:rsid w:val="1DB33D94"/>
    <w:rsid w:val="1DB71B0C"/>
    <w:rsid w:val="1DB87322"/>
    <w:rsid w:val="1DBB12F5"/>
    <w:rsid w:val="1DBE312E"/>
    <w:rsid w:val="1DC568E8"/>
    <w:rsid w:val="1DC905B9"/>
    <w:rsid w:val="1DCC1AE1"/>
    <w:rsid w:val="1DCF3D10"/>
    <w:rsid w:val="1DD52C95"/>
    <w:rsid w:val="1DDF0A22"/>
    <w:rsid w:val="1DE251F8"/>
    <w:rsid w:val="1DE56C4D"/>
    <w:rsid w:val="1DE66F8A"/>
    <w:rsid w:val="1DF03F79"/>
    <w:rsid w:val="1DF90AD0"/>
    <w:rsid w:val="1DFC1029"/>
    <w:rsid w:val="1E0010E5"/>
    <w:rsid w:val="1E02488D"/>
    <w:rsid w:val="1E026822"/>
    <w:rsid w:val="1E0946B1"/>
    <w:rsid w:val="1E0D654D"/>
    <w:rsid w:val="1E15429F"/>
    <w:rsid w:val="1E1936E2"/>
    <w:rsid w:val="1E2F4831"/>
    <w:rsid w:val="1E2F7E6A"/>
    <w:rsid w:val="1E316F3B"/>
    <w:rsid w:val="1E35253E"/>
    <w:rsid w:val="1E362983"/>
    <w:rsid w:val="1E3664AC"/>
    <w:rsid w:val="1E3B3756"/>
    <w:rsid w:val="1E3B68CF"/>
    <w:rsid w:val="1E42295E"/>
    <w:rsid w:val="1E513378"/>
    <w:rsid w:val="1E555226"/>
    <w:rsid w:val="1E55755B"/>
    <w:rsid w:val="1E562A2B"/>
    <w:rsid w:val="1E574D5F"/>
    <w:rsid w:val="1E580F13"/>
    <w:rsid w:val="1E667CA7"/>
    <w:rsid w:val="1E691745"/>
    <w:rsid w:val="1E6A4BC5"/>
    <w:rsid w:val="1E717B3F"/>
    <w:rsid w:val="1E7C0376"/>
    <w:rsid w:val="1E807336"/>
    <w:rsid w:val="1E834B27"/>
    <w:rsid w:val="1E8A30AB"/>
    <w:rsid w:val="1E8B77CA"/>
    <w:rsid w:val="1E915413"/>
    <w:rsid w:val="1EA57DDD"/>
    <w:rsid w:val="1EA76FAD"/>
    <w:rsid w:val="1EA93CB7"/>
    <w:rsid w:val="1EAC46E1"/>
    <w:rsid w:val="1EBF7C85"/>
    <w:rsid w:val="1EBF7DB4"/>
    <w:rsid w:val="1EC51BE3"/>
    <w:rsid w:val="1ED14379"/>
    <w:rsid w:val="1ED633CB"/>
    <w:rsid w:val="1ED74825"/>
    <w:rsid w:val="1ED81999"/>
    <w:rsid w:val="1EDE4465"/>
    <w:rsid w:val="1EEC1494"/>
    <w:rsid w:val="1EFC2746"/>
    <w:rsid w:val="1F0E1899"/>
    <w:rsid w:val="1F1009BC"/>
    <w:rsid w:val="1F1345B8"/>
    <w:rsid w:val="1F1F220E"/>
    <w:rsid w:val="1F29752C"/>
    <w:rsid w:val="1F303D33"/>
    <w:rsid w:val="1F311DDD"/>
    <w:rsid w:val="1F3B03F9"/>
    <w:rsid w:val="1F3D3F55"/>
    <w:rsid w:val="1F3D5FA0"/>
    <w:rsid w:val="1F471EDC"/>
    <w:rsid w:val="1F4B71A9"/>
    <w:rsid w:val="1F5641D9"/>
    <w:rsid w:val="1F5836B2"/>
    <w:rsid w:val="1F5D2DEC"/>
    <w:rsid w:val="1F5F70AB"/>
    <w:rsid w:val="1F6257F5"/>
    <w:rsid w:val="1F657094"/>
    <w:rsid w:val="1F682A24"/>
    <w:rsid w:val="1F691EAA"/>
    <w:rsid w:val="1F701539"/>
    <w:rsid w:val="1F7372F5"/>
    <w:rsid w:val="1F823A46"/>
    <w:rsid w:val="1F864D10"/>
    <w:rsid w:val="1F8D28F4"/>
    <w:rsid w:val="1F9815C2"/>
    <w:rsid w:val="1F9A02F9"/>
    <w:rsid w:val="1F9D1CC5"/>
    <w:rsid w:val="1F9E1901"/>
    <w:rsid w:val="1FAC4375"/>
    <w:rsid w:val="1FB077F8"/>
    <w:rsid w:val="1FBA7AF9"/>
    <w:rsid w:val="1FCA3429"/>
    <w:rsid w:val="1FD35026"/>
    <w:rsid w:val="1FD75336"/>
    <w:rsid w:val="1FDC25DF"/>
    <w:rsid w:val="1FDD415B"/>
    <w:rsid w:val="1FE7501A"/>
    <w:rsid w:val="1FEB3598"/>
    <w:rsid w:val="1FF021A6"/>
    <w:rsid w:val="1FF46CC3"/>
    <w:rsid w:val="1FFA7C50"/>
    <w:rsid w:val="1FFE0E9B"/>
    <w:rsid w:val="2001644B"/>
    <w:rsid w:val="201233DB"/>
    <w:rsid w:val="201D39E5"/>
    <w:rsid w:val="20202AE3"/>
    <w:rsid w:val="2027247F"/>
    <w:rsid w:val="2027689A"/>
    <w:rsid w:val="202D50B5"/>
    <w:rsid w:val="202D5CC0"/>
    <w:rsid w:val="203931DD"/>
    <w:rsid w:val="203F5A50"/>
    <w:rsid w:val="20405024"/>
    <w:rsid w:val="2044422D"/>
    <w:rsid w:val="2047545C"/>
    <w:rsid w:val="204F44CC"/>
    <w:rsid w:val="20544B33"/>
    <w:rsid w:val="20610677"/>
    <w:rsid w:val="20660311"/>
    <w:rsid w:val="206D5C7B"/>
    <w:rsid w:val="20707D32"/>
    <w:rsid w:val="20784A30"/>
    <w:rsid w:val="2078731A"/>
    <w:rsid w:val="207D543B"/>
    <w:rsid w:val="2084639F"/>
    <w:rsid w:val="208C1451"/>
    <w:rsid w:val="208F26D5"/>
    <w:rsid w:val="208F3B88"/>
    <w:rsid w:val="20951A61"/>
    <w:rsid w:val="2095467F"/>
    <w:rsid w:val="20A53297"/>
    <w:rsid w:val="20A75E90"/>
    <w:rsid w:val="20A80E66"/>
    <w:rsid w:val="20A9102E"/>
    <w:rsid w:val="20AB1315"/>
    <w:rsid w:val="20AE7A7B"/>
    <w:rsid w:val="20B227EB"/>
    <w:rsid w:val="20B2570D"/>
    <w:rsid w:val="20B63056"/>
    <w:rsid w:val="20BA0338"/>
    <w:rsid w:val="20BB3F3A"/>
    <w:rsid w:val="20BE7FB9"/>
    <w:rsid w:val="20C7436A"/>
    <w:rsid w:val="20CA3A9B"/>
    <w:rsid w:val="20CC42F8"/>
    <w:rsid w:val="20CF706D"/>
    <w:rsid w:val="20D53C5B"/>
    <w:rsid w:val="20DC74D8"/>
    <w:rsid w:val="20E025E2"/>
    <w:rsid w:val="20E54358"/>
    <w:rsid w:val="20F01DD4"/>
    <w:rsid w:val="20F21F44"/>
    <w:rsid w:val="20F36CEF"/>
    <w:rsid w:val="20F74A29"/>
    <w:rsid w:val="21022B73"/>
    <w:rsid w:val="21082488"/>
    <w:rsid w:val="211420C2"/>
    <w:rsid w:val="21143DF3"/>
    <w:rsid w:val="21203BF3"/>
    <w:rsid w:val="212541AC"/>
    <w:rsid w:val="2126640A"/>
    <w:rsid w:val="212B7B80"/>
    <w:rsid w:val="213373FD"/>
    <w:rsid w:val="21386170"/>
    <w:rsid w:val="21496E23"/>
    <w:rsid w:val="21545F76"/>
    <w:rsid w:val="21566BC4"/>
    <w:rsid w:val="215847B4"/>
    <w:rsid w:val="21631882"/>
    <w:rsid w:val="2164279F"/>
    <w:rsid w:val="216F666F"/>
    <w:rsid w:val="21736E63"/>
    <w:rsid w:val="21797198"/>
    <w:rsid w:val="217D7134"/>
    <w:rsid w:val="218113D9"/>
    <w:rsid w:val="21830D76"/>
    <w:rsid w:val="21833214"/>
    <w:rsid w:val="21863E67"/>
    <w:rsid w:val="219670A9"/>
    <w:rsid w:val="219A7F2A"/>
    <w:rsid w:val="219E6618"/>
    <w:rsid w:val="21AC21C4"/>
    <w:rsid w:val="21B92030"/>
    <w:rsid w:val="21BE6D8D"/>
    <w:rsid w:val="21C20498"/>
    <w:rsid w:val="21C53C4C"/>
    <w:rsid w:val="21C62EB9"/>
    <w:rsid w:val="21CE2A6A"/>
    <w:rsid w:val="21D77034"/>
    <w:rsid w:val="21E31EBF"/>
    <w:rsid w:val="21F5489F"/>
    <w:rsid w:val="21F65FB7"/>
    <w:rsid w:val="21FC462C"/>
    <w:rsid w:val="22026D81"/>
    <w:rsid w:val="220E7481"/>
    <w:rsid w:val="22141638"/>
    <w:rsid w:val="22143621"/>
    <w:rsid w:val="221D48A9"/>
    <w:rsid w:val="221D6928"/>
    <w:rsid w:val="22217958"/>
    <w:rsid w:val="22236952"/>
    <w:rsid w:val="222414AC"/>
    <w:rsid w:val="2226374C"/>
    <w:rsid w:val="2226546D"/>
    <w:rsid w:val="2227046A"/>
    <w:rsid w:val="222837AA"/>
    <w:rsid w:val="222C2B2A"/>
    <w:rsid w:val="223C5E93"/>
    <w:rsid w:val="223C73DB"/>
    <w:rsid w:val="224B2834"/>
    <w:rsid w:val="224F5EE6"/>
    <w:rsid w:val="2250234F"/>
    <w:rsid w:val="22524EE8"/>
    <w:rsid w:val="22636F69"/>
    <w:rsid w:val="226B2183"/>
    <w:rsid w:val="226B24B6"/>
    <w:rsid w:val="22744EE3"/>
    <w:rsid w:val="227B1C7E"/>
    <w:rsid w:val="227C10C8"/>
    <w:rsid w:val="22896D8F"/>
    <w:rsid w:val="228D2198"/>
    <w:rsid w:val="228D628A"/>
    <w:rsid w:val="22912101"/>
    <w:rsid w:val="22956267"/>
    <w:rsid w:val="229B6D05"/>
    <w:rsid w:val="229E2206"/>
    <w:rsid w:val="22AA29F7"/>
    <w:rsid w:val="22AC7CA6"/>
    <w:rsid w:val="22AD0176"/>
    <w:rsid w:val="22AF7A2F"/>
    <w:rsid w:val="22C44175"/>
    <w:rsid w:val="22C92BFF"/>
    <w:rsid w:val="22CB431B"/>
    <w:rsid w:val="22CC3DD9"/>
    <w:rsid w:val="22D56605"/>
    <w:rsid w:val="22DA13D4"/>
    <w:rsid w:val="22DB145B"/>
    <w:rsid w:val="22E42FC5"/>
    <w:rsid w:val="22E973FE"/>
    <w:rsid w:val="22EA25CD"/>
    <w:rsid w:val="22EC47C4"/>
    <w:rsid w:val="23004630"/>
    <w:rsid w:val="23012AA3"/>
    <w:rsid w:val="23017A99"/>
    <w:rsid w:val="230B25DC"/>
    <w:rsid w:val="230C0A0D"/>
    <w:rsid w:val="231A24F3"/>
    <w:rsid w:val="231C12DA"/>
    <w:rsid w:val="231E3588"/>
    <w:rsid w:val="23246149"/>
    <w:rsid w:val="232879FD"/>
    <w:rsid w:val="233879A2"/>
    <w:rsid w:val="233B0BE1"/>
    <w:rsid w:val="233B4D29"/>
    <w:rsid w:val="234F223A"/>
    <w:rsid w:val="23551DF4"/>
    <w:rsid w:val="235736AF"/>
    <w:rsid w:val="235B6BAA"/>
    <w:rsid w:val="235E1BF2"/>
    <w:rsid w:val="236325E9"/>
    <w:rsid w:val="23646CDE"/>
    <w:rsid w:val="236544B8"/>
    <w:rsid w:val="236756C2"/>
    <w:rsid w:val="236B1EBA"/>
    <w:rsid w:val="236D6B58"/>
    <w:rsid w:val="237016C5"/>
    <w:rsid w:val="237227E4"/>
    <w:rsid w:val="2375329B"/>
    <w:rsid w:val="23826061"/>
    <w:rsid w:val="23844B35"/>
    <w:rsid w:val="238D0E0F"/>
    <w:rsid w:val="23952D16"/>
    <w:rsid w:val="2399732F"/>
    <w:rsid w:val="239C74FA"/>
    <w:rsid w:val="23A34A3E"/>
    <w:rsid w:val="23A35104"/>
    <w:rsid w:val="23AA01D1"/>
    <w:rsid w:val="23AD65FA"/>
    <w:rsid w:val="23AD6DAE"/>
    <w:rsid w:val="23BE73BC"/>
    <w:rsid w:val="23C04638"/>
    <w:rsid w:val="23C06064"/>
    <w:rsid w:val="23C16FF2"/>
    <w:rsid w:val="23C94901"/>
    <w:rsid w:val="23D149C0"/>
    <w:rsid w:val="23D95E44"/>
    <w:rsid w:val="23DD4C82"/>
    <w:rsid w:val="23E67D01"/>
    <w:rsid w:val="23F131EA"/>
    <w:rsid w:val="23F2005C"/>
    <w:rsid w:val="23F90719"/>
    <w:rsid w:val="24061DD1"/>
    <w:rsid w:val="24143C29"/>
    <w:rsid w:val="24196BF0"/>
    <w:rsid w:val="241C1242"/>
    <w:rsid w:val="243D3065"/>
    <w:rsid w:val="243E16FE"/>
    <w:rsid w:val="244C40A6"/>
    <w:rsid w:val="2451338A"/>
    <w:rsid w:val="245240CE"/>
    <w:rsid w:val="2455336C"/>
    <w:rsid w:val="245575F8"/>
    <w:rsid w:val="24562FD4"/>
    <w:rsid w:val="24633CCB"/>
    <w:rsid w:val="24661623"/>
    <w:rsid w:val="246935A0"/>
    <w:rsid w:val="24693FAC"/>
    <w:rsid w:val="246E0486"/>
    <w:rsid w:val="247121F3"/>
    <w:rsid w:val="24787D6B"/>
    <w:rsid w:val="247A2A5F"/>
    <w:rsid w:val="247A7CAD"/>
    <w:rsid w:val="247C1A2B"/>
    <w:rsid w:val="248161FF"/>
    <w:rsid w:val="24947808"/>
    <w:rsid w:val="2497786D"/>
    <w:rsid w:val="249A61C7"/>
    <w:rsid w:val="24AA55D4"/>
    <w:rsid w:val="24AA62B2"/>
    <w:rsid w:val="24BD7C97"/>
    <w:rsid w:val="24C6743F"/>
    <w:rsid w:val="24C75CE5"/>
    <w:rsid w:val="24D1244A"/>
    <w:rsid w:val="24D34B3A"/>
    <w:rsid w:val="24D74B21"/>
    <w:rsid w:val="24DC170C"/>
    <w:rsid w:val="24E21920"/>
    <w:rsid w:val="24E35D60"/>
    <w:rsid w:val="24E460A0"/>
    <w:rsid w:val="24E510F2"/>
    <w:rsid w:val="24E915BD"/>
    <w:rsid w:val="24ED7B4E"/>
    <w:rsid w:val="24F4656F"/>
    <w:rsid w:val="24F568DC"/>
    <w:rsid w:val="250C2E4B"/>
    <w:rsid w:val="250E1A92"/>
    <w:rsid w:val="251A3060"/>
    <w:rsid w:val="2526439D"/>
    <w:rsid w:val="25284889"/>
    <w:rsid w:val="252A1C0B"/>
    <w:rsid w:val="252C551E"/>
    <w:rsid w:val="25415062"/>
    <w:rsid w:val="25415860"/>
    <w:rsid w:val="254701A8"/>
    <w:rsid w:val="254D6899"/>
    <w:rsid w:val="2552201A"/>
    <w:rsid w:val="255259C2"/>
    <w:rsid w:val="256574DB"/>
    <w:rsid w:val="256637A3"/>
    <w:rsid w:val="256900A1"/>
    <w:rsid w:val="256E7617"/>
    <w:rsid w:val="256F7E7B"/>
    <w:rsid w:val="25732C46"/>
    <w:rsid w:val="2576425C"/>
    <w:rsid w:val="257F2946"/>
    <w:rsid w:val="257F3630"/>
    <w:rsid w:val="25802646"/>
    <w:rsid w:val="25881D92"/>
    <w:rsid w:val="2589131A"/>
    <w:rsid w:val="25892DA8"/>
    <w:rsid w:val="259213C0"/>
    <w:rsid w:val="259D1A4B"/>
    <w:rsid w:val="25B2408B"/>
    <w:rsid w:val="25B343FC"/>
    <w:rsid w:val="25B57786"/>
    <w:rsid w:val="25B8086F"/>
    <w:rsid w:val="25BA44BB"/>
    <w:rsid w:val="25BC283A"/>
    <w:rsid w:val="25DB7943"/>
    <w:rsid w:val="25DC312F"/>
    <w:rsid w:val="25DC7B2E"/>
    <w:rsid w:val="25DE4041"/>
    <w:rsid w:val="25ED6C1C"/>
    <w:rsid w:val="25FA2F81"/>
    <w:rsid w:val="26051FB4"/>
    <w:rsid w:val="261D4D67"/>
    <w:rsid w:val="261D757C"/>
    <w:rsid w:val="2629712E"/>
    <w:rsid w:val="26352513"/>
    <w:rsid w:val="26370332"/>
    <w:rsid w:val="263E2DBD"/>
    <w:rsid w:val="26465013"/>
    <w:rsid w:val="264F7682"/>
    <w:rsid w:val="26510C56"/>
    <w:rsid w:val="2651755A"/>
    <w:rsid w:val="26544D6D"/>
    <w:rsid w:val="26612986"/>
    <w:rsid w:val="26617586"/>
    <w:rsid w:val="26631865"/>
    <w:rsid w:val="26651951"/>
    <w:rsid w:val="2666016E"/>
    <w:rsid w:val="267034CD"/>
    <w:rsid w:val="26763EDF"/>
    <w:rsid w:val="268003DF"/>
    <w:rsid w:val="26842B0F"/>
    <w:rsid w:val="268C2E35"/>
    <w:rsid w:val="2691191E"/>
    <w:rsid w:val="2693540A"/>
    <w:rsid w:val="26970580"/>
    <w:rsid w:val="269B3DA5"/>
    <w:rsid w:val="26A016A9"/>
    <w:rsid w:val="26A434B5"/>
    <w:rsid w:val="26B61F00"/>
    <w:rsid w:val="26BD0F8E"/>
    <w:rsid w:val="26C069A2"/>
    <w:rsid w:val="26C311A3"/>
    <w:rsid w:val="26C34923"/>
    <w:rsid w:val="26C804EE"/>
    <w:rsid w:val="26C91071"/>
    <w:rsid w:val="26CC27FB"/>
    <w:rsid w:val="26D74952"/>
    <w:rsid w:val="26DF31B1"/>
    <w:rsid w:val="26EF4F0D"/>
    <w:rsid w:val="26F135E9"/>
    <w:rsid w:val="27013A64"/>
    <w:rsid w:val="27105FD9"/>
    <w:rsid w:val="2711234F"/>
    <w:rsid w:val="2721429C"/>
    <w:rsid w:val="272624ED"/>
    <w:rsid w:val="27281466"/>
    <w:rsid w:val="272B20CF"/>
    <w:rsid w:val="272D420F"/>
    <w:rsid w:val="272E6E53"/>
    <w:rsid w:val="27370316"/>
    <w:rsid w:val="273E4B1E"/>
    <w:rsid w:val="27420744"/>
    <w:rsid w:val="274F4ACE"/>
    <w:rsid w:val="2751317D"/>
    <w:rsid w:val="2753624C"/>
    <w:rsid w:val="27591818"/>
    <w:rsid w:val="2760200C"/>
    <w:rsid w:val="27606615"/>
    <w:rsid w:val="27612D04"/>
    <w:rsid w:val="27620D0E"/>
    <w:rsid w:val="276357B1"/>
    <w:rsid w:val="27645560"/>
    <w:rsid w:val="276F4BF4"/>
    <w:rsid w:val="277143F3"/>
    <w:rsid w:val="277C2819"/>
    <w:rsid w:val="278D779B"/>
    <w:rsid w:val="279B441F"/>
    <w:rsid w:val="279E64DD"/>
    <w:rsid w:val="27A01CCE"/>
    <w:rsid w:val="27B74BB2"/>
    <w:rsid w:val="27B82822"/>
    <w:rsid w:val="27BA2529"/>
    <w:rsid w:val="27BA3B33"/>
    <w:rsid w:val="27BB00D3"/>
    <w:rsid w:val="27C06E30"/>
    <w:rsid w:val="27C12B9F"/>
    <w:rsid w:val="27C35FA8"/>
    <w:rsid w:val="27C603EB"/>
    <w:rsid w:val="27C75AA7"/>
    <w:rsid w:val="27D37B46"/>
    <w:rsid w:val="27D418C5"/>
    <w:rsid w:val="27E01AB7"/>
    <w:rsid w:val="27E15B37"/>
    <w:rsid w:val="27E71F9B"/>
    <w:rsid w:val="27E7258E"/>
    <w:rsid w:val="27EC02D6"/>
    <w:rsid w:val="27F64808"/>
    <w:rsid w:val="27FA0D7E"/>
    <w:rsid w:val="27FD58E0"/>
    <w:rsid w:val="27FE3D1F"/>
    <w:rsid w:val="280044BD"/>
    <w:rsid w:val="280827A5"/>
    <w:rsid w:val="280E42EC"/>
    <w:rsid w:val="280F5EA6"/>
    <w:rsid w:val="28120E19"/>
    <w:rsid w:val="281C7F1F"/>
    <w:rsid w:val="282A29B9"/>
    <w:rsid w:val="282C6AD4"/>
    <w:rsid w:val="28305591"/>
    <w:rsid w:val="283C0860"/>
    <w:rsid w:val="28491D33"/>
    <w:rsid w:val="284A2997"/>
    <w:rsid w:val="285064D0"/>
    <w:rsid w:val="28514316"/>
    <w:rsid w:val="28591DA6"/>
    <w:rsid w:val="28634ABE"/>
    <w:rsid w:val="28665852"/>
    <w:rsid w:val="287617B5"/>
    <w:rsid w:val="28762002"/>
    <w:rsid w:val="287F2631"/>
    <w:rsid w:val="288B4A00"/>
    <w:rsid w:val="288E0B97"/>
    <w:rsid w:val="289D6564"/>
    <w:rsid w:val="289E0FF2"/>
    <w:rsid w:val="289E4998"/>
    <w:rsid w:val="289F607B"/>
    <w:rsid w:val="28A17C43"/>
    <w:rsid w:val="28A53CBF"/>
    <w:rsid w:val="28A87A23"/>
    <w:rsid w:val="28AA32C5"/>
    <w:rsid w:val="28B25B27"/>
    <w:rsid w:val="28BC094E"/>
    <w:rsid w:val="28BE2CCF"/>
    <w:rsid w:val="28BE54CA"/>
    <w:rsid w:val="28C55A80"/>
    <w:rsid w:val="28C6452E"/>
    <w:rsid w:val="28CF66D1"/>
    <w:rsid w:val="28D23074"/>
    <w:rsid w:val="28D96F16"/>
    <w:rsid w:val="28DB12B8"/>
    <w:rsid w:val="28DD3F76"/>
    <w:rsid w:val="28E710AD"/>
    <w:rsid w:val="28EF2F46"/>
    <w:rsid w:val="28F17600"/>
    <w:rsid w:val="28F24B68"/>
    <w:rsid w:val="29023D0C"/>
    <w:rsid w:val="290D3176"/>
    <w:rsid w:val="290E7729"/>
    <w:rsid w:val="29113D59"/>
    <w:rsid w:val="291561C6"/>
    <w:rsid w:val="291B52C6"/>
    <w:rsid w:val="291E7CEC"/>
    <w:rsid w:val="291F59F3"/>
    <w:rsid w:val="2930296C"/>
    <w:rsid w:val="2932566B"/>
    <w:rsid w:val="29337217"/>
    <w:rsid w:val="293B46C3"/>
    <w:rsid w:val="29405C38"/>
    <w:rsid w:val="2941700D"/>
    <w:rsid w:val="29447FD2"/>
    <w:rsid w:val="29475FFB"/>
    <w:rsid w:val="294A1B6C"/>
    <w:rsid w:val="295150CB"/>
    <w:rsid w:val="295276A8"/>
    <w:rsid w:val="29545CEA"/>
    <w:rsid w:val="295518F8"/>
    <w:rsid w:val="29585B6D"/>
    <w:rsid w:val="29620633"/>
    <w:rsid w:val="29686DA3"/>
    <w:rsid w:val="296E31C7"/>
    <w:rsid w:val="29723BB2"/>
    <w:rsid w:val="297D70D8"/>
    <w:rsid w:val="297F49CB"/>
    <w:rsid w:val="298305E8"/>
    <w:rsid w:val="29837AD1"/>
    <w:rsid w:val="298B7DEA"/>
    <w:rsid w:val="298C04F4"/>
    <w:rsid w:val="29935BEF"/>
    <w:rsid w:val="29A011B8"/>
    <w:rsid w:val="29A472DF"/>
    <w:rsid w:val="29A512BA"/>
    <w:rsid w:val="29AD7637"/>
    <w:rsid w:val="29B37F3A"/>
    <w:rsid w:val="29B41003"/>
    <w:rsid w:val="29BF655D"/>
    <w:rsid w:val="29C440E7"/>
    <w:rsid w:val="29C73A4F"/>
    <w:rsid w:val="29CB0800"/>
    <w:rsid w:val="29CE33FE"/>
    <w:rsid w:val="29D12EBE"/>
    <w:rsid w:val="29DD289D"/>
    <w:rsid w:val="29EC1890"/>
    <w:rsid w:val="29F656A9"/>
    <w:rsid w:val="2A026EA6"/>
    <w:rsid w:val="2A041F6C"/>
    <w:rsid w:val="2A0F0983"/>
    <w:rsid w:val="2A0F138E"/>
    <w:rsid w:val="2A0F1AD7"/>
    <w:rsid w:val="2A172A7D"/>
    <w:rsid w:val="2A1A71D7"/>
    <w:rsid w:val="2A1B5DEE"/>
    <w:rsid w:val="2A202F52"/>
    <w:rsid w:val="2A331F48"/>
    <w:rsid w:val="2A3E6A5C"/>
    <w:rsid w:val="2A4457C0"/>
    <w:rsid w:val="2A593B83"/>
    <w:rsid w:val="2A5B2035"/>
    <w:rsid w:val="2A6116EB"/>
    <w:rsid w:val="2A714C03"/>
    <w:rsid w:val="2A750758"/>
    <w:rsid w:val="2A77331D"/>
    <w:rsid w:val="2A7826C7"/>
    <w:rsid w:val="2A7E1637"/>
    <w:rsid w:val="2A7E1EDE"/>
    <w:rsid w:val="2A870166"/>
    <w:rsid w:val="2A897B67"/>
    <w:rsid w:val="2A971D4B"/>
    <w:rsid w:val="2A9C0706"/>
    <w:rsid w:val="2A9F5F7F"/>
    <w:rsid w:val="2AA01BBE"/>
    <w:rsid w:val="2AAA5EA1"/>
    <w:rsid w:val="2AB16030"/>
    <w:rsid w:val="2ABB5819"/>
    <w:rsid w:val="2AC61EDD"/>
    <w:rsid w:val="2AD30AA1"/>
    <w:rsid w:val="2AD35D28"/>
    <w:rsid w:val="2AD70B18"/>
    <w:rsid w:val="2ADA5270"/>
    <w:rsid w:val="2ADD06BB"/>
    <w:rsid w:val="2ADD2FC0"/>
    <w:rsid w:val="2ADF69B0"/>
    <w:rsid w:val="2AE83046"/>
    <w:rsid w:val="2AEA17F8"/>
    <w:rsid w:val="2AEB03E1"/>
    <w:rsid w:val="2AEC5583"/>
    <w:rsid w:val="2AF072F7"/>
    <w:rsid w:val="2AF67376"/>
    <w:rsid w:val="2AFC6DA6"/>
    <w:rsid w:val="2AFE2402"/>
    <w:rsid w:val="2B041C0C"/>
    <w:rsid w:val="2B0801E4"/>
    <w:rsid w:val="2B105183"/>
    <w:rsid w:val="2B1133A7"/>
    <w:rsid w:val="2B1875E1"/>
    <w:rsid w:val="2B1A5FCC"/>
    <w:rsid w:val="2B1D45B1"/>
    <w:rsid w:val="2B1E09BE"/>
    <w:rsid w:val="2B261FE2"/>
    <w:rsid w:val="2B275C70"/>
    <w:rsid w:val="2B29455C"/>
    <w:rsid w:val="2B2A5FC2"/>
    <w:rsid w:val="2B3A2AD9"/>
    <w:rsid w:val="2B3F4D84"/>
    <w:rsid w:val="2B4674F7"/>
    <w:rsid w:val="2B496CD8"/>
    <w:rsid w:val="2B4F1E4D"/>
    <w:rsid w:val="2B511746"/>
    <w:rsid w:val="2B58552F"/>
    <w:rsid w:val="2B68613A"/>
    <w:rsid w:val="2B6D1F25"/>
    <w:rsid w:val="2B6D563F"/>
    <w:rsid w:val="2B6F7246"/>
    <w:rsid w:val="2B703413"/>
    <w:rsid w:val="2B737C52"/>
    <w:rsid w:val="2B797CA5"/>
    <w:rsid w:val="2B8C3A21"/>
    <w:rsid w:val="2B8C6B7A"/>
    <w:rsid w:val="2B8D05F5"/>
    <w:rsid w:val="2B97036E"/>
    <w:rsid w:val="2B9F0F43"/>
    <w:rsid w:val="2BA52284"/>
    <w:rsid w:val="2BA700C8"/>
    <w:rsid w:val="2BAB5AA0"/>
    <w:rsid w:val="2BAC0A95"/>
    <w:rsid w:val="2BAC66B8"/>
    <w:rsid w:val="2BAF3007"/>
    <w:rsid w:val="2BB370E3"/>
    <w:rsid w:val="2BB419B4"/>
    <w:rsid w:val="2BB674D7"/>
    <w:rsid w:val="2BB77857"/>
    <w:rsid w:val="2BB94751"/>
    <w:rsid w:val="2BC15727"/>
    <w:rsid w:val="2BC74A00"/>
    <w:rsid w:val="2BD14F53"/>
    <w:rsid w:val="2BD37A17"/>
    <w:rsid w:val="2BD90BA8"/>
    <w:rsid w:val="2BE048DA"/>
    <w:rsid w:val="2BEA5B8D"/>
    <w:rsid w:val="2BED1DF2"/>
    <w:rsid w:val="2BF20924"/>
    <w:rsid w:val="2BFE13F4"/>
    <w:rsid w:val="2C036DF3"/>
    <w:rsid w:val="2C0637FF"/>
    <w:rsid w:val="2C0B1E86"/>
    <w:rsid w:val="2C1078AB"/>
    <w:rsid w:val="2C122D2F"/>
    <w:rsid w:val="2C126BF6"/>
    <w:rsid w:val="2C1305C4"/>
    <w:rsid w:val="2C1F681D"/>
    <w:rsid w:val="2C200219"/>
    <w:rsid w:val="2C2152C8"/>
    <w:rsid w:val="2C235E47"/>
    <w:rsid w:val="2C285010"/>
    <w:rsid w:val="2C2C1E8A"/>
    <w:rsid w:val="2C345CC9"/>
    <w:rsid w:val="2C3474E5"/>
    <w:rsid w:val="2C381516"/>
    <w:rsid w:val="2C3A56D1"/>
    <w:rsid w:val="2C3B59B1"/>
    <w:rsid w:val="2C3F6B11"/>
    <w:rsid w:val="2C406C09"/>
    <w:rsid w:val="2C4971E1"/>
    <w:rsid w:val="2C4B2982"/>
    <w:rsid w:val="2C4D7DCB"/>
    <w:rsid w:val="2C596A92"/>
    <w:rsid w:val="2C5D40FC"/>
    <w:rsid w:val="2C607F64"/>
    <w:rsid w:val="2C645AC5"/>
    <w:rsid w:val="2C68368E"/>
    <w:rsid w:val="2C6D47B4"/>
    <w:rsid w:val="2C731BD8"/>
    <w:rsid w:val="2C74581C"/>
    <w:rsid w:val="2C747483"/>
    <w:rsid w:val="2C892157"/>
    <w:rsid w:val="2C8B279B"/>
    <w:rsid w:val="2C90381F"/>
    <w:rsid w:val="2C935627"/>
    <w:rsid w:val="2C957780"/>
    <w:rsid w:val="2C9701C3"/>
    <w:rsid w:val="2C972789"/>
    <w:rsid w:val="2CA41EC3"/>
    <w:rsid w:val="2CA74998"/>
    <w:rsid w:val="2CAB240E"/>
    <w:rsid w:val="2CAF0B12"/>
    <w:rsid w:val="2CB2409F"/>
    <w:rsid w:val="2CB71F1D"/>
    <w:rsid w:val="2CB80B56"/>
    <w:rsid w:val="2CBF0C89"/>
    <w:rsid w:val="2CCD62EE"/>
    <w:rsid w:val="2CD45B80"/>
    <w:rsid w:val="2CD55964"/>
    <w:rsid w:val="2CD664E4"/>
    <w:rsid w:val="2CDA0321"/>
    <w:rsid w:val="2CDB7A41"/>
    <w:rsid w:val="2CDF09D7"/>
    <w:rsid w:val="2CE01CCF"/>
    <w:rsid w:val="2CE5193F"/>
    <w:rsid w:val="2CEC12AC"/>
    <w:rsid w:val="2CF4295D"/>
    <w:rsid w:val="2CF943D7"/>
    <w:rsid w:val="2D0503BE"/>
    <w:rsid w:val="2D077CB4"/>
    <w:rsid w:val="2D094838"/>
    <w:rsid w:val="2D0F4EEC"/>
    <w:rsid w:val="2D1105EE"/>
    <w:rsid w:val="2D120776"/>
    <w:rsid w:val="2D1C0025"/>
    <w:rsid w:val="2D206D6D"/>
    <w:rsid w:val="2D221E3A"/>
    <w:rsid w:val="2D2277A8"/>
    <w:rsid w:val="2D2306E8"/>
    <w:rsid w:val="2D231BD1"/>
    <w:rsid w:val="2D2A163B"/>
    <w:rsid w:val="2D30631F"/>
    <w:rsid w:val="2D391D65"/>
    <w:rsid w:val="2D3C1C22"/>
    <w:rsid w:val="2D3E7852"/>
    <w:rsid w:val="2D413C3F"/>
    <w:rsid w:val="2D442FF1"/>
    <w:rsid w:val="2D4D0556"/>
    <w:rsid w:val="2D545E0F"/>
    <w:rsid w:val="2D5A28DB"/>
    <w:rsid w:val="2D5B031E"/>
    <w:rsid w:val="2D654E96"/>
    <w:rsid w:val="2D841BEF"/>
    <w:rsid w:val="2D88315F"/>
    <w:rsid w:val="2D8F6069"/>
    <w:rsid w:val="2D937AAA"/>
    <w:rsid w:val="2D943907"/>
    <w:rsid w:val="2D9724BB"/>
    <w:rsid w:val="2DA525FC"/>
    <w:rsid w:val="2DAE5830"/>
    <w:rsid w:val="2DB2061F"/>
    <w:rsid w:val="2DB20B32"/>
    <w:rsid w:val="2DB63FD1"/>
    <w:rsid w:val="2DBB247F"/>
    <w:rsid w:val="2DC23790"/>
    <w:rsid w:val="2DC63F4D"/>
    <w:rsid w:val="2DC70941"/>
    <w:rsid w:val="2DD177EF"/>
    <w:rsid w:val="2DD7533D"/>
    <w:rsid w:val="2DDA0BFD"/>
    <w:rsid w:val="2DF30325"/>
    <w:rsid w:val="2DFB514C"/>
    <w:rsid w:val="2E05240C"/>
    <w:rsid w:val="2E082D34"/>
    <w:rsid w:val="2E0B10D5"/>
    <w:rsid w:val="2E0B29AC"/>
    <w:rsid w:val="2E0D20B7"/>
    <w:rsid w:val="2E181105"/>
    <w:rsid w:val="2E204172"/>
    <w:rsid w:val="2E2814D4"/>
    <w:rsid w:val="2E3F43E1"/>
    <w:rsid w:val="2E432779"/>
    <w:rsid w:val="2E453C1E"/>
    <w:rsid w:val="2E4551CA"/>
    <w:rsid w:val="2E4966DF"/>
    <w:rsid w:val="2E4D199A"/>
    <w:rsid w:val="2E4F6D33"/>
    <w:rsid w:val="2E547685"/>
    <w:rsid w:val="2E584C85"/>
    <w:rsid w:val="2E590505"/>
    <w:rsid w:val="2E63591F"/>
    <w:rsid w:val="2E662E64"/>
    <w:rsid w:val="2E690846"/>
    <w:rsid w:val="2E69577A"/>
    <w:rsid w:val="2E6B7A7E"/>
    <w:rsid w:val="2E6F7654"/>
    <w:rsid w:val="2E790CC3"/>
    <w:rsid w:val="2E79681C"/>
    <w:rsid w:val="2E7B3521"/>
    <w:rsid w:val="2E803D29"/>
    <w:rsid w:val="2E84697C"/>
    <w:rsid w:val="2E874B22"/>
    <w:rsid w:val="2E8D3A0F"/>
    <w:rsid w:val="2E975FE1"/>
    <w:rsid w:val="2E9B199C"/>
    <w:rsid w:val="2E9E4538"/>
    <w:rsid w:val="2EA32F53"/>
    <w:rsid w:val="2EA82282"/>
    <w:rsid w:val="2EAB4997"/>
    <w:rsid w:val="2EB11497"/>
    <w:rsid w:val="2EB41130"/>
    <w:rsid w:val="2EB500B7"/>
    <w:rsid w:val="2EB677E4"/>
    <w:rsid w:val="2EBE4357"/>
    <w:rsid w:val="2EC70120"/>
    <w:rsid w:val="2ECA0ADB"/>
    <w:rsid w:val="2ECB76C4"/>
    <w:rsid w:val="2ECD059F"/>
    <w:rsid w:val="2ED52499"/>
    <w:rsid w:val="2EEE2FE9"/>
    <w:rsid w:val="2EF103A4"/>
    <w:rsid w:val="2EF77611"/>
    <w:rsid w:val="2EFD3446"/>
    <w:rsid w:val="2F0403AF"/>
    <w:rsid w:val="2F054974"/>
    <w:rsid w:val="2F082717"/>
    <w:rsid w:val="2F0C556B"/>
    <w:rsid w:val="2F116FBA"/>
    <w:rsid w:val="2F14610E"/>
    <w:rsid w:val="2F1A7019"/>
    <w:rsid w:val="2F1D3420"/>
    <w:rsid w:val="2F2A508B"/>
    <w:rsid w:val="2F2A7961"/>
    <w:rsid w:val="2F2D4FCF"/>
    <w:rsid w:val="2F2E629B"/>
    <w:rsid w:val="2F365382"/>
    <w:rsid w:val="2F3761BD"/>
    <w:rsid w:val="2F3B5F4E"/>
    <w:rsid w:val="2F424181"/>
    <w:rsid w:val="2F4930EA"/>
    <w:rsid w:val="2F4A60D2"/>
    <w:rsid w:val="2F4C3632"/>
    <w:rsid w:val="2F5057F8"/>
    <w:rsid w:val="2F5A5F40"/>
    <w:rsid w:val="2F5E5D37"/>
    <w:rsid w:val="2F634E8B"/>
    <w:rsid w:val="2F6D1507"/>
    <w:rsid w:val="2F715DFB"/>
    <w:rsid w:val="2F735527"/>
    <w:rsid w:val="2F755D6D"/>
    <w:rsid w:val="2F767E41"/>
    <w:rsid w:val="2F773C9A"/>
    <w:rsid w:val="2F7A0872"/>
    <w:rsid w:val="2F7A7680"/>
    <w:rsid w:val="2F7E3209"/>
    <w:rsid w:val="2F803818"/>
    <w:rsid w:val="2F8210F4"/>
    <w:rsid w:val="2F837E09"/>
    <w:rsid w:val="2F8914D3"/>
    <w:rsid w:val="2F92567B"/>
    <w:rsid w:val="2F963D8B"/>
    <w:rsid w:val="2F976089"/>
    <w:rsid w:val="2F9B56FC"/>
    <w:rsid w:val="2F9C1189"/>
    <w:rsid w:val="2F9E0438"/>
    <w:rsid w:val="2FA15DF4"/>
    <w:rsid w:val="2FA343A7"/>
    <w:rsid w:val="2FA70711"/>
    <w:rsid w:val="2FAA31FD"/>
    <w:rsid w:val="2FAC6B40"/>
    <w:rsid w:val="2FB1206E"/>
    <w:rsid w:val="2FB54242"/>
    <w:rsid w:val="2FB84936"/>
    <w:rsid w:val="2FC40DFC"/>
    <w:rsid w:val="2FC4673D"/>
    <w:rsid w:val="2FC801B7"/>
    <w:rsid w:val="2FCE715A"/>
    <w:rsid w:val="2FD5296A"/>
    <w:rsid w:val="2FD66E23"/>
    <w:rsid w:val="2FE32EE3"/>
    <w:rsid w:val="2FE51690"/>
    <w:rsid w:val="2FE97BD5"/>
    <w:rsid w:val="2FF5403C"/>
    <w:rsid w:val="2FFC4D45"/>
    <w:rsid w:val="300C469A"/>
    <w:rsid w:val="300E6A7D"/>
    <w:rsid w:val="300E74E6"/>
    <w:rsid w:val="30112A00"/>
    <w:rsid w:val="301A215E"/>
    <w:rsid w:val="301C526D"/>
    <w:rsid w:val="30214903"/>
    <w:rsid w:val="302327E0"/>
    <w:rsid w:val="302A3D93"/>
    <w:rsid w:val="30395E8F"/>
    <w:rsid w:val="303E35A4"/>
    <w:rsid w:val="30406968"/>
    <w:rsid w:val="30537E71"/>
    <w:rsid w:val="305A448B"/>
    <w:rsid w:val="30637616"/>
    <w:rsid w:val="30651B21"/>
    <w:rsid w:val="30674099"/>
    <w:rsid w:val="306C3B7D"/>
    <w:rsid w:val="30785EA0"/>
    <w:rsid w:val="307A2944"/>
    <w:rsid w:val="307B0AEC"/>
    <w:rsid w:val="307C2541"/>
    <w:rsid w:val="307C2B41"/>
    <w:rsid w:val="30906744"/>
    <w:rsid w:val="30967A28"/>
    <w:rsid w:val="30973EA4"/>
    <w:rsid w:val="309B269F"/>
    <w:rsid w:val="309C4BE2"/>
    <w:rsid w:val="30A256EC"/>
    <w:rsid w:val="30A448D8"/>
    <w:rsid w:val="30A50915"/>
    <w:rsid w:val="30A57F85"/>
    <w:rsid w:val="30AC2ADD"/>
    <w:rsid w:val="30AF13F4"/>
    <w:rsid w:val="30B27199"/>
    <w:rsid w:val="30B321C2"/>
    <w:rsid w:val="30D03460"/>
    <w:rsid w:val="30D93C28"/>
    <w:rsid w:val="30E82AED"/>
    <w:rsid w:val="30EE6F1D"/>
    <w:rsid w:val="30F328DF"/>
    <w:rsid w:val="30F80898"/>
    <w:rsid w:val="30F95095"/>
    <w:rsid w:val="30FC5E5B"/>
    <w:rsid w:val="31016D67"/>
    <w:rsid w:val="31040100"/>
    <w:rsid w:val="31060D9F"/>
    <w:rsid w:val="310F0E00"/>
    <w:rsid w:val="31180CD7"/>
    <w:rsid w:val="311C0330"/>
    <w:rsid w:val="312A6B74"/>
    <w:rsid w:val="312F1D5A"/>
    <w:rsid w:val="3130743B"/>
    <w:rsid w:val="313378AB"/>
    <w:rsid w:val="313B67A5"/>
    <w:rsid w:val="314A168C"/>
    <w:rsid w:val="314E3EDD"/>
    <w:rsid w:val="315C6A8A"/>
    <w:rsid w:val="315D70C9"/>
    <w:rsid w:val="315E1EE7"/>
    <w:rsid w:val="315F18B2"/>
    <w:rsid w:val="3171266A"/>
    <w:rsid w:val="3175019E"/>
    <w:rsid w:val="317566E7"/>
    <w:rsid w:val="31794893"/>
    <w:rsid w:val="317C0695"/>
    <w:rsid w:val="31944729"/>
    <w:rsid w:val="31971678"/>
    <w:rsid w:val="31981C84"/>
    <w:rsid w:val="319C7EB8"/>
    <w:rsid w:val="319D798B"/>
    <w:rsid w:val="31A72AF7"/>
    <w:rsid w:val="31AD1EA2"/>
    <w:rsid w:val="31B16577"/>
    <w:rsid w:val="31B505F5"/>
    <w:rsid w:val="31B77AEA"/>
    <w:rsid w:val="31BA65F4"/>
    <w:rsid w:val="31C17B0E"/>
    <w:rsid w:val="31E134CC"/>
    <w:rsid w:val="31EB4A20"/>
    <w:rsid w:val="31F216EF"/>
    <w:rsid w:val="31F458E5"/>
    <w:rsid w:val="31F9384E"/>
    <w:rsid w:val="31FF759B"/>
    <w:rsid w:val="3209420C"/>
    <w:rsid w:val="321A45E4"/>
    <w:rsid w:val="321C3520"/>
    <w:rsid w:val="321C4972"/>
    <w:rsid w:val="321C5A40"/>
    <w:rsid w:val="3226174E"/>
    <w:rsid w:val="32272C20"/>
    <w:rsid w:val="32306602"/>
    <w:rsid w:val="323359BF"/>
    <w:rsid w:val="323479F7"/>
    <w:rsid w:val="323836B1"/>
    <w:rsid w:val="32383EFF"/>
    <w:rsid w:val="3240113C"/>
    <w:rsid w:val="3242395C"/>
    <w:rsid w:val="325276A5"/>
    <w:rsid w:val="32553299"/>
    <w:rsid w:val="325C45D0"/>
    <w:rsid w:val="325E423F"/>
    <w:rsid w:val="32611C54"/>
    <w:rsid w:val="326204F0"/>
    <w:rsid w:val="32733072"/>
    <w:rsid w:val="32740529"/>
    <w:rsid w:val="32750884"/>
    <w:rsid w:val="32774DE1"/>
    <w:rsid w:val="327F1F69"/>
    <w:rsid w:val="3285588F"/>
    <w:rsid w:val="32887A7F"/>
    <w:rsid w:val="328C1FB6"/>
    <w:rsid w:val="328E1E70"/>
    <w:rsid w:val="328F7A82"/>
    <w:rsid w:val="32903D54"/>
    <w:rsid w:val="329C2A82"/>
    <w:rsid w:val="329F4D7D"/>
    <w:rsid w:val="329F68C8"/>
    <w:rsid w:val="32A41A7B"/>
    <w:rsid w:val="32A62D82"/>
    <w:rsid w:val="32AE2DB3"/>
    <w:rsid w:val="32B100DD"/>
    <w:rsid w:val="32B35561"/>
    <w:rsid w:val="32B4060B"/>
    <w:rsid w:val="32B61D9E"/>
    <w:rsid w:val="32BC6E87"/>
    <w:rsid w:val="32BE5C09"/>
    <w:rsid w:val="32C06CB4"/>
    <w:rsid w:val="32C16FB5"/>
    <w:rsid w:val="32D00CFB"/>
    <w:rsid w:val="32D509F1"/>
    <w:rsid w:val="32D516A0"/>
    <w:rsid w:val="32D6357D"/>
    <w:rsid w:val="32DF074C"/>
    <w:rsid w:val="32E21CF4"/>
    <w:rsid w:val="32E2799F"/>
    <w:rsid w:val="32ED02C3"/>
    <w:rsid w:val="32EF3FA3"/>
    <w:rsid w:val="32F77300"/>
    <w:rsid w:val="32F96511"/>
    <w:rsid w:val="330131AB"/>
    <w:rsid w:val="33053C68"/>
    <w:rsid w:val="330D1494"/>
    <w:rsid w:val="330D2BE7"/>
    <w:rsid w:val="33143C32"/>
    <w:rsid w:val="3314733B"/>
    <w:rsid w:val="331A35B9"/>
    <w:rsid w:val="331D705B"/>
    <w:rsid w:val="33365DA9"/>
    <w:rsid w:val="334152F0"/>
    <w:rsid w:val="3343018A"/>
    <w:rsid w:val="3345527F"/>
    <w:rsid w:val="334B1E4A"/>
    <w:rsid w:val="334D1128"/>
    <w:rsid w:val="3354412F"/>
    <w:rsid w:val="33696B14"/>
    <w:rsid w:val="336D3C21"/>
    <w:rsid w:val="3371216C"/>
    <w:rsid w:val="3373176E"/>
    <w:rsid w:val="33760312"/>
    <w:rsid w:val="337720AD"/>
    <w:rsid w:val="33796EA2"/>
    <w:rsid w:val="3380463D"/>
    <w:rsid w:val="33874DB1"/>
    <w:rsid w:val="339815C8"/>
    <w:rsid w:val="339B639A"/>
    <w:rsid w:val="33A52C51"/>
    <w:rsid w:val="33A67D66"/>
    <w:rsid w:val="33B00BD8"/>
    <w:rsid w:val="33B00C7D"/>
    <w:rsid w:val="33C4014D"/>
    <w:rsid w:val="33C651E6"/>
    <w:rsid w:val="33CA4C58"/>
    <w:rsid w:val="33E168E8"/>
    <w:rsid w:val="33E25226"/>
    <w:rsid w:val="33E67F47"/>
    <w:rsid w:val="33EB7AD1"/>
    <w:rsid w:val="33EF0AD5"/>
    <w:rsid w:val="33F77540"/>
    <w:rsid w:val="34031A5A"/>
    <w:rsid w:val="34047A2B"/>
    <w:rsid w:val="340E35E5"/>
    <w:rsid w:val="341158BF"/>
    <w:rsid w:val="341646F7"/>
    <w:rsid w:val="341F2A3E"/>
    <w:rsid w:val="34296808"/>
    <w:rsid w:val="34334629"/>
    <w:rsid w:val="34370CB7"/>
    <w:rsid w:val="34370F59"/>
    <w:rsid w:val="343C10B8"/>
    <w:rsid w:val="343D38B6"/>
    <w:rsid w:val="34497CA8"/>
    <w:rsid w:val="344B4BDE"/>
    <w:rsid w:val="34587799"/>
    <w:rsid w:val="345E4FC7"/>
    <w:rsid w:val="345F2074"/>
    <w:rsid w:val="346A0219"/>
    <w:rsid w:val="34731FE5"/>
    <w:rsid w:val="3473664E"/>
    <w:rsid w:val="34821DB6"/>
    <w:rsid w:val="34891A14"/>
    <w:rsid w:val="34943987"/>
    <w:rsid w:val="34983900"/>
    <w:rsid w:val="349C325D"/>
    <w:rsid w:val="34AB1CE7"/>
    <w:rsid w:val="34AB6542"/>
    <w:rsid w:val="34B04625"/>
    <w:rsid w:val="34B14DF2"/>
    <w:rsid w:val="34BD617A"/>
    <w:rsid w:val="34BD6AE4"/>
    <w:rsid w:val="34BE095B"/>
    <w:rsid w:val="34BF03C0"/>
    <w:rsid w:val="34C47078"/>
    <w:rsid w:val="34C57F2B"/>
    <w:rsid w:val="34C9321B"/>
    <w:rsid w:val="34D141F3"/>
    <w:rsid w:val="34E047A9"/>
    <w:rsid w:val="34ED5149"/>
    <w:rsid w:val="34FF4BD6"/>
    <w:rsid w:val="350110D3"/>
    <w:rsid w:val="350505E1"/>
    <w:rsid w:val="350513F3"/>
    <w:rsid w:val="350543EF"/>
    <w:rsid w:val="35071AF5"/>
    <w:rsid w:val="35093B42"/>
    <w:rsid w:val="350A630F"/>
    <w:rsid w:val="351273A3"/>
    <w:rsid w:val="351A3E8E"/>
    <w:rsid w:val="351E1EBA"/>
    <w:rsid w:val="351E53B4"/>
    <w:rsid w:val="35202495"/>
    <w:rsid w:val="35267445"/>
    <w:rsid w:val="352A27D3"/>
    <w:rsid w:val="352D544F"/>
    <w:rsid w:val="353163B0"/>
    <w:rsid w:val="35323B4A"/>
    <w:rsid w:val="353742D9"/>
    <w:rsid w:val="353C1289"/>
    <w:rsid w:val="353C194B"/>
    <w:rsid w:val="35465A56"/>
    <w:rsid w:val="354662BE"/>
    <w:rsid w:val="3547329F"/>
    <w:rsid w:val="354A5908"/>
    <w:rsid w:val="354C690B"/>
    <w:rsid w:val="354E34AE"/>
    <w:rsid w:val="354E6469"/>
    <w:rsid w:val="355005B0"/>
    <w:rsid w:val="3553752B"/>
    <w:rsid w:val="35547A4F"/>
    <w:rsid w:val="355E59AC"/>
    <w:rsid w:val="35626347"/>
    <w:rsid w:val="356A6796"/>
    <w:rsid w:val="35797A8E"/>
    <w:rsid w:val="358235B9"/>
    <w:rsid w:val="35977FF3"/>
    <w:rsid w:val="3598192B"/>
    <w:rsid w:val="359C25E7"/>
    <w:rsid w:val="359E1D7F"/>
    <w:rsid w:val="35A0576B"/>
    <w:rsid w:val="35A35C71"/>
    <w:rsid w:val="35A47824"/>
    <w:rsid w:val="35A523CA"/>
    <w:rsid w:val="35A9404B"/>
    <w:rsid w:val="35B0013A"/>
    <w:rsid w:val="35B41B4C"/>
    <w:rsid w:val="35B523F9"/>
    <w:rsid w:val="35C67B7E"/>
    <w:rsid w:val="35C70B39"/>
    <w:rsid w:val="35C87219"/>
    <w:rsid w:val="35D53940"/>
    <w:rsid w:val="35D96401"/>
    <w:rsid w:val="35DE1F6D"/>
    <w:rsid w:val="35DF0F54"/>
    <w:rsid w:val="35E044BE"/>
    <w:rsid w:val="35F9152F"/>
    <w:rsid w:val="35FB4374"/>
    <w:rsid w:val="36004C81"/>
    <w:rsid w:val="3604003B"/>
    <w:rsid w:val="360C18B5"/>
    <w:rsid w:val="361527A9"/>
    <w:rsid w:val="36191A1A"/>
    <w:rsid w:val="36192A7D"/>
    <w:rsid w:val="36207CDC"/>
    <w:rsid w:val="36272CED"/>
    <w:rsid w:val="36291E89"/>
    <w:rsid w:val="362C7821"/>
    <w:rsid w:val="363206E4"/>
    <w:rsid w:val="36355ECD"/>
    <w:rsid w:val="363E6FA8"/>
    <w:rsid w:val="36413F0E"/>
    <w:rsid w:val="364C3B1F"/>
    <w:rsid w:val="364E12B3"/>
    <w:rsid w:val="36585279"/>
    <w:rsid w:val="365C2BCF"/>
    <w:rsid w:val="365F4C30"/>
    <w:rsid w:val="36650F62"/>
    <w:rsid w:val="366B65AC"/>
    <w:rsid w:val="366E715B"/>
    <w:rsid w:val="36743B46"/>
    <w:rsid w:val="367E7F53"/>
    <w:rsid w:val="36803522"/>
    <w:rsid w:val="3683106D"/>
    <w:rsid w:val="3686557F"/>
    <w:rsid w:val="368A75CD"/>
    <w:rsid w:val="368B28AF"/>
    <w:rsid w:val="36934290"/>
    <w:rsid w:val="36977B2E"/>
    <w:rsid w:val="369D6398"/>
    <w:rsid w:val="36A47D6D"/>
    <w:rsid w:val="36A529DB"/>
    <w:rsid w:val="36A808B8"/>
    <w:rsid w:val="36AE2183"/>
    <w:rsid w:val="36B23ED0"/>
    <w:rsid w:val="36B36FD1"/>
    <w:rsid w:val="36BB76D5"/>
    <w:rsid w:val="36C05849"/>
    <w:rsid w:val="36C4281B"/>
    <w:rsid w:val="36CC1FA1"/>
    <w:rsid w:val="36CC47AC"/>
    <w:rsid w:val="36CD16E9"/>
    <w:rsid w:val="36D320A0"/>
    <w:rsid w:val="36D465A9"/>
    <w:rsid w:val="36D733AA"/>
    <w:rsid w:val="36E63C25"/>
    <w:rsid w:val="36E73850"/>
    <w:rsid w:val="36E93A74"/>
    <w:rsid w:val="36EA4205"/>
    <w:rsid w:val="36FA3AAE"/>
    <w:rsid w:val="36FE4957"/>
    <w:rsid w:val="36FF6EEF"/>
    <w:rsid w:val="37012AB3"/>
    <w:rsid w:val="370B6256"/>
    <w:rsid w:val="370F446D"/>
    <w:rsid w:val="370F7E76"/>
    <w:rsid w:val="371312A9"/>
    <w:rsid w:val="3714695E"/>
    <w:rsid w:val="3715066D"/>
    <w:rsid w:val="371A4610"/>
    <w:rsid w:val="371A602D"/>
    <w:rsid w:val="37201D38"/>
    <w:rsid w:val="372442CC"/>
    <w:rsid w:val="372472E5"/>
    <w:rsid w:val="37290271"/>
    <w:rsid w:val="37371C9C"/>
    <w:rsid w:val="373725AE"/>
    <w:rsid w:val="373728CD"/>
    <w:rsid w:val="373D5374"/>
    <w:rsid w:val="37481FA2"/>
    <w:rsid w:val="374B64EB"/>
    <w:rsid w:val="375B4DE1"/>
    <w:rsid w:val="375E22D6"/>
    <w:rsid w:val="376A4B2C"/>
    <w:rsid w:val="376C30AA"/>
    <w:rsid w:val="377650C4"/>
    <w:rsid w:val="377D64A4"/>
    <w:rsid w:val="37826F63"/>
    <w:rsid w:val="37877238"/>
    <w:rsid w:val="378E4FD5"/>
    <w:rsid w:val="37942B39"/>
    <w:rsid w:val="37AD2B13"/>
    <w:rsid w:val="37BD6442"/>
    <w:rsid w:val="37BE18E5"/>
    <w:rsid w:val="37C37C1C"/>
    <w:rsid w:val="37CE2B23"/>
    <w:rsid w:val="37CF4AD9"/>
    <w:rsid w:val="37D07EAA"/>
    <w:rsid w:val="37DF24E7"/>
    <w:rsid w:val="37E27B5D"/>
    <w:rsid w:val="37EC2AAF"/>
    <w:rsid w:val="37F03EA3"/>
    <w:rsid w:val="37F07FDA"/>
    <w:rsid w:val="37F410B5"/>
    <w:rsid w:val="37F75501"/>
    <w:rsid w:val="37F93AA0"/>
    <w:rsid w:val="37FE20C7"/>
    <w:rsid w:val="3804730B"/>
    <w:rsid w:val="380706FA"/>
    <w:rsid w:val="3807713A"/>
    <w:rsid w:val="380B0962"/>
    <w:rsid w:val="381421AB"/>
    <w:rsid w:val="3815562E"/>
    <w:rsid w:val="381E465A"/>
    <w:rsid w:val="38214BD7"/>
    <w:rsid w:val="38224AA2"/>
    <w:rsid w:val="38290F32"/>
    <w:rsid w:val="382B7542"/>
    <w:rsid w:val="3830122E"/>
    <w:rsid w:val="384C6899"/>
    <w:rsid w:val="384E4C6F"/>
    <w:rsid w:val="38691930"/>
    <w:rsid w:val="386C11B8"/>
    <w:rsid w:val="386F447F"/>
    <w:rsid w:val="38712CDA"/>
    <w:rsid w:val="38751C45"/>
    <w:rsid w:val="3877225A"/>
    <w:rsid w:val="38894F0B"/>
    <w:rsid w:val="388F5A37"/>
    <w:rsid w:val="38934AE0"/>
    <w:rsid w:val="38977DBF"/>
    <w:rsid w:val="389B5999"/>
    <w:rsid w:val="38A1340A"/>
    <w:rsid w:val="38A36AD3"/>
    <w:rsid w:val="38A75E69"/>
    <w:rsid w:val="38B66376"/>
    <w:rsid w:val="38BA32B3"/>
    <w:rsid w:val="38BA7CFB"/>
    <w:rsid w:val="38BB68D2"/>
    <w:rsid w:val="38CE39A8"/>
    <w:rsid w:val="38D51738"/>
    <w:rsid w:val="38D734DD"/>
    <w:rsid w:val="38DF6194"/>
    <w:rsid w:val="38E356B8"/>
    <w:rsid w:val="38E75891"/>
    <w:rsid w:val="38EB367A"/>
    <w:rsid w:val="38EC218C"/>
    <w:rsid w:val="38EC6E59"/>
    <w:rsid w:val="38ED7A87"/>
    <w:rsid w:val="38EE5959"/>
    <w:rsid w:val="38EF62C9"/>
    <w:rsid w:val="38EF7A13"/>
    <w:rsid w:val="38F061A6"/>
    <w:rsid w:val="38F13F58"/>
    <w:rsid w:val="38F42B69"/>
    <w:rsid w:val="38F47210"/>
    <w:rsid w:val="38FA19EC"/>
    <w:rsid w:val="39015276"/>
    <w:rsid w:val="39033E7D"/>
    <w:rsid w:val="390B44D8"/>
    <w:rsid w:val="390C1AE2"/>
    <w:rsid w:val="390C4D71"/>
    <w:rsid w:val="390E2106"/>
    <w:rsid w:val="3911482C"/>
    <w:rsid w:val="39124917"/>
    <w:rsid w:val="391B45D2"/>
    <w:rsid w:val="391E037A"/>
    <w:rsid w:val="39267EC3"/>
    <w:rsid w:val="392F1F57"/>
    <w:rsid w:val="393E4F9C"/>
    <w:rsid w:val="39464E3F"/>
    <w:rsid w:val="39471B35"/>
    <w:rsid w:val="395A437F"/>
    <w:rsid w:val="3960010B"/>
    <w:rsid w:val="39635BF8"/>
    <w:rsid w:val="396752B2"/>
    <w:rsid w:val="39722B95"/>
    <w:rsid w:val="397505D1"/>
    <w:rsid w:val="398510FD"/>
    <w:rsid w:val="39851EE5"/>
    <w:rsid w:val="398849A4"/>
    <w:rsid w:val="399301E3"/>
    <w:rsid w:val="399738D3"/>
    <w:rsid w:val="39984C82"/>
    <w:rsid w:val="39997BA9"/>
    <w:rsid w:val="39A068B7"/>
    <w:rsid w:val="39A14E5E"/>
    <w:rsid w:val="39A62AAE"/>
    <w:rsid w:val="39B45646"/>
    <w:rsid w:val="39C42435"/>
    <w:rsid w:val="39CD072F"/>
    <w:rsid w:val="39CD7D97"/>
    <w:rsid w:val="39D23417"/>
    <w:rsid w:val="39DE21A4"/>
    <w:rsid w:val="39E67B72"/>
    <w:rsid w:val="39E83119"/>
    <w:rsid w:val="39E95CB3"/>
    <w:rsid w:val="39F11388"/>
    <w:rsid w:val="39F85BE8"/>
    <w:rsid w:val="39FD2BE0"/>
    <w:rsid w:val="3A022530"/>
    <w:rsid w:val="3A093AD0"/>
    <w:rsid w:val="3A0B3495"/>
    <w:rsid w:val="3A0D6E79"/>
    <w:rsid w:val="3A113AEA"/>
    <w:rsid w:val="3A187DCA"/>
    <w:rsid w:val="3A1A10DF"/>
    <w:rsid w:val="3A1C282A"/>
    <w:rsid w:val="3A2023A1"/>
    <w:rsid w:val="3A223DB6"/>
    <w:rsid w:val="3A29301F"/>
    <w:rsid w:val="3A2956D7"/>
    <w:rsid w:val="3A2B7E4E"/>
    <w:rsid w:val="3A2E1604"/>
    <w:rsid w:val="3A390C1F"/>
    <w:rsid w:val="3A447B00"/>
    <w:rsid w:val="3A4C3392"/>
    <w:rsid w:val="3A4C56CC"/>
    <w:rsid w:val="3A520985"/>
    <w:rsid w:val="3A5A53E7"/>
    <w:rsid w:val="3A6310D4"/>
    <w:rsid w:val="3A640FE3"/>
    <w:rsid w:val="3A645A7B"/>
    <w:rsid w:val="3A6839AC"/>
    <w:rsid w:val="3A6A40E5"/>
    <w:rsid w:val="3A6F1798"/>
    <w:rsid w:val="3A6F70A7"/>
    <w:rsid w:val="3A7264F8"/>
    <w:rsid w:val="3A735B9C"/>
    <w:rsid w:val="3A736185"/>
    <w:rsid w:val="3A744B94"/>
    <w:rsid w:val="3A756231"/>
    <w:rsid w:val="3A7913A9"/>
    <w:rsid w:val="3A797DB8"/>
    <w:rsid w:val="3A7A5917"/>
    <w:rsid w:val="3A7D78EE"/>
    <w:rsid w:val="3A8167B1"/>
    <w:rsid w:val="3A8469D0"/>
    <w:rsid w:val="3A8D34BA"/>
    <w:rsid w:val="3A8F38E7"/>
    <w:rsid w:val="3A9C0015"/>
    <w:rsid w:val="3AA72A64"/>
    <w:rsid w:val="3AAE1F3C"/>
    <w:rsid w:val="3AB23D0B"/>
    <w:rsid w:val="3AB60F2E"/>
    <w:rsid w:val="3ABC22FE"/>
    <w:rsid w:val="3AD65F85"/>
    <w:rsid w:val="3AD85EE8"/>
    <w:rsid w:val="3ADB078E"/>
    <w:rsid w:val="3AE561BA"/>
    <w:rsid w:val="3AE80953"/>
    <w:rsid w:val="3AE837D8"/>
    <w:rsid w:val="3AF23756"/>
    <w:rsid w:val="3AF42058"/>
    <w:rsid w:val="3AF63B9E"/>
    <w:rsid w:val="3AF75894"/>
    <w:rsid w:val="3AFB4DDF"/>
    <w:rsid w:val="3AFB7BF1"/>
    <w:rsid w:val="3B0065DF"/>
    <w:rsid w:val="3B056853"/>
    <w:rsid w:val="3B056DBE"/>
    <w:rsid w:val="3B0A456A"/>
    <w:rsid w:val="3B116AA3"/>
    <w:rsid w:val="3B1D5B57"/>
    <w:rsid w:val="3B27618E"/>
    <w:rsid w:val="3B3A5FD6"/>
    <w:rsid w:val="3B3C670F"/>
    <w:rsid w:val="3B4340EA"/>
    <w:rsid w:val="3B452A79"/>
    <w:rsid w:val="3B4570B4"/>
    <w:rsid w:val="3B4B59DA"/>
    <w:rsid w:val="3B525D88"/>
    <w:rsid w:val="3B610833"/>
    <w:rsid w:val="3B6157C0"/>
    <w:rsid w:val="3B660F16"/>
    <w:rsid w:val="3B6E0DCC"/>
    <w:rsid w:val="3B717E3E"/>
    <w:rsid w:val="3B7554C8"/>
    <w:rsid w:val="3B765593"/>
    <w:rsid w:val="3B7A5B38"/>
    <w:rsid w:val="3B7B1BA2"/>
    <w:rsid w:val="3B800A69"/>
    <w:rsid w:val="3B810C51"/>
    <w:rsid w:val="3B813314"/>
    <w:rsid w:val="3B833225"/>
    <w:rsid w:val="3B8936C6"/>
    <w:rsid w:val="3B8D1A72"/>
    <w:rsid w:val="3B8E6F9B"/>
    <w:rsid w:val="3B9B1093"/>
    <w:rsid w:val="3BA31E83"/>
    <w:rsid w:val="3BA32C6E"/>
    <w:rsid w:val="3BA61646"/>
    <w:rsid w:val="3BA625BC"/>
    <w:rsid w:val="3BB01313"/>
    <w:rsid w:val="3BB359CF"/>
    <w:rsid w:val="3BB42BA0"/>
    <w:rsid w:val="3BB73093"/>
    <w:rsid w:val="3BBA7B93"/>
    <w:rsid w:val="3BC42B06"/>
    <w:rsid w:val="3BC8218F"/>
    <w:rsid w:val="3BD252A2"/>
    <w:rsid w:val="3BD85B94"/>
    <w:rsid w:val="3BDA57F0"/>
    <w:rsid w:val="3BDB6A22"/>
    <w:rsid w:val="3BE3767F"/>
    <w:rsid w:val="3BE80DE5"/>
    <w:rsid w:val="3BE87609"/>
    <w:rsid w:val="3BE94EC2"/>
    <w:rsid w:val="3BF25588"/>
    <w:rsid w:val="3BF47F24"/>
    <w:rsid w:val="3BFA1D9E"/>
    <w:rsid w:val="3C015B8B"/>
    <w:rsid w:val="3C05420F"/>
    <w:rsid w:val="3C054F31"/>
    <w:rsid w:val="3C0B137B"/>
    <w:rsid w:val="3C0B3672"/>
    <w:rsid w:val="3C0D5E62"/>
    <w:rsid w:val="3C121BDA"/>
    <w:rsid w:val="3C14237F"/>
    <w:rsid w:val="3C147838"/>
    <w:rsid w:val="3C182D2A"/>
    <w:rsid w:val="3C266697"/>
    <w:rsid w:val="3C2C0930"/>
    <w:rsid w:val="3C2D45C7"/>
    <w:rsid w:val="3C2E6C3B"/>
    <w:rsid w:val="3C411A65"/>
    <w:rsid w:val="3C41460F"/>
    <w:rsid w:val="3C4364F4"/>
    <w:rsid w:val="3C490809"/>
    <w:rsid w:val="3C4A448E"/>
    <w:rsid w:val="3C4E5F9A"/>
    <w:rsid w:val="3C5A7F5C"/>
    <w:rsid w:val="3C6352D2"/>
    <w:rsid w:val="3C69593B"/>
    <w:rsid w:val="3C7C02BE"/>
    <w:rsid w:val="3C8563F0"/>
    <w:rsid w:val="3C873057"/>
    <w:rsid w:val="3C8A14B4"/>
    <w:rsid w:val="3C941082"/>
    <w:rsid w:val="3C9C5CEB"/>
    <w:rsid w:val="3CA26F60"/>
    <w:rsid w:val="3CA82E64"/>
    <w:rsid w:val="3CAC1845"/>
    <w:rsid w:val="3CAF1C39"/>
    <w:rsid w:val="3CB60AF6"/>
    <w:rsid w:val="3CB871CA"/>
    <w:rsid w:val="3CC70013"/>
    <w:rsid w:val="3CC91D0A"/>
    <w:rsid w:val="3CCC0017"/>
    <w:rsid w:val="3CD11CFA"/>
    <w:rsid w:val="3CD23EB4"/>
    <w:rsid w:val="3CD37D09"/>
    <w:rsid w:val="3CDC2CDE"/>
    <w:rsid w:val="3CDE06A1"/>
    <w:rsid w:val="3CE21F96"/>
    <w:rsid w:val="3CE32254"/>
    <w:rsid w:val="3CE44354"/>
    <w:rsid w:val="3CFA730C"/>
    <w:rsid w:val="3D000E72"/>
    <w:rsid w:val="3D0E42E3"/>
    <w:rsid w:val="3D175682"/>
    <w:rsid w:val="3D17660E"/>
    <w:rsid w:val="3D176D2F"/>
    <w:rsid w:val="3D1A33C1"/>
    <w:rsid w:val="3D1B0314"/>
    <w:rsid w:val="3D1B076B"/>
    <w:rsid w:val="3D1B4062"/>
    <w:rsid w:val="3D1C1880"/>
    <w:rsid w:val="3D29037D"/>
    <w:rsid w:val="3D347FCD"/>
    <w:rsid w:val="3D355955"/>
    <w:rsid w:val="3D3A2A2A"/>
    <w:rsid w:val="3D3F3DCD"/>
    <w:rsid w:val="3D4446BC"/>
    <w:rsid w:val="3D454853"/>
    <w:rsid w:val="3D465537"/>
    <w:rsid w:val="3D4F58E0"/>
    <w:rsid w:val="3D50472E"/>
    <w:rsid w:val="3D51270F"/>
    <w:rsid w:val="3D5B587B"/>
    <w:rsid w:val="3D620B07"/>
    <w:rsid w:val="3D665388"/>
    <w:rsid w:val="3D6B3851"/>
    <w:rsid w:val="3D6C18A8"/>
    <w:rsid w:val="3D6E1B04"/>
    <w:rsid w:val="3D723221"/>
    <w:rsid w:val="3D791370"/>
    <w:rsid w:val="3D7E5FB8"/>
    <w:rsid w:val="3D7F6168"/>
    <w:rsid w:val="3D804B77"/>
    <w:rsid w:val="3D827E15"/>
    <w:rsid w:val="3D885800"/>
    <w:rsid w:val="3D8A0C9D"/>
    <w:rsid w:val="3D923BD2"/>
    <w:rsid w:val="3D93157E"/>
    <w:rsid w:val="3D936277"/>
    <w:rsid w:val="3D956849"/>
    <w:rsid w:val="3D9C4A6B"/>
    <w:rsid w:val="3D9C4F0B"/>
    <w:rsid w:val="3DA325C0"/>
    <w:rsid w:val="3DB349AC"/>
    <w:rsid w:val="3DC42354"/>
    <w:rsid w:val="3DC9492F"/>
    <w:rsid w:val="3DD4028D"/>
    <w:rsid w:val="3DD47F74"/>
    <w:rsid w:val="3DD5295F"/>
    <w:rsid w:val="3DD607E3"/>
    <w:rsid w:val="3DDA147D"/>
    <w:rsid w:val="3DDD54D4"/>
    <w:rsid w:val="3DDF2D5F"/>
    <w:rsid w:val="3DE229D4"/>
    <w:rsid w:val="3DE31572"/>
    <w:rsid w:val="3DE8490C"/>
    <w:rsid w:val="3DEA2B77"/>
    <w:rsid w:val="3DF92C10"/>
    <w:rsid w:val="3E047322"/>
    <w:rsid w:val="3E073C7A"/>
    <w:rsid w:val="3E0879B9"/>
    <w:rsid w:val="3E0B2912"/>
    <w:rsid w:val="3E0B746B"/>
    <w:rsid w:val="3E0C5648"/>
    <w:rsid w:val="3E0F0DFB"/>
    <w:rsid w:val="3E0F2211"/>
    <w:rsid w:val="3E113A1D"/>
    <w:rsid w:val="3E305596"/>
    <w:rsid w:val="3E321E64"/>
    <w:rsid w:val="3E39770C"/>
    <w:rsid w:val="3E3D354C"/>
    <w:rsid w:val="3E431046"/>
    <w:rsid w:val="3E4A1B6D"/>
    <w:rsid w:val="3E4C5461"/>
    <w:rsid w:val="3E556C2E"/>
    <w:rsid w:val="3E733D81"/>
    <w:rsid w:val="3E7868A8"/>
    <w:rsid w:val="3E792277"/>
    <w:rsid w:val="3E797769"/>
    <w:rsid w:val="3E7D4763"/>
    <w:rsid w:val="3E8711A8"/>
    <w:rsid w:val="3E904B6E"/>
    <w:rsid w:val="3E97387F"/>
    <w:rsid w:val="3E990CA8"/>
    <w:rsid w:val="3EA122CC"/>
    <w:rsid w:val="3EB1348A"/>
    <w:rsid w:val="3EB453E4"/>
    <w:rsid w:val="3EB87BA7"/>
    <w:rsid w:val="3EBE56F7"/>
    <w:rsid w:val="3EC8277F"/>
    <w:rsid w:val="3EC87D98"/>
    <w:rsid w:val="3ED503AA"/>
    <w:rsid w:val="3ED60D0B"/>
    <w:rsid w:val="3EDC1997"/>
    <w:rsid w:val="3EE366E4"/>
    <w:rsid w:val="3EF3269A"/>
    <w:rsid w:val="3EFA0956"/>
    <w:rsid w:val="3EFB6321"/>
    <w:rsid w:val="3EFE7F2C"/>
    <w:rsid w:val="3F046C96"/>
    <w:rsid w:val="3F0C4EF7"/>
    <w:rsid w:val="3F0E698C"/>
    <w:rsid w:val="3F0E6BD8"/>
    <w:rsid w:val="3F1625C7"/>
    <w:rsid w:val="3F207D44"/>
    <w:rsid w:val="3F2712EE"/>
    <w:rsid w:val="3F29101A"/>
    <w:rsid w:val="3F2A0203"/>
    <w:rsid w:val="3F2A7CF7"/>
    <w:rsid w:val="3F307AC0"/>
    <w:rsid w:val="3F3326F8"/>
    <w:rsid w:val="3F412CD3"/>
    <w:rsid w:val="3F423B0E"/>
    <w:rsid w:val="3F4867B5"/>
    <w:rsid w:val="3F5560F1"/>
    <w:rsid w:val="3F5C256D"/>
    <w:rsid w:val="3F5D0B27"/>
    <w:rsid w:val="3F5D7102"/>
    <w:rsid w:val="3F627F45"/>
    <w:rsid w:val="3F734587"/>
    <w:rsid w:val="3F7964B5"/>
    <w:rsid w:val="3F7D1E87"/>
    <w:rsid w:val="3F7E040A"/>
    <w:rsid w:val="3F7E20CE"/>
    <w:rsid w:val="3F7E67A1"/>
    <w:rsid w:val="3F9C2014"/>
    <w:rsid w:val="3FB03025"/>
    <w:rsid w:val="3FB12BD5"/>
    <w:rsid w:val="3FB17C9C"/>
    <w:rsid w:val="3FB80946"/>
    <w:rsid w:val="3FBC5822"/>
    <w:rsid w:val="3FBF14FF"/>
    <w:rsid w:val="3FC22FB9"/>
    <w:rsid w:val="3FC7540A"/>
    <w:rsid w:val="3FCD0B22"/>
    <w:rsid w:val="3FCF534A"/>
    <w:rsid w:val="3FD7239D"/>
    <w:rsid w:val="3FDA4140"/>
    <w:rsid w:val="3FE17341"/>
    <w:rsid w:val="3FE53918"/>
    <w:rsid w:val="3FE61219"/>
    <w:rsid w:val="3FEE4E91"/>
    <w:rsid w:val="3FF05E79"/>
    <w:rsid w:val="400D43F9"/>
    <w:rsid w:val="400E0F00"/>
    <w:rsid w:val="401253D8"/>
    <w:rsid w:val="401E3B63"/>
    <w:rsid w:val="40255C18"/>
    <w:rsid w:val="402853F5"/>
    <w:rsid w:val="402A3185"/>
    <w:rsid w:val="40362071"/>
    <w:rsid w:val="403A6F01"/>
    <w:rsid w:val="4046080C"/>
    <w:rsid w:val="40477CE0"/>
    <w:rsid w:val="405235AC"/>
    <w:rsid w:val="406139E2"/>
    <w:rsid w:val="40630E45"/>
    <w:rsid w:val="40695F1F"/>
    <w:rsid w:val="407006EC"/>
    <w:rsid w:val="40767B68"/>
    <w:rsid w:val="407B0B73"/>
    <w:rsid w:val="407F785E"/>
    <w:rsid w:val="408D3E49"/>
    <w:rsid w:val="408E4469"/>
    <w:rsid w:val="408E6654"/>
    <w:rsid w:val="409B5056"/>
    <w:rsid w:val="409E7D06"/>
    <w:rsid w:val="40AD1AFC"/>
    <w:rsid w:val="40B12322"/>
    <w:rsid w:val="40B214B9"/>
    <w:rsid w:val="40B66293"/>
    <w:rsid w:val="40B874D3"/>
    <w:rsid w:val="40C03BC8"/>
    <w:rsid w:val="40C14AB2"/>
    <w:rsid w:val="40C926B3"/>
    <w:rsid w:val="40CF0431"/>
    <w:rsid w:val="40D11F33"/>
    <w:rsid w:val="40D52178"/>
    <w:rsid w:val="40D550BE"/>
    <w:rsid w:val="40E51744"/>
    <w:rsid w:val="40E61C65"/>
    <w:rsid w:val="40E67367"/>
    <w:rsid w:val="40EB2AE9"/>
    <w:rsid w:val="40EC0B09"/>
    <w:rsid w:val="40F12C85"/>
    <w:rsid w:val="40F432A2"/>
    <w:rsid w:val="40F91527"/>
    <w:rsid w:val="40FA6DB5"/>
    <w:rsid w:val="40FF1A75"/>
    <w:rsid w:val="41014EC4"/>
    <w:rsid w:val="41023462"/>
    <w:rsid w:val="41053AC9"/>
    <w:rsid w:val="41083832"/>
    <w:rsid w:val="411163EE"/>
    <w:rsid w:val="41127E1B"/>
    <w:rsid w:val="411A630D"/>
    <w:rsid w:val="411E7C4B"/>
    <w:rsid w:val="41267B67"/>
    <w:rsid w:val="412E4336"/>
    <w:rsid w:val="412E7D4B"/>
    <w:rsid w:val="413657DF"/>
    <w:rsid w:val="41395D7E"/>
    <w:rsid w:val="413968E1"/>
    <w:rsid w:val="413C5E9F"/>
    <w:rsid w:val="41413C0A"/>
    <w:rsid w:val="41416F32"/>
    <w:rsid w:val="414368B0"/>
    <w:rsid w:val="41463286"/>
    <w:rsid w:val="414768D0"/>
    <w:rsid w:val="41512B59"/>
    <w:rsid w:val="41540CAC"/>
    <w:rsid w:val="4159689D"/>
    <w:rsid w:val="41606AD7"/>
    <w:rsid w:val="41630510"/>
    <w:rsid w:val="41660427"/>
    <w:rsid w:val="416649A0"/>
    <w:rsid w:val="416A042F"/>
    <w:rsid w:val="416B49E0"/>
    <w:rsid w:val="41847574"/>
    <w:rsid w:val="41945FB2"/>
    <w:rsid w:val="41973F91"/>
    <w:rsid w:val="419B5B48"/>
    <w:rsid w:val="41A027A8"/>
    <w:rsid w:val="41A45A0E"/>
    <w:rsid w:val="41B21C0B"/>
    <w:rsid w:val="41C151E6"/>
    <w:rsid w:val="41C16A7E"/>
    <w:rsid w:val="41C441CD"/>
    <w:rsid w:val="41C90BDF"/>
    <w:rsid w:val="41CC1295"/>
    <w:rsid w:val="41CF1F84"/>
    <w:rsid w:val="41D14098"/>
    <w:rsid w:val="41E97431"/>
    <w:rsid w:val="41F80A33"/>
    <w:rsid w:val="41F83881"/>
    <w:rsid w:val="41FE4949"/>
    <w:rsid w:val="41FE7E01"/>
    <w:rsid w:val="420E40B5"/>
    <w:rsid w:val="420F3DF7"/>
    <w:rsid w:val="42110E30"/>
    <w:rsid w:val="4216574C"/>
    <w:rsid w:val="42201C8D"/>
    <w:rsid w:val="4222022A"/>
    <w:rsid w:val="42252394"/>
    <w:rsid w:val="42285C9F"/>
    <w:rsid w:val="422E3C86"/>
    <w:rsid w:val="422F4F26"/>
    <w:rsid w:val="423258F3"/>
    <w:rsid w:val="42335037"/>
    <w:rsid w:val="423533CA"/>
    <w:rsid w:val="4237292B"/>
    <w:rsid w:val="423C5B7D"/>
    <w:rsid w:val="42432326"/>
    <w:rsid w:val="424515E5"/>
    <w:rsid w:val="42523F42"/>
    <w:rsid w:val="42561F78"/>
    <w:rsid w:val="426721FC"/>
    <w:rsid w:val="42677C0A"/>
    <w:rsid w:val="42686FD0"/>
    <w:rsid w:val="427027CC"/>
    <w:rsid w:val="42707498"/>
    <w:rsid w:val="42794725"/>
    <w:rsid w:val="42796093"/>
    <w:rsid w:val="427A5E2E"/>
    <w:rsid w:val="427D2760"/>
    <w:rsid w:val="428373ED"/>
    <w:rsid w:val="42877975"/>
    <w:rsid w:val="42927325"/>
    <w:rsid w:val="429674D2"/>
    <w:rsid w:val="429949FA"/>
    <w:rsid w:val="429D4898"/>
    <w:rsid w:val="42A07800"/>
    <w:rsid w:val="42A90543"/>
    <w:rsid w:val="42A91F80"/>
    <w:rsid w:val="42AB109C"/>
    <w:rsid w:val="42AC73B8"/>
    <w:rsid w:val="42AE6D49"/>
    <w:rsid w:val="42B36AE2"/>
    <w:rsid w:val="42B73A0B"/>
    <w:rsid w:val="42CB5DA9"/>
    <w:rsid w:val="42CC6012"/>
    <w:rsid w:val="42CE303B"/>
    <w:rsid w:val="42DB5108"/>
    <w:rsid w:val="42E27E6E"/>
    <w:rsid w:val="42E60F6A"/>
    <w:rsid w:val="42E80753"/>
    <w:rsid w:val="42ED2030"/>
    <w:rsid w:val="42ED33FE"/>
    <w:rsid w:val="42EE3EF0"/>
    <w:rsid w:val="42EF74EF"/>
    <w:rsid w:val="42F016FB"/>
    <w:rsid w:val="42F276DA"/>
    <w:rsid w:val="42FE31E5"/>
    <w:rsid w:val="42FE62DE"/>
    <w:rsid w:val="43070B01"/>
    <w:rsid w:val="43077F4D"/>
    <w:rsid w:val="430E2045"/>
    <w:rsid w:val="430E5448"/>
    <w:rsid w:val="431071B4"/>
    <w:rsid w:val="431406B3"/>
    <w:rsid w:val="4314590F"/>
    <w:rsid w:val="431A124B"/>
    <w:rsid w:val="431B2968"/>
    <w:rsid w:val="43247A3C"/>
    <w:rsid w:val="43290047"/>
    <w:rsid w:val="43325313"/>
    <w:rsid w:val="433F131C"/>
    <w:rsid w:val="434427F9"/>
    <w:rsid w:val="43650652"/>
    <w:rsid w:val="43657C28"/>
    <w:rsid w:val="436B502A"/>
    <w:rsid w:val="436F5BD4"/>
    <w:rsid w:val="43750D34"/>
    <w:rsid w:val="43784833"/>
    <w:rsid w:val="437956D4"/>
    <w:rsid w:val="437B3008"/>
    <w:rsid w:val="43875E20"/>
    <w:rsid w:val="43882229"/>
    <w:rsid w:val="438E6C0F"/>
    <w:rsid w:val="439304C1"/>
    <w:rsid w:val="4393679B"/>
    <w:rsid w:val="43941F4E"/>
    <w:rsid w:val="4394623E"/>
    <w:rsid w:val="439B6D2D"/>
    <w:rsid w:val="439C6CCB"/>
    <w:rsid w:val="439C6D08"/>
    <w:rsid w:val="439E1C36"/>
    <w:rsid w:val="43A626DB"/>
    <w:rsid w:val="43A66B11"/>
    <w:rsid w:val="43AC036E"/>
    <w:rsid w:val="43B00161"/>
    <w:rsid w:val="43B219FE"/>
    <w:rsid w:val="43B310D5"/>
    <w:rsid w:val="43B473EA"/>
    <w:rsid w:val="43B76FCC"/>
    <w:rsid w:val="43B77CCD"/>
    <w:rsid w:val="43B851BD"/>
    <w:rsid w:val="43B868C2"/>
    <w:rsid w:val="43B931BB"/>
    <w:rsid w:val="43C07573"/>
    <w:rsid w:val="43C5153F"/>
    <w:rsid w:val="43D040E8"/>
    <w:rsid w:val="43D666A2"/>
    <w:rsid w:val="43DA2319"/>
    <w:rsid w:val="43DF48B3"/>
    <w:rsid w:val="43E018B4"/>
    <w:rsid w:val="43E626C2"/>
    <w:rsid w:val="43ED5D5F"/>
    <w:rsid w:val="43EE1E37"/>
    <w:rsid w:val="43F34E19"/>
    <w:rsid w:val="43F43700"/>
    <w:rsid w:val="43F60514"/>
    <w:rsid w:val="43F92E20"/>
    <w:rsid w:val="43FA0706"/>
    <w:rsid w:val="44000C6B"/>
    <w:rsid w:val="440508DD"/>
    <w:rsid w:val="441022B9"/>
    <w:rsid w:val="4411532F"/>
    <w:rsid w:val="44156A97"/>
    <w:rsid w:val="442235B1"/>
    <w:rsid w:val="44250B1C"/>
    <w:rsid w:val="442665BE"/>
    <w:rsid w:val="44282CF4"/>
    <w:rsid w:val="44391EFE"/>
    <w:rsid w:val="443D691B"/>
    <w:rsid w:val="444356FC"/>
    <w:rsid w:val="444410A6"/>
    <w:rsid w:val="444472E4"/>
    <w:rsid w:val="44454702"/>
    <w:rsid w:val="4450030D"/>
    <w:rsid w:val="445128E1"/>
    <w:rsid w:val="44530424"/>
    <w:rsid w:val="44534EB9"/>
    <w:rsid w:val="445649F1"/>
    <w:rsid w:val="4467729A"/>
    <w:rsid w:val="446A05DD"/>
    <w:rsid w:val="446D07FF"/>
    <w:rsid w:val="446F63C7"/>
    <w:rsid w:val="447236C5"/>
    <w:rsid w:val="44756D2F"/>
    <w:rsid w:val="44797BF8"/>
    <w:rsid w:val="447F5F53"/>
    <w:rsid w:val="448639C8"/>
    <w:rsid w:val="448917B4"/>
    <w:rsid w:val="448A6576"/>
    <w:rsid w:val="448D7AC4"/>
    <w:rsid w:val="448F518C"/>
    <w:rsid w:val="449A4990"/>
    <w:rsid w:val="449F5365"/>
    <w:rsid w:val="44A47519"/>
    <w:rsid w:val="44A60A54"/>
    <w:rsid w:val="44A77EFC"/>
    <w:rsid w:val="44AA1069"/>
    <w:rsid w:val="44AB4E55"/>
    <w:rsid w:val="44AB4EAA"/>
    <w:rsid w:val="44BB0EE1"/>
    <w:rsid w:val="44BF3905"/>
    <w:rsid w:val="44C442F0"/>
    <w:rsid w:val="44CD7DA7"/>
    <w:rsid w:val="44D5061C"/>
    <w:rsid w:val="44D53135"/>
    <w:rsid w:val="44DA29F7"/>
    <w:rsid w:val="44DF484E"/>
    <w:rsid w:val="44E0542B"/>
    <w:rsid w:val="44E6204B"/>
    <w:rsid w:val="44E62901"/>
    <w:rsid w:val="44E81CEF"/>
    <w:rsid w:val="44E96513"/>
    <w:rsid w:val="44EA5D4B"/>
    <w:rsid w:val="44EE35EE"/>
    <w:rsid w:val="44F823D3"/>
    <w:rsid w:val="44FD65CC"/>
    <w:rsid w:val="44FE65F6"/>
    <w:rsid w:val="45042174"/>
    <w:rsid w:val="450D13CB"/>
    <w:rsid w:val="450E5A6E"/>
    <w:rsid w:val="451A7E4F"/>
    <w:rsid w:val="451E6025"/>
    <w:rsid w:val="4526448D"/>
    <w:rsid w:val="45300159"/>
    <w:rsid w:val="4531597B"/>
    <w:rsid w:val="453904F2"/>
    <w:rsid w:val="4539335C"/>
    <w:rsid w:val="453A3623"/>
    <w:rsid w:val="453D78E6"/>
    <w:rsid w:val="454043FC"/>
    <w:rsid w:val="45606B96"/>
    <w:rsid w:val="45621BB0"/>
    <w:rsid w:val="45622D38"/>
    <w:rsid w:val="456A5992"/>
    <w:rsid w:val="456E7536"/>
    <w:rsid w:val="456F0429"/>
    <w:rsid w:val="45721809"/>
    <w:rsid w:val="4584582D"/>
    <w:rsid w:val="458C3BA6"/>
    <w:rsid w:val="459007E1"/>
    <w:rsid w:val="45984800"/>
    <w:rsid w:val="45994DBE"/>
    <w:rsid w:val="459A46ED"/>
    <w:rsid w:val="459B26C5"/>
    <w:rsid w:val="459E6606"/>
    <w:rsid w:val="45A34024"/>
    <w:rsid w:val="45A61F9B"/>
    <w:rsid w:val="45A8275D"/>
    <w:rsid w:val="45A9108F"/>
    <w:rsid w:val="45B97132"/>
    <w:rsid w:val="45C054E8"/>
    <w:rsid w:val="45D26754"/>
    <w:rsid w:val="45D329EF"/>
    <w:rsid w:val="45D50F2A"/>
    <w:rsid w:val="45DC5F6C"/>
    <w:rsid w:val="45E82A8F"/>
    <w:rsid w:val="45EB20E9"/>
    <w:rsid w:val="45F52076"/>
    <w:rsid w:val="45F83CBF"/>
    <w:rsid w:val="45FF2DC3"/>
    <w:rsid w:val="45FF6ED0"/>
    <w:rsid w:val="4608624A"/>
    <w:rsid w:val="460C180B"/>
    <w:rsid w:val="460C2B9C"/>
    <w:rsid w:val="46104233"/>
    <w:rsid w:val="46154E9C"/>
    <w:rsid w:val="46287C37"/>
    <w:rsid w:val="462F10F0"/>
    <w:rsid w:val="46361F7E"/>
    <w:rsid w:val="463833B1"/>
    <w:rsid w:val="464F371A"/>
    <w:rsid w:val="465546CC"/>
    <w:rsid w:val="4656072E"/>
    <w:rsid w:val="46577A0C"/>
    <w:rsid w:val="46592443"/>
    <w:rsid w:val="466037D7"/>
    <w:rsid w:val="46640DB7"/>
    <w:rsid w:val="46646DE5"/>
    <w:rsid w:val="46690630"/>
    <w:rsid w:val="466E0329"/>
    <w:rsid w:val="466E476B"/>
    <w:rsid w:val="46792784"/>
    <w:rsid w:val="46822DDC"/>
    <w:rsid w:val="46843CC4"/>
    <w:rsid w:val="46865926"/>
    <w:rsid w:val="4687304E"/>
    <w:rsid w:val="468F653F"/>
    <w:rsid w:val="46934486"/>
    <w:rsid w:val="46964683"/>
    <w:rsid w:val="46991B15"/>
    <w:rsid w:val="46A20C49"/>
    <w:rsid w:val="46A846B3"/>
    <w:rsid w:val="46AA6E3C"/>
    <w:rsid w:val="46AC2B55"/>
    <w:rsid w:val="46AE6D64"/>
    <w:rsid w:val="46AF70D7"/>
    <w:rsid w:val="46B35346"/>
    <w:rsid w:val="46B55F5A"/>
    <w:rsid w:val="46B84ED6"/>
    <w:rsid w:val="46BF6361"/>
    <w:rsid w:val="46C06317"/>
    <w:rsid w:val="46C5077F"/>
    <w:rsid w:val="46C91B69"/>
    <w:rsid w:val="46D62D9B"/>
    <w:rsid w:val="46DF0140"/>
    <w:rsid w:val="46E579BD"/>
    <w:rsid w:val="46E62C2C"/>
    <w:rsid w:val="46EE1188"/>
    <w:rsid w:val="46EE70F1"/>
    <w:rsid w:val="47034913"/>
    <w:rsid w:val="470A188C"/>
    <w:rsid w:val="470B7999"/>
    <w:rsid w:val="470D0477"/>
    <w:rsid w:val="471E0C65"/>
    <w:rsid w:val="472C345C"/>
    <w:rsid w:val="47355651"/>
    <w:rsid w:val="473A33B4"/>
    <w:rsid w:val="473D3B1C"/>
    <w:rsid w:val="473F021C"/>
    <w:rsid w:val="4741331D"/>
    <w:rsid w:val="474A5D8F"/>
    <w:rsid w:val="47516AC7"/>
    <w:rsid w:val="475315BB"/>
    <w:rsid w:val="47582DE1"/>
    <w:rsid w:val="475B3459"/>
    <w:rsid w:val="475F2D6A"/>
    <w:rsid w:val="476204E5"/>
    <w:rsid w:val="47657FF7"/>
    <w:rsid w:val="47713C6F"/>
    <w:rsid w:val="478538FE"/>
    <w:rsid w:val="47943581"/>
    <w:rsid w:val="479B28D0"/>
    <w:rsid w:val="47A0109E"/>
    <w:rsid w:val="47AD7374"/>
    <w:rsid w:val="47B52F6C"/>
    <w:rsid w:val="47BA0E61"/>
    <w:rsid w:val="47C45853"/>
    <w:rsid w:val="47D53FC8"/>
    <w:rsid w:val="47D66761"/>
    <w:rsid w:val="47D817E6"/>
    <w:rsid w:val="47E73A7A"/>
    <w:rsid w:val="47E92252"/>
    <w:rsid w:val="47E96C1B"/>
    <w:rsid w:val="47EE62C1"/>
    <w:rsid w:val="47F9057E"/>
    <w:rsid w:val="47FC1152"/>
    <w:rsid w:val="480034D2"/>
    <w:rsid w:val="480B3CBA"/>
    <w:rsid w:val="480B7547"/>
    <w:rsid w:val="480E3923"/>
    <w:rsid w:val="48143A9F"/>
    <w:rsid w:val="481B200E"/>
    <w:rsid w:val="481E3513"/>
    <w:rsid w:val="48252844"/>
    <w:rsid w:val="48265076"/>
    <w:rsid w:val="48297858"/>
    <w:rsid w:val="482C41D7"/>
    <w:rsid w:val="48356C86"/>
    <w:rsid w:val="483827F9"/>
    <w:rsid w:val="483B3AF5"/>
    <w:rsid w:val="484D26F2"/>
    <w:rsid w:val="485478D0"/>
    <w:rsid w:val="485816C2"/>
    <w:rsid w:val="48601B0D"/>
    <w:rsid w:val="48613153"/>
    <w:rsid w:val="48694BFC"/>
    <w:rsid w:val="486F16F4"/>
    <w:rsid w:val="48886E76"/>
    <w:rsid w:val="488B7E3B"/>
    <w:rsid w:val="488C4BBC"/>
    <w:rsid w:val="48920A64"/>
    <w:rsid w:val="489815C3"/>
    <w:rsid w:val="489A40BE"/>
    <w:rsid w:val="48A365C2"/>
    <w:rsid w:val="48A4445C"/>
    <w:rsid w:val="48A74ABC"/>
    <w:rsid w:val="48AB6879"/>
    <w:rsid w:val="48B8145F"/>
    <w:rsid w:val="48B87031"/>
    <w:rsid w:val="48B975E8"/>
    <w:rsid w:val="48C525E7"/>
    <w:rsid w:val="48D02DFA"/>
    <w:rsid w:val="48D254DD"/>
    <w:rsid w:val="48D33621"/>
    <w:rsid w:val="48DC53C6"/>
    <w:rsid w:val="48E03F47"/>
    <w:rsid w:val="48E048BE"/>
    <w:rsid w:val="48F455D9"/>
    <w:rsid w:val="48F630A0"/>
    <w:rsid w:val="48FE365D"/>
    <w:rsid w:val="48FF3613"/>
    <w:rsid w:val="49022E1E"/>
    <w:rsid w:val="49052C3A"/>
    <w:rsid w:val="4906709D"/>
    <w:rsid w:val="490847B2"/>
    <w:rsid w:val="49117EB7"/>
    <w:rsid w:val="491B5141"/>
    <w:rsid w:val="49221EF3"/>
    <w:rsid w:val="492523A5"/>
    <w:rsid w:val="49263CE8"/>
    <w:rsid w:val="492B03AC"/>
    <w:rsid w:val="492C5BC2"/>
    <w:rsid w:val="493654D2"/>
    <w:rsid w:val="49392F93"/>
    <w:rsid w:val="493C4E3E"/>
    <w:rsid w:val="493F46AE"/>
    <w:rsid w:val="4944579D"/>
    <w:rsid w:val="4944714E"/>
    <w:rsid w:val="49461A42"/>
    <w:rsid w:val="494A62F3"/>
    <w:rsid w:val="494A7785"/>
    <w:rsid w:val="49517495"/>
    <w:rsid w:val="49556B1B"/>
    <w:rsid w:val="495D1634"/>
    <w:rsid w:val="49643656"/>
    <w:rsid w:val="496753CD"/>
    <w:rsid w:val="49683F16"/>
    <w:rsid w:val="496C1F95"/>
    <w:rsid w:val="496E7C99"/>
    <w:rsid w:val="49724868"/>
    <w:rsid w:val="49733198"/>
    <w:rsid w:val="49763075"/>
    <w:rsid w:val="49766393"/>
    <w:rsid w:val="49793037"/>
    <w:rsid w:val="49795031"/>
    <w:rsid w:val="497B40F9"/>
    <w:rsid w:val="497B4BC6"/>
    <w:rsid w:val="49882154"/>
    <w:rsid w:val="49A84DEB"/>
    <w:rsid w:val="49A96CB4"/>
    <w:rsid w:val="49AD33F8"/>
    <w:rsid w:val="49B474E3"/>
    <w:rsid w:val="49B63626"/>
    <w:rsid w:val="49BD7208"/>
    <w:rsid w:val="49CC6D33"/>
    <w:rsid w:val="49CD3F8C"/>
    <w:rsid w:val="49D06FD0"/>
    <w:rsid w:val="49E97894"/>
    <w:rsid w:val="49EA41B0"/>
    <w:rsid w:val="49EB1C11"/>
    <w:rsid w:val="49ED405E"/>
    <w:rsid w:val="49EE406D"/>
    <w:rsid w:val="49F809C6"/>
    <w:rsid w:val="49F91D38"/>
    <w:rsid w:val="49FF0A09"/>
    <w:rsid w:val="4A03305F"/>
    <w:rsid w:val="4A061668"/>
    <w:rsid w:val="4A0A13C3"/>
    <w:rsid w:val="4A0C1434"/>
    <w:rsid w:val="4A0E4CA1"/>
    <w:rsid w:val="4A204E61"/>
    <w:rsid w:val="4A20686C"/>
    <w:rsid w:val="4A2429C4"/>
    <w:rsid w:val="4A3904A0"/>
    <w:rsid w:val="4A416F68"/>
    <w:rsid w:val="4A483E93"/>
    <w:rsid w:val="4A4A7644"/>
    <w:rsid w:val="4A4D325D"/>
    <w:rsid w:val="4A502EEC"/>
    <w:rsid w:val="4A5448A6"/>
    <w:rsid w:val="4A5526B2"/>
    <w:rsid w:val="4A585566"/>
    <w:rsid w:val="4A5E1585"/>
    <w:rsid w:val="4A617140"/>
    <w:rsid w:val="4A62741F"/>
    <w:rsid w:val="4A64766F"/>
    <w:rsid w:val="4A6A7073"/>
    <w:rsid w:val="4A6F5575"/>
    <w:rsid w:val="4A7D4D03"/>
    <w:rsid w:val="4A806167"/>
    <w:rsid w:val="4A893443"/>
    <w:rsid w:val="4A8D6A59"/>
    <w:rsid w:val="4AA077A9"/>
    <w:rsid w:val="4AA427B7"/>
    <w:rsid w:val="4AB01104"/>
    <w:rsid w:val="4AB05887"/>
    <w:rsid w:val="4AC233BA"/>
    <w:rsid w:val="4AC77135"/>
    <w:rsid w:val="4ACC3033"/>
    <w:rsid w:val="4ADF6E5C"/>
    <w:rsid w:val="4AE64520"/>
    <w:rsid w:val="4AE90DC2"/>
    <w:rsid w:val="4AEC1387"/>
    <w:rsid w:val="4AF3647F"/>
    <w:rsid w:val="4AF91269"/>
    <w:rsid w:val="4AFC1731"/>
    <w:rsid w:val="4AFE2D46"/>
    <w:rsid w:val="4B000F68"/>
    <w:rsid w:val="4B02635B"/>
    <w:rsid w:val="4B047A40"/>
    <w:rsid w:val="4B0A317F"/>
    <w:rsid w:val="4B0E0A94"/>
    <w:rsid w:val="4B0F4399"/>
    <w:rsid w:val="4B136921"/>
    <w:rsid w:val="4B1B4316"/>
    <w:rsid w:val="4B23606E"/>
    <w:rsid w:val="4B256A31"/>
    <w:rsid w:val="4B2B1060"/>
    <w:rsid w:val="4B377EBE"/>
    <w:rsid w:val="4B39156F"/>
    <w:rsid w:val="4B3C23B1"/>
    <w:rsid w:val="4B423D0E"/>
    <w:rsid w:val="4B426464"/>
    <w:rsid w:val="4B442EC1"/>
    <w:rsid w:val="4B4517F0"/>
    <w:rsid w:val="4B464598"/>
    <w:rsid w:val="4B4C663A"/>
    <w:rsid w:val="4B5353F4"/>
    <w:rsid w:val="4B545D50"/>
    <w:rsid w:val="4B55662F"/>
    <w:rsid w:val="4B612ABD"/>
    <w:rsid w:val="4B640BD6"/>
    <w:rsid w:val="4B681B5B"/>
    <w:rsid w:val="4B7B1170"/>
    <w:rsid w:val="4B7D0414"/>
    <w:rsid w:val="4B7E7DE4"/>
    <w:rsid w:val="4B894D09"/>
    <w:rsid w:val="4B8E5C15"/>
    <w:rsid w:val="4B9238BF"/>
    <w:rsid w:val="4BA40779"/>
    <w:rsid w:val="4BA7008B"/>
    <w:rsid w:val="4BA863D2"/>
    <w:rsid w:val="4BAD2417"/>
    <w:rsid w:val="4BB1134F"/>
    <w:rsid w:val="4BB22E91"/>
    <w:rsid w:val="4BB27974"/>
    <w:rsid w:val="4BB34525"/>
    <w:rsid w:val="4BBA6168"/>
    <w:rsid w:val="4BC70550"/>
    <w:rsid w:val="4BC85E05"/>
    <w:rsid w:val="4BC90D8A"/>
    <w:rsid w:val="4BCC6683"/>
    <w:rsid w:val="4BD03E76"/>
    <w:rsid w:val="4BD05280"/>
    <w:rsid w:val="4BD86D98"/>
    <w:rsid w:val="4BDF59DB"/>
    <w:rsid w:val="4BE26583"/>
    <w:rsid w:val="4BE943A1"/>
    <w:rsid w:val="4BEC248F"/>
    <w:rsid w:val="4BF173FF"/>
    <w:rsid w:val="4BF34414"/>
    <w:rsid w:val="4BF36557"/>
    <w:rsid w:val="4BF425A3"/>
    <w:rsid w:val="4BF859FE"/>
    <w:rsid w:val="4BFA33EE"/>
    <w:rsid w:val="4BFA4AC4"/>
    <w:rsid w:val="4C013CC3"/>
    <w:rsid w:val="4C0872D5"/>
    <w:rsid w:val="4C0F0910"/>
    <w:rsid w:val="4C120837"/>
    <w:rsid w:val="4C151BE6"/>
    <w:rsid w:val="4C1D5BF2"/>
    <w:rsid w:val="4C235F6D"/>
    <w:rsid w:val="4C2662A1"/>
    <w:rsid w:val="4C2C3B80"/>
    <w:rsid w:val="4C34766B"/>
    <w:rsid w:val="4C382E91"/>
    <w:rsid w:val="4C395343"/>
    <w:rsid w:val="4C3F4060"/>
    <w:rsid w:val="4C513F56"/>
    <w:rsid w:val="4C53206A"/>
    <w:rsid w:val="4C56505B"/>
    <w:rsid w:val="4C5C37F5"/>
    <w:rsid w:val="4C5C5183"/>
    <w:rsid w:val="4C5D3772"/>
    <w:rsid w:val="4C5F4229"/>
    <w:rsid w:val="4C5F5A6A"/>
    <w:rsid w:val="4C6009ED"/>
    <w:rsid w:val="4C6B23B9"/>
    <w:rsid w:val="4C6D4ECB"/>
    <w:rsid w:val="4C764040"/>
    <w:rsid w:val="4C7727CC"/>
    <w:rsid w:val="4C7868DE"/>
    <w:rsid w:val="4C7A5B00"/>
    <w:rsid w:val="4C8563B2"/>
    <w:rsid w:val="4C9574B4"/>
    <w:rsid w:val="4C992AE6"/>
    <w:rsid w:val="4CA73932"/>
    <w:rsid w:val="4CAA37EF"/>
    <w:rsid w:val="4CAF4359"/>
    <w:rsid w:val="4CBC2389"/>
    <w:rsid w:val="4CBF07CC"/>
    <w:rsid w:val="4CC07E11"/>
    <w:rsid w:val="4CC52A50"/>
    <w:rsid w:val="4CC65679"/>
    <w:rsid w:val="4CCD0A4D"/>
    <w:rsid w:val="4CCE2DA9"/>
    <w:rsid w:val="4CD51866"/>
    <w:rsid w:val="4CE63912"/>
    <w:rsid w:val="4CEE775F"/>
    <w:rsid w:val="4CF52899"/>
    <w:rsid w:val="4CFA4FB8"/>
    <w:rsid w:val="4D067D3B"/>
    <w:rsid w:val="4D0C7F6B"/>
    <w:rsid w:val="4D123B22"/>
    <w:rsid w:val="4D136105"/>
    <w:rsid w:val="4D1D6971"/>
    <w:rsid w:val="4D213508"/>
    <w:rsid w:val="4D240D02"/>
    <w:rsid w:val="4D255966"/>
    <w:rsid w:val="4D265A33"/>
    <w:rsid w:val="4D275571"/>
    <w:rsid w:val="4D294ABF"/>
    <w:rsid w:val="4D2A6193"/>
    <w:rsid w:val="4D32493B"/>
    <w:rsid w:val="4D332B9E"/>
    <w:rsid w:val="4D374381"/>
    <w:rsid w:val="4D493BD2"/>
    <w:rsid w:val="4D520CA9"/>
    <w:rsid w:val="4D5C73A1"/>
    <w:rsid w:val="4D643F7E"/>
    <w:rsid w:val="4D6838CB"/>
    <w:rsid w:val="4D6D261C"/>
    <w:rsid w:val="4D71035B"/>
    <w:rsid w:val="4D746DD5"/>
    <w:rsid w:val="4D773218"/>
    <w:rsid w:val="4D7C7027"/>
    <w:rsid w:val="4D8331FA"/>
    <w:rsid w:val="4D835D0A"/>
    <w:rsid w:val="4D863FCF"/>
    <w:rsid w:val="4D8B654E"/>
    <w:rsid w:val="4D8E116E"/>
    <w:rsid w:val="4D906F30"/>
    <w:rsid w:val="4D965288"/>
    <w:rsid w:val="4D973718"/>
    <w:rsid w:val="4D9A5042"/>
    <w:rsid w:val="4D9C7AC6"/>
    <w:rsid w:val="4DA126F3"/>
    <w:rsid w:val="4DA75699"/>
    <w:rsid w:val="4DB519CB"/>
    <w:rsid w:val="4DB61909"/>
    <w:rsid w:val="4DBF55C0"/>
    <w:rsid w:val="4DC21731"/>
    <w:rsid w:val="4DC97D58"/>
    <w:rsid w:val="4DCC1EA4"/>
    <w:rsid w:val="4DCF296D"/>
    <w:rsid w:val="4DCF3F85"/>
    <w:rsid w:val="4DD0325A"/>
    <w:rsid w:val="4DD217A6"/>
    <w:rsid w:val="4DD477F8"/>
    <w:rsid w:val="4DDF01ED"/>
    <w:rsid w:val="4DE06E13"/>
    <w:rsid w:val="4DE548F5"/>
    <w:rsid w:val="4DE603FA"/>
    <w:rsid w:val="4DE66E63"/>
    <w:rsid w:val="4DE80BCC"/>
    <w:rsid w:val="4DF32D88"/>
    <w:rsid w:val="4DF66CF7"/>
    <w:rsid w:val="4DF71029"/>
    <w:rsid w:val="4DF72EA8"/>
    <w:rsid w:val="4DF736E9"/>
    <w:rsid w:val="4DF92338"/>
    <w:rsid w:val="4DFC6472"/>
    <w:rsid w:val="4E007D98"/>
    <w:rsid w:val="4E0641CD"/>
    <w:rsid w:val="4E1117A7"/>
    <w:rsid w:val="4E1B44C8"/>
    <w:rsid w:val="4E1F099B"/>
    <w:rsid w:val="4E373A96"/>
    <w:rsid w:val="4E3D215E"/>
    <w:rsid w:val="4E402984"/>
    <w:rsid w:val="4E427B75"/>
    <w:rsid w:val="4E5451CB"/>
    <w:rsid w:val="4E5974B7"/>
    <w:rsid w:val="4E5B39DF"/>
    <w:rsid w:val="4E624B2A"/>
    <w:rsid w:val="4E6D17E5"/>
    <w:rsid w:val="4E7373DB"/>
    <w:rsid w:val="4E803928"/>
    <w:rsid w:val="4E834E0D"/>
    <w:rsid w:val="4E855A8D"/>
    <w:rsid w:val="4E897566"/>
    <w:rsid w:val="4E897C51"/>
    <w:rsid w:val="4E8A7102"/>
    <w:rsid w:val="4E8C110D"/>
    <w:rsid w:val="4E8F2D7A"/>
    <w:rsid w:val="4E992DE9"/>
    <w:rsid w:val="4E9B3A64"/>
    <w:rsid w:val="4EA1142B"/>
    <w:rsid w:val="4EB32EA9"/>
    <w:rsid w:val="4EB513EA"/>
    <w:rsid w:val="4ED4297C"/>
    <w:rsid w:val="4EDA0B9B"/>
    <w:rsid w:val="4EE27DF5"/>
    <w:rsid w:val="4EE57FCE"/>
    <w:rsid w:val="4EE74974"/>
    <w:rsid w:val="4EEB7161"/>
    <w:rsid w:val="4EEC71D6"/>
    <w:rsid w:val="4EED2019"/>
    <w:rsid w:val="4F004102"/>
    <w:rsid w:val="4F037680"/>
    <w:rsid w:val="4F0D7E3C"/>
    <w:rsid w:val="4F145032"/>
    <w:rsid w:val="4F164766"/>
    <w:rsid w:val="4F1709B0"/>
    <w:rsid w:val="4F175411"/>
    <w:rsid w:val="4F212518"/>
    <w:rsid w:val="4F255C13"/>
    <w:rsid w:val="4F31025B"/>
    <w:rsid w:val="4F316029"/>
    <w:rsid w:val="4F336F33"/>
    <w:rsid w:val="4F364E08"/>
    <w:rsid w:val="4F372175"/>
    <w:rsid w:val="4F39719B"/>
    <w:rsid w:val="4F3A402D"/>
    <w:rsid w:val="4F425463"/>
    <w:rsid w:val="4F514125"/>
    <w:rsid w:val="4F564CC9"/>
    <w:rsid w:val="4F6323AB"/>
    <w:rsid w:val="4F677C06"/>
    <w:rsid w:val="4F6B360F"/>
    <w:rsid w:val="4F6B791B"/>
    <w:rsid w:val="4F6D127C"/>
    <w:rsid w:val="4F7A0403"/>
    <w:rsid w:val="4F8F1EDB"/>
    <w:rsid w:val="4F9031C8"/>
    <w:rsid w:val="4F932273"/>
    <w:rsid w:val="4F987149"/>
    <w:rsid w:val="4F9D2523"/>
    <w:rsid w:val="4F9F5E29"/>
    <w:rsid w:val="4FA3657F"/>
    <w:rsid w:val="4FA464BB"/>
    <w:rsid w:val="4FA7132D"/>
    <w:rsid w:val="4FAF47D8"/>
    <w:rsid w:val="4FB17907"/>
    <w:rsid w:val="4FB61810"/>
    <w:rsid w:val="4FBB189C"/>
    <w:rsid w:val="4FBB2334"/>
    <w:rsid w:val="4FBB2997"/>
    <w:rsid w:val="4FBB7BA7"/>
    <w:rsid w:val="4FC51669"/>
    <w:rsid w:val="4FD0735B"/>
    <w:rsid w:val="4FDA2099"/>
    <w:rsid w:val="4FE86518"/>
    <w:rsid w:val="4FEB6FD4"/>
    <w:rsid w:val="4FED45EA"/>
    <w:rsid w:val="4FED7241"/>
    <w:rsid w:val="4FEF533D"/>
    <w:rsid w:val="4FF4301A"/>
    <w:rsid w:val="4FF96423"/>
    <w:rsid w:val="4FFC45DE"/>
    <w:rsid w:val="4FFD07D3"/>
    <w:rsid w:val="4FFE23D2"/>
    <w:rsid w:val="4FFE4516"/>
    <w:rsid w:val="50031B62"/>
    <w:rsid w:val="500860DF"/>
    <w:rsid w:val="501837E8"/>
    <w:rsid w:val="502026EB"/>
    <w:rsid w:val="502B69E0"/>
    <w:rsid w:val="502F271D"/>
    <w:rsid w:val="502F784A"/>
    <w:rsid w:val="50301431"/>
    <w:rsid w:val="5030328D"/>
    <w:rsid w:val="50335183"/>
    <w:rsid w:val="50373E89"/>
    <w:rsid w:val="503B4E5F"/>
    <w:rsid w:val="504319EA"/>
    <w:rsid w:val="50472BEF"/>
    <w:rsid w:val="5051251E"/>
    <w:rsid w:val="50536ABA"/>
    <w:rsid w:val="50545F1C"/>
    <w:rsid w:val="50594366"/>
    <w:rsid w:val="505C2547"/>
    <w:rsid w:val="505D591E"/>
    <w:rsid w:val="50730792"/>
    <w:rsid w:val="507E3831"/>
    <w:rsid w:val="50897263"/>
    <w:rsid w:val="508E1E88"/>
    <w:rsid w:val="50B44D2D"/>
    <w:rsid w:val="50B6699C"/>
    <w:rsid w:val="50BC2D18"/>
    <w:rsid w:val="50BC5CAF"/>
    <w:rsid w:val="50C64F0D"/>
    <w:rsid w:val="50CB4427"/>
    <w:rsid w:val="50D5278D"/>
    <w:rsid w:val="50D8798A"/>
    <w:rsid w:val="50D90D44"/>
    <w:rsid w:val="50DB10B2"/>
    <w:rsid w:val="50DD014E"/>
    <w:rsid w:val="50DE7253"/>
    <w:rsid w:val="50E12AA1"/>
    <w:rsid w:val="50E12CAF"/>
    <w:rsid w:val="50EA73AE"/>
    <w:rsid w:val="50ED7CD9"/>
    <w:rsid w:val="50F61864"/>
    <w:rsid w:val="50FB1699"/>
    <w:rsid w:val="510F188F"/>
    <w:rsid w:val="51104578"/>
    <w:rsid w:val="511D528C"/>
    <w:rsid w:val="51211216"/>
    <w:rsid w:val="512C5FF9"/>
    <w:rsid w:val="5134432A"/>
    <w:rsid w:val="51345387"/>
    <w:rsid w:val="513B412B"/>
    <w:rsid w:val="51474695"/>
    <w:rsid w:val="514D38AE"/>
    <w:rsid w:val="515B6F75"/>
    <w:rsid w:val="51604EA1"/>
    <w:rsid w:val="51674012"/>
    <w:rsid w:val="51683979"/>
    <w:rsid w:val="5169092D"/>
    <w:rsid w:val="516A0414"/>
    <w:rsid w:val="516F75A3"/>
    <w:rsid w:val="517226F0"/>
    <w:rsid w:val="51770CA4"/>
    <w:rsid w:val="51794061"/>
    <w:rsid w:val="5179553C"/>
    <w:rsid w:val="51824B54"/>
    <w:rsid w:val="5183354D"/>
    <w:rsid w:val="51880D43"/>
    <w:rsid w:val="518B5AF5"/>
    <w:rsid w:val="518B78F0"/>
    <w:rsid w:val="51907559"/>
    <w:rsid w:val="519716B3"/>
    <w:rsid w:val="519B5C01"/>
    <w:rsid w:val="51AB5A87"/>
    <w:rsid w:val="51B43752"/>
    <w:rsid w:val="51BA41CF"/>
    <w:rsid w:val="51BE14DD"/>
    <w:rsid w:val="51BE7B76"/>
    <w:rsid w:val="51C05AAB"/>
    <w:rsid w:val="51C41D64"/>
    <w:rsid w:val="51D213FA"/>
    <w:rsid w:val="51D64118"/>
    <w:rsid w:val="51DF2E75"/>
    <w:rsid w:val="51E2642D"/>
    <w:rsid w:val="51E87B5A"/>
    <w:rsid w:val="51EB77DD"/>
    <w:rsid w:val="51F02D50"/>
    <w:rsid w:val="51FC3690"/>
    <w:rsid w:val="51FD0B2A"/>
    <w:rsid w:val="51FD5E72"/>
    <w:rsid w:val="5208143C"/>
    <w:rsid w:val="520B420E"/>
    <w:rsid w:val="520F5004"/>
    <w:rsid w:val="521068D7"/>
    <w:rsid w:val="521E12D6"/>
    <w:rsid w:val="522012A9"/>
    <w:rsid w:val="522234B4"/>
    <w:rsid w:val="52236517"/>
    <w:rsid w:val="52302601"/>
    <w:rsid w:val="52307094"/>
    <w:rsid w:val="5234271C"/>
    <w:rsid w:val="523E4983"/>
    <w:rsid w:val="523F01F1"/>
    <w:rsid w:val="52467E8E"/>
    <w:rsid w:val="524C7C53"/>
    <w:rsid w:val="52501807"/>
    <w:rsid w:val="526372C4"/>
    <w:rsid w:val="526451F2"/>
    <w:rsid w:val="52663DA2"/>
    <w:rsid w:val="5271206F"/>
    <w:rsid w:val="52715E4F"/>
    <w:rsid w:val="52734B6F"/>
    <w:rsid w:val="527A2B67"/>
    <w:rsid w:val="527A6C9F"/>
    <w:rsid w:val="527B459E"/>
    <w:rsid w:val="527C4B84"/>
    <w:rsid w:val="527D236E"/>
    <w:rsid w:val="52867D8C"/>
    <w:rsid w:val="528961FA"/>
    <w:rsid w:val="5293373C"/>
    <w:rsid w:val="529906F6"/>
    <w:rsid w:val="52A41E30"/>
    <w:rsid w:val="52AE496B"/>
    <w:rsid w:val="52B15AEE"/>
    <w:rsid w:val="52B94D34"/>
    <w:rsid w:val="52BD2FBE"/>
    <w:rsid w:val="52BE360F"/>
    <w:rsid w:val="52C0001E"/>
    <w:rsid w:val="52C103B4"/>
    <w:rsid w:val="52C323D1"/>
    <w:rsid w:val="52C94183"/>
    <w:rsid w:val="52D013D5"/>
    <w:rsid w:val="52D477E1"/>
    <w:rsid w:val="52EE2DAD"/>
    <w:rsid w:val="52F53DC7"/>
    <w:rsid w:val="52FB1A8B"/>
    <w:rsid w:val="530B067B"/>
    <w:rsid w:val="53141A8E"/>
    <w:rsid w:val="531879D2"/>
    <w:rsid w:val="53197FDB"/>
    <w:rsid w:val="532137D9"/>
    <w:rsid w:val="53215334"/>
    <w:rsid w:val="532642B5"/>
    <w:rsid w:val="532763C1"/>
    <w:rsid w:val="533A2FD8"/>
    <w:rsid w:val="533C1CBE"/>
    <w:rsid w:val="533D36A8"/>
    <w:rsid w:val="533E3ACC"/>
    <w:rsid w:val="534258AD"/>
    <w:rsid w:val="53462E60"/>
    <w:rsid w:val="5347416B"/>
    <w:rsid w:val="535035C3"/>
    <w:rsid w:val="53560B70"/>
    <w:rsid w:val="53594500"/>
    <w:rsid w:val="535C0879"/>
    <w:rsid w:val="535F19CB"/>
    <w:rsid w:val="535F7688"/>
    <w:rsid w:val="53602093"/>
    <w:rsid w:val="5370080A"/>
    <w:rsid w:val="53795E7B"/>
    <w:rsid w:val="537B749F"/>
    <w:rsid w:val="537C684F"/>
    <w:rsid w:val="53842846"/>
    <w:rsid w:val="53853FE9"/>
    <w:rsid w:val="538F7BF4"/>
    <w:rsid w:val="53981886"/>
    <w:rsid w:val="53A007A5"/>
    <w:rsid w:val="53A65CF3"/>
    <w:rsid w:val="53AB0815"/>
    <w:rsid w:val="53AD01EC"/>
    <w:rsid w:val="53B76AFC"/>
    <w:rsid w:val="53C15472"/>
    <w:rsid w:val="53C3436F"/>
    <w:rsid w:val="53C44E87"/>
    <w:rsid w:val="53CC0CFD"/>
    <w:rsid w:val="53CE787B"/>
    <w:rsid w:val="53E7760C"/>
    <w:rsid w:val="53EC5261"/>
    <w:rsid w:val="53EC7657"/>
    <w:rsid w:val="53F63D2B"/>
    <w:rsid w:val="53FA377C"/>
    <w:rsid w:val="540828B7"/>
    <w:rsid w:val="540C670F"/>
    <w:rsid w:val="54111BDE"/>
    <w:rsid w:val="54132E2A"/>
    <w:rsid w:val="54146961"/>
    <w:rsid w:val="541A615A"/>
    <w:rsid w:val="541D0416"/>
    <w:rsid w:val="541E5972"/>
    <w:rsid w:val="542C3EAE"/>
    <w:rsid w:val="54331315"/>
    <w:rsid w:val="54395FE7"/>
    <w:rsid w:val="543B134E"/>
    <w:rsid w:val="543B3155"/>
    <w:rsid w:val="5446737B"/>
    <w:rsid w:val="5449093D"/>
    <w:rsid w:val="5460226B"/>
    <w:rsid w:val="5466564E"/>
    <w:rsid w:val="54724AA8"/>
    <w:rsid w:val="54787AB7"/>
    <w:rsid w:val="547D7D39"/>
    <w:rsid w:val="548463A3"/>
    <w:rsid w:val="548601E9"/>
    <w:rsid w:val="54890354"/>
    <w:rsid w:val="548B523B"/>
    <w:rsid w:val="54910D61"/>
    <w:rsid w:val="54942A53"/>
    <w:rsid w:val="549717EF"/>
    <w:rsid w:val="549C5189"/>
    <w:rsid w:val="54A7765B"/>
    <w:rsid w:val="54AD617C"/>
    <w:rsid w:val="54B16B3E"/>
    <w:rsid w:val="54B43469"/>
    <w:rsid w:val="54B81FA0"/>
    <w:rsid w:val="54B903ED"/>
    <w:rsid w:val="54BA2C5A"/>
    <w:rsid w:val="54BE58C1"/>
    <w:rsid w:val="54C314DA"/>
    <w:rsid w:val="54CD10D6"/>
    <w:rsid w:val="54D64681"/>
    <w:rsid w:val="54D73C51"/>
    <w:rsid w:val="54DD41D3"/>
    <w:rsid w:val="54E42F4C"/>
    <w:rsid w:val="54E50D99"/>
    <w:rsid w:val="54E51C6D"/>
    <w:rsid w:val="54E57C21"/>
    <w:rsid w:val="54E869B5"/>
    <w:rsid w:val="54E97EFE"/>
    <w:rsid w:val="54EB5EE5"/>
    <w:rsid w:val="54FF115C"/>
    <w:rsid w:val="55023120"/>
    <w:rsid w:val="55051E41"/>
    <w:rsid w:val="550679C2"/>
    <w:rsid w:val="550A346E"/>
    <w:rsid w:val="550D445B"/>
    <w:rsid w:val="551035CF"/>
    <w:rsid w:val="55120DA5"/>
    <w:rsid w:val="55192AD9"/>
    <w:rsid w:val="551D341D"/>
    <w:rsid w:val="55260925"/>
    <w:rsid w:val="55264456"/>
    <w:rsid w:val="5531527C"/>
    <w:rsid w:val="55316C2E"/>
    <w:rsid w:val="553C4A8E"/>
    <w:rsid w:val="554053A6"/>
    <w:rsid w:val="55420BA7"/>
    <w:rsid w:val="55437154"/>
    <w:rsid w:val="554D25CC"/>
    <w:rsid w:val="554D7CEE"/>
    <w:rsid w:val="554F471D"/>
    <w:rsid w:val="55530693"/>
    <w:rsid w:val="555444AE"/>
    <w:rsid w:val="55642426"/>
    <w:rsid w:val="556D016D"/>
    <w:rsid w:val="556F620B"/>
    <w:rsid w:val="55737168"/>
    <w:rsid w:val="558253F5"/>
    <w:rsid w:val="559B4664"/>
    <w:rsid w:val="55A101DD"/>
    <w:rsid w:val="55A34EB3"/>
    <w:rsid w:val="55A968F4"/>
    <w:rsid w:val="55B52475"/>
    <w:rsid w:val="55B57A9B"/>
    <w:rsid w:val="55C033B6"/>
    <w:rsid w:val="55C471E2"/>
    <w:rsid w:val="55C835FD"/>
    <w:rsid w:val="55CB6789"/>
    <w:rsid w:val="55CC1834"/>
    <w:rsid w:val="55DA59DF"/>
    <w:rsid w:val="55F842D8"/>
    <w:rsid w:val="55F857F3"/>
    <w:rsid w:val="55FB173E"/>
    <w:rsid w:val="55FC75B6"/>
    <w:rsid w:val="55FC75CE"/>
    <w:rsid w:val="55FD2AD0"/>
    <w:rsid w:val="55FE1A21"/>
    <w:rsid w:val="55FE72EB"/>
    <w:rsid w:val="55FF7A68"/>
    <w:rsid w:val="560121F7"/>
    <w:rsid w:val="5605622E"/>
    <w:rsid w:val="56083638"/>
    <w:rsid w:val="560856BA"/>
    <w:rsid w:val="560926F9"/>
    <w:rsid w:val="560D35F6"/>
    <w:rsid w:val="56104CA4"/>
    <w:rsid w:val="5618328F"/>
    <w:rsid w:val="562373CF"/>
    <w:rsid w:val="56254812"/>
    <w:rsid w:val="562B410C"/>
    <w:rsid w:val="562E4000"/>
    <w:rsid w:val="56327C6D"/>
    <w:rsid w:val="563B4C39"/>
    <w:rsid w:val="564373D8"/>
    <w:rsid w:val="56472BEA"/>
    <w:rsid w:val="56473EE5"/>
    <w:rsid w:val="566C4BDA"/>
    <w:rsid w:val="56710052"/>
    <w:rsid w:val="56730D25"/>
    <w:rsid w:val="56730D9A"/>
    <w:rsid w:val="56794A10"/>
    <w:rsid w:val="567E6E65"/>
    <w:rsid w:val="56811261"/>
    <w:rsid w:val="568C072B"/>
    <w:rsid w:val="568C0E70"/>
    <w:rsid w:val="568D2AD3"/>
    <w:rsid w:val="568F115D"/>
    <w:rsid w:val="5690072F"/>
    <w:rsid w:val="56A91C76"/>
    <w:rsid w:val="56BA7977"/>
    <w:rsid w:val="56BC5801"/>
    <w:rsid w:val="56BD5D14"/>
    <w:rsid w:val="56BF6517"/>
    <w:rsid w:val="56C4310B"/>
    <w:rsid w:val="56C66A52"/>
    <w:rsid w:val="56D8092F"/>
    <w:rsid w:val="56D8486C"/>
    <w:rsid w:val="56DE26A3"/>
    <w:rsid w:val="56E02C97"/>
    <w:rsid w:val="56E25BD7"/>
    <w:rsid w:val="56E40687"/>
    <w:rsid w:val="56E822E6"/>
    <w:rsid w:val="56E83841"/>
    <w:rsid w:val="56ED004C"/>
    <w:rsid w:val="56F52FC7"/>
    <w:rsid w:val="56F54F7F"/>
    <w:rsid w:val="56FA718C"/>
    <w:rsid w:val="56FE290F"/>
    <w:rsid w:val="570037FA"/>
    <w:rsid w:val="57071473"/>
    <w:rsid w:val="570A01C3"/>
    <w:rsid w:val="5710154E"/>
    <w:rsid w:val="57116A00"/>
    <w:rsid w:val="57131CCD"/>
    <w:rsid w:val="571331B4"/>
    <w:rsid w:val="571478F1"/>
    <w:rsid w:val="57163E22"/>
    <w:rsid w:val="571D17D2"/>
    <w:rsid w:val="572158C9"/>
    <w:rsid w:val="5727138D"/>
    <w:rsid w:val="57277C80"/>
    <w:rsid w:val="57282DE2"/>
    <w:rsid w:val="573A529A"/>
    <w:rsid w:val="573E55FC"/>
    <w:rsid w:val="573F7AE4"/>
    <w:rsid w:val="5747212A"/>
    <w:rsid w:val="575135D0"/>
    <w:rsid w:val="57602736"/>
    <w:rsid w:val="577306AD"/>
    <w:rsid w:val="577C4DB5"/>
    <w:rsid w:val="577E5C04"/>
    <w:rsid w:val="578E4B51"/>
    <w:rsid w:val="57911F4B"/>
    <w:rsid w:val="57930A30"/>
    <w:rsid w:val="579866AD"/>
    <w:rsid w:val="579C13F5"/>
    <w:rsid w:val="57A1565E"/>
    <w:rsid w:val="57AA226C"/>
    <w:rsid w:val="57AB29D0"/>
    <w:rsid w:val="57AB3443"/>
    <w:rsid w:val="57B96237"/>
    <w:rsid w:val="57BE7D37"/>
    <w:rsid w:val="57C85944"/>
    <w:rsid w:val="57CE5E7E"/>
    <w:rsid w:val="57D17EA4"/>
    <w:rsid w:val="57D51680"/>
    <w:rsid w:val="57D66260"/>
    <w:rsid w:val="57DB1FCB"/>
    <w:rsid w:val="57E04B9D"/>
    <w:rsid w:val="57E622DC"/>
    <w:rsid w:val="57E8487C"/>
    <w:rsid w:val="57EA6666"/>
    <w:rsid w:val="57EC1005"/>
    <w:rsid w:val="57F310E7"/>
    <w:rsid w:val="57FF38C8"/>
    <w:rsid w:val="58002BB3"/>
    <w:rsid w:val="58013066"/>
    <w:rsid w:val="58056758"/>
    <w:rsid w:val="580A7647"/>
    <w:rsid w:val="58163F1A"/>
    <w:rsid w:val="58246DBA"/>
    <w:rsid w:val="58250FE1"/>
    <w:rsid w:val="582B4710"/>
    <w:rsid w:val="58337C5E"/>
    <w:rsid w:val="583E34FA"/>
    <w:rsid w:val="584B0738"/>
    <w:rsid w:val="58592BBB"/>
    <w:rsid w:val="58597CB3"/>
    <w:rsid w:val="5860062E"/>
    <w:rsid w:val="5869259F"/>
    <w:rsid w:val="586A4B3F"/>
    <w:rsid w:val="58771BEC"/>
    <w:rsid w:val="58810DBE"/>
    <w:rsid w:val="588C2AD3"/>
    <w:rsid w:val="588C4896"/>
    <w:rsid w:val="58923812"/>
    <w:rsid w:val="58AA723E"/>
    <w:rsid w:val="58B825EB"/>
    <w:rsid w:val="58C758DF"/>
    <w:rsid w:val="58E212E5"/>
    <w:rsid w:val="58E5059D"/>
    <w:rsid w:val="58EE2FD9"/>
    <w:rsid w:val="58F51BDC"/>
    <w:rsid w:val="58F75E22"/>
    <w:rsid w:val="59040C9F"/>
    <w:rsid w:val="590A195B"/>
    <w:rsid w:val="591C036C"/>
    <w:rsid w:val="592A5745"/>
    <w:rsid w:val="59363447"/>
    <w:rsid w:val="593A54B4"/>
    <w:rsid w:val="593B5413"/>
    <w:rsid w:val="59411BE4"/>
    <w:rsid w:val="594232D1"/>
    <w:rsid w:val="59430F9F"/>
    <w:rsid w:val="59480C65"/>
    <w:rsid w:val="594A3A98"/>
    <w:rsid w:val="594B4EEC"/>
    <w:rsid w:val="59542010"/>
    <w:rsid w:val="595935D7"/>
    <w:rsid w:val="595C174C"/>
    <w:rsid w:val="59676576"/>
    <w:rsid w:val="596D0D0B"/>
    <w:rsid w:val="59715901"/>
    <w:rsid w:val="597225BC"/>
    <w:rsid w:val="597E6F28"/>
    <w:rsid w:val="597F0524"/>
    <w:rsid w:val="598551F0"/>
    <w:rsid w:val="598B3271"/>
    <w:rsid w:val="59A471FD"/>
    <w:rsid w:val="59A62CCD"/>
    <w:rsid w:val="59AF3720"/>
    <w:rsid w:val="59C51933"/>
    <w:rsid w:val="59C662C9"/>
    <w:rsid w:val="59D65364"/>
    <w:rsid w:val="59DA1FE8"/>
    <w:rsid w:val="59DA5280"/>
    <w:rsid w:val="59DB6CD0"/>
    <w:rsid w:val="59DD38F2"/>
    <w:rsid w:val="59DF6C6A"/>
    <w:rsid w:val="59DF7CAC"/>
    <w:rsid w:val="59E6029A"/>
    <w:rsid w:val="59EB4A90"/>
    <w:rsid w:val="59F0267D"/>
    <w:rsid w:val="59F13109"/>
    <w:rsid w:val="59F503BF"/>
    <w:rsid w:val="59FB45BA"/>
    <w:rsid w:val="59FE66AA"/>
    <w:rsid w:val="5A0B2937"/>
    <w:rsid w:val="5A0B6A09"/>
    <w:rsid w:val="5A13638E"/>
    <w:rsid w:val="5A152E96"/>
    <w:rsid w:val="5A1B5737"/>
    <w:rsid w:val="5A1E223C"/>
    <w:rsid w:val="5A242E87"/>
    <w:rsid w:val="5A2760C5"/>
    <w:rsid w:val="5A326377"/>
    <w:rsid w:val="5A3A2BF2"/>
    <w:rsid w:val="5A403526"/>
    <w:rsid w:val="5A4E04C5"/>
    <w:rsid w:val="5A523834"/>
    <w:rsid w:val="5A566236"/>
    <w:rsid w:val="5A5852DF"/>
    <w:rsid w:val="5A585632"/>
    <w:rsid w:val="5A5D3286"/>
    <w:rsid w:val="5A5F59C8"/>
    <w:rsid w:val="5A606706"/>
    <w:rsid w:val="5A6F48D6"/>
    <w:rsid w:val="5A700DDB"/>
    <w:rsid w:val="5A7D1825"/>
    <w:rsid w:val="5A81213B"/>
    <w:rsid w:val="5A8E738C"/>
    <w:rsid w:val="5A8E7E72"/>
    <w:rsid w:val="5A941E82"/>
    <w:rsid w:val="5A9A47D3"/>
    <w:rsid w:val="5A9E1CDF"/>
    <w:rsid w:val="5A9E6CB0"/>
    <w:rsid w:val="5AA02B16"/>
    <w:rsid w:val="5AA70DE3"/>
    <w:rsid w:val="5AB82E23"/>
    <w:rsid w:val="5ABF2E0D"/>
    <w:rsid w:val="5AC06D3D"/>
    <w:rsid w:val="5AC643F8"/>
    <w:rsid w:val="5ACA5B13"/>
    <w:rsid w:val="5ACF42A5"/>
    <w:rsid w:val="5AD145E0"/>
    <w:rsid w:val="5AD84379"/>
    <w:rsid w:val="5AD93A31"/>
    <w:rsid w:val="5ADD3032"/>
    <w:rsid w:val="5AE50A89"/>
    <w:rsid w:val="5AE84F4D"/>
    <w:rsid w:val="5AEA6207"/>
    <w:rsid w:val="5AEB7000"/>
    <w:rsid w:val="5AF710F1"/>
    <w:rsid w:val="5AF80C1C"/>
    <w:rsid w:val="5B040343"/>
    <w:rsid w:val="5B043542"/>
    <w:rsid w:val="5B0566AD"/>
    <w:rsid w:val="5B081DDC"/>
    <w:rsid w:val="5B120413"/>
    <w:rsid w:val="5B183F28"/>
    <w:rsid w:val="5B190114"/>
    <w:rsid w:val="5B204CEE"/>
    <w:rsid w:val="5B2542B1"/>
    <w:rsid w:val="5B2559E9"/>
    <w:rsid w:val="5B2B376B"/>
    <w:rsid w:val="5B325EC9"/>
    <w:rsid w:val="5B332897"/>
    <w:rsid w:val="5B4800AB"/>
    <w:rsid w:val="5B495E8B"/>
    <w:rsid w:val="5B521B28"/>
    <w:rsid w:val="5B59543F"/>
    <w:rsid w:val="5B633D6B"/>
    <w:rsid w:val="5B660DC4"/>
    <w:rsid w:val="5B671EA8"/>
    <w:rsid w:val="5B753957"/>
    <w:rsid w:val="5B777347"/>
    <w:rsid w:val="5B781921"/>
    <w:rsid w:val="5B7E617D"/>
    <w:rsid w:val="5B84167F"/>
    <w:rsid w:val="5B8421F9"/>
    <w:rsid w:val="5B8F3381"/>
    <w:rsid w:val="5B8F3FCB"/>
    <w:rsid w:val="5B9810F6"/>
    <w:rsid w:val="5B9E3E5F"/>
    <w:rsid w:val="5BA33305"/>
    <w:rsid w:val="5BD01973"/>
    <w:rsid w:val="5BE82358"/>
    <w:rsid w:val="5BEF6400"/>
    <w:rsid w:val="5BF84BFF"/>
    <w:rsid w:val="5BF8618B"/>
    <w:rsid w:val="5C0D1CBC"/>
    <w:rsid w:val="5C0D68F9"/>
    <w:rsid w:val="5C0E42C5"/>
    <w:rsid w:val="5C0F59D5"/>
    <w:rsid w:val="5C134FAF"/>
    <w:rsid w:val="5C184469"/>
    <w:rsid w:val="5C1B6D05"/>
    <w:rsid w:val="5C20246E"/>
    <w:rsid w:val="5C271D2C"/>
    <w:rsid w:val="5C34216D"/>
    <w:rsid w:val="5C3527D4"/>
    <w:rsid w:val="5C373789"/>
    <w:rsid w:val="5C3E5AD9"/>
    <w:rsid w:val="5C415A9C"/>
    <w:rsid w:val="5C482E67"/>
    <w:rsid w:val="5C4B7AA8"/>
    <w:rsid w:val="5C4D387C"/>
    <w:rsid w:val="5C4D7D95"/>
    <w:rsid w:val="5C4F5358"/>
    <w:rsid w:val="5C573379"/>
    <w:rsid w:val="5C5A767C"/>
    <w:rsid w:val="5C64343E"/>
    <w:rsid w:val="5C6632C9"/>
    <w:rsid w:val="5C6850BE"/>
    <w:rsid w:val="5C6E6700"/>
    <w:rsid w:val="5C6F5AEE"/>
    <w:rsid w:val="5C742128"/>
    <w:rsid w:val="5C747B1B"/>
    <w:rsid w:val="5C757357"/>
    <w:rsid w:val="5C7B24AE"/>
    <w:rsid w:val="5C7E29F1"/>
    <w:rsid w:val="5C9161D8"/>
    <w:rsid w:val="5C925055"/>
    <w:rsid w:val="5C986842"/>
    <w:rsid w:val="5CA178C3"/>
    <w:rsid w:val="5CA36D0C"/>
    <w:rsid w:val="5CA946AC"/>
    <w:rsid w:val="5CAC1998"/>
    <w:rsid w:val="5CAC6113"/>
    <w:rsid w:val="5CAE0827"/>
    <w:rsid w:val="5CAF09BE"/>
    <w:rsid w:val="5CB42DD9"/>
    <w:rsid w:val="5CB61716"/>
    <w:rsid w:val="5CBC3E18"/>
    <w:rsid w:val="5CBF0A34"/>
    <w:rsid w:val="5CC25F0D"/>
    <w:rsid w:val="5CCB7305"/>
    <w:rsid w:val="5CD06BA7"/>
    <w:rsid w:val="5CD21FF7"/>
    <w:rsid w:val="5CD234B8"/>
    <w:rsid w:val="5CD40530"/>
    <w:rsid w:val="5CD57B99"/>
    <w:rsid w:val="5CD65D84"/>
    <w:rsid w:val="5CD86933"/>
    <w:rsid w:val="5CDB42E8"/>
    <w:rsid w:val="5CDC5D78"/>
    <w:rsid w:val="5CEC03BA"/>
    <w:rsid w:val="5CF33318"/>
    <w:rsid w:val="5CF97C2A"/>
    <w:rsid w:val="5CFA66F6"/>
    <w:rsid w:val="5CFB6093"/>
    <w:rsid w:val="5D052215"/>
    <w:rsid w:val="5D1E28FF"/>
    <w:rsid w:val="5D221549"/>
    <w:rsid w:val="5D26703E"/>
    <w:rsid w:val="5D36126F"/>
    <w:rsid w:val="5D3614FF"/>
    <w:rsid w:val="5D3E4695"/>
    <w:rsid w:val="5D4E4792"/>
    <w:rsid w:val="5D505E7F"/>
    <w:rsid w:val="5D53265C"/>
    <w:rsid w:val="5D535585"/>
    <w:rsid w:val="5D555784"/>
    <w:rsid w:val="5D564011"/>
    <w:rsid w:val="5D5821FA"/>
    <w:rsid w:val="5D5E7374"/>
    <w:rsid w:val="5D646FB5"/>
    <w:rsid w:val="5D653092"/>
    <w:rsid w:val="5D6F4DB9"/>
    <w:rsid w:val="5D7008F0"/>
    <w:rsid w:val="5D7461ED"/>
    <w:rsid w:val="5D7767DA"/>
    <w:rsid w:val="5D81316C"/>
    <w:rsid w:val="5D860423"/>
    <w:rsid w:val="5D923DF6"/>
    <w:rsid w:val="5D9429BF"/>
    <w:rsid w:val="5D9E460C"/>
    <w:rsid w:val="5DA37A16"/>
    <w:rsid w:val="5DA7628A"/>
    <w:rsid w:val="5DAB0E18"/>
    <w:rsid w:val="5DAD0F36"/>
    <w:rsid w:val="5DAD6987"/>
    <w:rsid w:val="5DAE5FB4"/>
    <w:rsid w:val="5DAE6E46"/>
    <w:rsid w:val="5DB5639B"/>
    <w:rsid w:val="5DB62660"/>
    <w:rsid w:val="5DB95883"/>
    <w:rsid w:val="5DC17630"/>
    <w:rsid w:val="5DC55E66"/>
    <w:rsid w:val="5DCB374B"/>
    <w:rsid w:val="5DD10FFC"/>
    <w:rsid w:val="5DD22B72"/>
    <w:rsid w:val="5DD359F1"/>
    <w:rsid w:val="5DD370D6"/>
    <w:rsid w:val="5DD43396"/>
    <w:rsid w:val="5DD66419"/>
    <w:rsid w:val="5DDE4472"/>
    <w:rsid w:val="5DEA7708"/>
    <w:rsid w:val="5DEB02EB"/>
    <w:rsid w:val="5DED2F61"/>
    <w:rsid w:val="5DEE248E"/>
    <w:rsid w:val="5DF52985"/>
    <w:rsid w:val="5E0101F6"/>
    <w:rsid w:val="5E0848E5"/>
    <w:rsid w:val="5E123FDF"/>
    <w:rsid w:val="5E13427D"/>
    <w:rsid w:val="5E14021C"/>
    <w:rsid w:val="5E167D04"/>
    <w:rsid w:val="5E1B353D"/>
    <w:rsid w:val="5E1E7393"/>
    <w:rsid w:val="5E2410E2"/>
    <w:rsid w:val="5E257792"/>
    <w:rsid w:val="5E2915EF"/>
    <w:rsid w:val="5E2D3D29"/>
    <w:rsid w:val="5E456257"/>
    <w:rsid w:val="5E4802E5"/>
    <w:rsid w:val="5E4E3A5C"/>
    <w:rsid w:val="5E520053"/>
    <w:rsid w:val="5E575C93"/>
    <w:rsid w:val="5E5E2BC0"/>
    <w:rsid w:val="5E5E65DE"/>
    <w:rsid w:val="5E6650BE"/>
    <w:rsid w:val="5E6C4A4C"/>
    <w:rsid w:val="5E6F09DA"/>
    <w:rsid w:val="5E74781D"/>
    <w:rsid w:val="5E7A2442"/>
    <w:rsid w:val="5E843146"/>
    <w:rsid w:val="5E857ACB"/>
    <w:rsid w:val="5E8808CC"/>
    <w:rsid w:val="5E8828C7"/>
    <w:rsid w:val="5E917A48"/>
    <w:rsid w:val="5E97541A"/>
    <w:rsid w:val="5E9C43FB"/>
    <w:rsid w:val="5E9C4C56"/>
    <w:rsid w:val="5EA03A7F"/>
    <w:rsid w:val="5EA22C6B"/>
    <w:rsid w:val="5EA37C40"/>
    <w:rsid w:val="5EA821C5"/>
    <w:rsid w:val="5EB06783"/>
    <w:rsid w:val="5EB3616F"/>
    <w:rsid w:val="5EB40D74"/>
    <w:rsid w:val="5EB62CB9"/>
    <w:rsid w:val="5EB63872"/>
    <w:rsid w:val="5EB95CA0"/>
    <w:rsid w:val="5EBA6A4C"/>
    <w:rsid w:val="5EBD3DD6"/>
    <w:rsid w:val="5EC3617C"/>
    <w:rsid w:val="5ECA61AF"/>
    <w:rsid w:val="5ED10B7E"/>
    <w:rsid w:val="5ED152C7"/>
    <w:rsid w:val="5EDB1218"/>
    <w:rsid w:val="5EDE14E7"/>
    <w:rsid w:val="5EE04929"/>
    <w:rsid w:val="5EE07617"/>
    <w:rsid w:val="5EE15FFA"/>
    <w:rsid w:val="5EF270CC"/>
    <w:rsid w:val="5EFC7806"/>
    <w:rsid w:val="5F182752"/>
    <w:rsid w:val="5F2031A1"/>
    <w:rsid w:val="5F206D33"/>
    <w:rsid w:val="5F211264"/>
    <w:rsid w:val="5F213B00"/>
    <w:rsid w:val="5F217648"/>
    <w:rsid w:val="5F345639"/>
    <w:rsid w:val="5F4124CE"/>
    <w:rsid w:val="5F5B11C4"/>
    <w:rsid w:val="5F602C06"/>
    <w:rsid w:val="5F664F5C"/>
    <w:rsid w:val="5F67114A"/>
    <w:rsid w:val="5F6803FC"/>
    <w:rsid w:val="5F6E2D4F"/>
    <w:rsid w:val="5F6F1E84"/>
    <w:rsid w:val="5F7537D2"/>
    <w:rsid w:val="5F75569A"/>
    <w:rsid w:val="5F760DA1"/>
    <w:rsid w:val="5F7925F4"/>
    <w:rsid w:val="5F797690"/>
    <w:rsid w:val="5F82052C"/>
    <w:rsid w:val="5F8876AD"/>
    <w:rsid w:val="5F8A68DF"/>
    <w:rsid w:val="5F8E094D"/>
    <w:rsid w:val="5F9051A1"/>
    <w:rsid w:val="5F944A76"/>
    <w:rsid w:val="5F9A1F88"/>
    <w:rsid w:val="5F9E2199"/>
    <w:rsid w:val="5FA23604"/>
    <w:rsid w:val="5FA637F7"/>
    <w:rsid w:val="5FB10E49"/>
    <w:rsid w:val="5FBD7452"/>
    <w:rsid w:val="5FBE6425"/>
    <w:rsid w:val="5FCC3242"/>
    <w:rsid w:val="5FD35448"/>
    <w:rsid w:val="5FD75B40"/>
    <w:rsid w:val="5FDB53A9"/>
    <w:rsid w:val="5FDC42C7"/>
    <w:rsid w:val="5FDF7DD1"/>
    <w:rsid w:val="5FF06077"/>
    <w:rsid w:val="6000291C"/>
    <w:rsid w:val="600078D7"/>
    <w:rsid w:val="600225BA"/>
    <w:rsid w:val="60055CDD"/>
    <w:rsid w:val="60085FFE"/>
    <w:rsid w:val="600A4E36"/>
    <w:rsid w:val="600A7C66"/>
    <w:rsid w:val="600D5F4D"/>
    <w:rsid w:val="600E2084"/>
    <w:rsid w:val="601A4831"/>
    <w:rsid w:val="602E2215"/>
    <w:rsid w:val="602F2C21"/>
    <w:rsid w:val="6037255D"/>
    <w:rsid w:val="60545B82"/>
    <w:rsid w:val="605860E9"/>
    <w:rsid w:val="60590412"/>
    <w:rsid w:val="605933E9"/>
    <w:rsid w:val="605C16F1"/>
    <w:rsid w:val="605F6935"/>
    <w:rsid w:val="606B2DAF"/>
    <w:rsid w:val="606D5471"/>
    <w:rsid w:val="60781D63"/>
    <w:rsid w:val="607A283B"/>
    <w:rsid w:val="607A693F"/>
    <w:rsid w:val="607F50F0"/>
    <w:rsid w:val="60880F0D"/>
    <w:rsid w:val="60897FAC"/>
    <w:rsid w:val="608B2253"/>
    <w:rsid w:val="608B5D14"/>
    <w:rsid w:val="608F3E94"/>
    <w:rsid w:val="609043BB"/>
    <w:rsid w:val="60942905"/>
    <w:rsid w:val="60964D8C"/>
    <w:rsid w:val="609B7CD3"/>
    <w:rsid w:val="609C1472"/>
    <w:rsid w:val="60A139AB"/>
    <w:rsid w:val="60AB0E13"/>
    <w:rsid w:val="60AC50B8"/>
    <w:rsid w:val="60B13A00"/>
    <w:rsid w:val="60B33107"/>
    <w:rsid w:val="60B8657C"/>
    <w:rsid w:val="60BD0DA8"/>
    <w:rsid w:val="60C21245"/>
    <w:rsid w:val="60C960EE"/>
    <w:rsid w:val="60CD3F74"/>
    <w:rsid w:val="60DA59E5"/>
    <w:rsid w:val="60DB165A"/>
    <w:rsid w:val="60E07A83"/>
    <w:rsid w:val="60E279B2"/>
    <w:rsid w:val="60F71E66"/>
    <w:rsid w:val="60FE7EA9"/>
    <w:rsid w:val="60FF4C34"/>
    <w:rsid w:val="61000339"/>
    <w:rsid w:val="610C7A46"/>
    <w:rsid w:val="611A0761"/>
    <w:rsid w:val="611A2421"/>
    <w:rsid w:val="611C109A"/>
    <w:rsid w:val="61224800"/>
    <w:rsid w:val="612406F7"/>
    <w:rsid w:val="612777AE"/>
    <w:rsid w:val="612B23DC"/>
    <w:rsid w:val="612B478F"/>
    <w:rsid w:val="612B7D3D"/>
    <w:rsid w:val="6131025F"/>
    <w:rsid w:val="61315045"/>
    <w:rsid w:val="61376576"/>
    <w:rsid w:val="61381805"/>
    <w:rsid w:val="613B2C8C"/>
    <w:rsid w:val="613E44C1"/>
    <w:rsid w:val="6142587F"/>
    <w:rsid w:val="61477BAD"/>
    <w:rsid w:val="614B5D47"/>
    <w:rsid w:val="614E561F"/>
    <w:rsid w:val="6154353F"/>
    <w:rsid w:val="6154788D"/>
    <w:rsid w:val="61584192"/>
    <w:rsid w:val="615C5318"/>
    <w:rsid w:val="616049DA"/>
    <w:rsid w:val="61635610"/>
    <w:rsid w:val="616E17D3"/>
    <w:rsid w:val="617457B4"/>
    <w:rsid w:val="617566F8"/>
    <w:rsid w:val="617641DC"/>
    <w:rsid w:val="61786CF4"/>
    <w:rsid w:val="61793E64"/>
    <w:rsid w:val="617F1050"/>
    <w:rsid w:val="617F2FCE"/>
    <w:rsid w:val="61846BBC"/>
    <w:rsid w:val="6186393C"/>
    <w:rsid w:val="61885BE0"/>
    <w:rsid w:val="619320C9"/>
    <w:rsid w:val="619B6FDA"/>
    <w:rsid w:val="619E5C92"/>
    <w:rsid w:val="61A9505D"/>
    <w:rsid w:val="61B076F0"/>
    <w:rsid w:val="61B466F9"/>
    <w:rsid w:val="61BA395A"/>
    <w:rsid w:val="61BF6EBD"/>
    <w:rsid w:val="61C02370"/>
    <w:rsid w:val="61D20CBB"/>
    <w:rsid w:val="61D42208"/>
    <w:rsid w:val="61D534E7"/>
    <w:rsid w:val="61D76CC1"/>
    <w:rsid w:val="61EA14A9"/>
    <w:rsid w:val="61EC3D17"/>
    <w:rsid w:val="61EC5545"/>
    <w:rsid w:val="62070CC1"/>
    <w:rsid w:val="621E4ED7"/>
    <w:rsid w:val="621E5D8C"/>
    <w:rsid w:val="62250885"/>
    <w:rsid w:val="623C46D1"/>
    <w:rsid w:val="623D0373"/>
    <w:rsid w:val="62432540"/>
    <w:rsid w:val="624917BF"/>
    <w:rsid w:val="624D79EF"/>
    <w:rsid w:val="624F6088"/>
    <w:rsid w:val="625B2DED"/>
    <w:rsid w:val="625B3BFE"/>
    <w:rsid w:val="626710A2"/>
    <w:rsid w:val="626D714D"/>
    <w:rsid w:val="627320D5"/>
    <w:rsid w:val="62780C09"/>
    <w:rsid w:val="627F2AD2"/>
    <w:rsid w:val="62827F50"/>
    <w:rsid w:val="628316EC"/>
    <w:rsid w:val="62831F57"/>
    <w:rsid w:val="62832F90"/>
    <w:rsid w:val="628343FA"/>
    <w:rsid w:val="62834982"/>
    <w:rsid w:val="6287475A"/>
    <w:rsid w:val="628C7F52"/>
    <w:rsid w:val="629A631F"/>
    <w:rsid w:val="62A423DF"/>
    <w:rsid w:val="62A4262D"/>
    <w:rsid w:val="62A6600B"/>
    <w:rsid w:val="62A8443D"/>
    <w:rsid w:val="62AC27DA"/>
    <w:rsid w:val="62AF4C6E"/>
    <w:rsid w:val="62B65C78"/>
    <w:rsid w:val="62B80183"/>
    <w:rsid w:val="62BC38D6"/>
    <w:rsid w:val="62C54A13"/>
    <w:rsid w:val="62C574D2"/>
    <w:rsid w:val="62C75F60"/>
    <w:rsid w:val="62C855B9"/>
    <w:rsid w:val="62E50B71"/>
    <w:rsid w:val="62E55F14"/>
    <w:rsid w:val="62ED3078"/>
    <w:rsid w:val="62F90156"/>
    <w:rsid w:val="62FA00B3"/>
    <w:rsid w:val="630543B3"/>
    <w:rsid w:val="63061EA5"/>
    <w:rsid w:val="630905A4"/>
    <w:rsid w:val="631C6480"/>
    <w:rsid w:val="631D3BD9"/>
    <w:rsid w:val="63227ACF"/>
    <w:rsid w:val="63275C4A"/>
    <w:rsid w:val="63286F5E"/>
    <w:rsid w:val="63293D5C"/>
    <w:rsid w:val="63473452"/>
    <w:rsid w:val="634750BC"/>
    <w:rsid w:val="634C3801"/>
    <w:rsid w:val="634D5FBD"/>
    <w:rsid w:val="63521168"/>
    <w:rsid w:val="6365765A"/>
    <w:rsid w:val="6373587F"/>
    <w:rsid w:val="63805021"/>
    <w:rsid w:val="638139D7"/>
    <w:rsid w:val="638C6421"/>
    <w:rsid w:val="638D6EDD"/>
    <w:rsid w:val="639573FF"/>
    <w:rsid w:val="63993F1C"/>
    <w:rsid w:val="639C6D0C"/>
    <w:rsid w:val="639D72A6"/>
    <w:rsid w:val="63AB45FC"/>
    <w:rsid w:val="63AD4780"/>
    <w:rsid w:val="63B94723"/>
    <w:rsid w:val="63C75B75"/>
    <w:rsid w:val="63CC5528"/>
    <w:rsid w:val="63D97C8C"/>
    <w:rsid w:val="63EB1B7A"/>
    <w:rsid w:val="63F13246"/>
    <w:rsid w:val="63F34247"/>
    <w:rsid w:val="63F811E6"/>
    <w:rsid w:val="63F86C3B"/>
    <w:rsid w:val="63F93046"/>
    <w:rsid w:val="63FF5E58"/>
    <w:rsid w:val="640256AE"/>
    <w:rsid w:val="64045D16"/>
    <w:rsid w:val="640A07AD"/>
    <w:rsid w:val="640D633E"/>
    <w:rsid w:val="641C7F46"/>
    <w:rsid w:val="64257C6D"/>
    <w:rsid w:val="6427374E"/>
    <w:rsid w:val="643C3678"/>
    <w:rsid w:val="643D72FC"/>
    <w:rsid w:val="64416383"/>
    <w:rsid w:val="64417A35"/>
    <w:rsid w:val="644215C5"/>
    <w:rsid w:val="64465AE1"/>
    <w:rsid w:val="644E7CE1"/>
    <w:rsid w:val="64527083"/>
    <w:rsid w:val="646543E9"/>
    <w:rsid w:val="64672FAE"/>
    <w:rsid w:val="64685687"/>
    <w:rsid w:val="646B6450"/>
    <w:rsid w:val="646D2585"/>
    <w:rsid w:val="646E6D6D"/>
    <w:rsid w:val="647761DB"/>
    <w:rsid w:val="647B59BF"/>
    <w:rsid w:val="647D1FD0"/>
    <w:rsid w:val="648A7C94"/>
    <w:rsid w:val="648E2075"/>
    <w:rsid w:val="64911C79"/>
    <w:rsid w:val="64934E96"/>
    <w:rsid w:val="64946734"/>
    <w:rsid w:val="64A20820"/>
    <w:rsid w:val="64A509B9"/>
    <w:rsid w:val="64AD4499"/>
    <w:rsid w:val="64B51FF5"/>
    <w:rsid w:val="64B7505C"/>
    <w:rsid w:val="64BA35F0"/>
    <w:rsid w:val="64C17B33"/>
    <w:rsid w:val="64CC7A33"/>
    <w:rsid w:val="64D00A1A"/>
    <w:rsid w:val="64D4059A"/>
    <w:rsid w:val="64D61138"/>
    <w:rsid w:val="64D67720"/>
    <w:rsid w:val="64D7426E"/>
    <w:rsid w:val="64DB4740"/>
    <w:rsid w:val="64E15998"/>
    <w:rsid w:val="64E217C9"/>
    <w:rsid w:val="64EA2357"/>
    <w:rsid w:val="64F10A16"/>
    <w:rsid w:val="64F27CB2"/>
    <w:rsid w:val="64F465B8"/>
    <w:rsid w:val="64F97411"/>
    <w:rsid w:val="64FB1440"/>
    <w:rsid w:val="65015DDC"/>
    <w:rsid w:val="6504669E"/>
    <w:rsid w:val="6505046A"/>
    <w:rsid w:val="650817E2"/>
    <w:rsid w:val="650A699E"/>
    <w:rsid w:val="651726BF"/>
    <w:rsid w:val="651905B2"/>
    <w:rsid w:val="651910DA"/>
    <w:rsid w:val="651D2680"/>
    <w:rsid w:val="6522374B"/>
    <w:rsid w:val="65290532"/>
    <w:rsid w:val="652C5E2F"/>
    <w:rsid w:val="65321D34"/>
    <w:rsid w:val="653369E4"/>
    <w:rsid w:val="653618F5"/>
    <w:rsid w:val="65362604"/>
    <w:rsid w:val="65381594"/>
    <w:rsid w:val="653C4510"/>
    <w:rsid w:val="653E6955"/>
    <w:rsid w:val="65526927"/>
    <w:rsid w:val="65605868"/>
    <w:rsid w:val="65614F21"/>
    <w:rsid w:val="65642DDB"/>
    <w:rsid w:val="65667FDE"/>
    <w:rsid w:val="65686725"/>
    <w:rsid w:val="656E07CC"/>
    <w:rsid w:val="656F068D"/>
    <w:rsid w:val="65736488"/>
    <w:rsid w:val="657900E4"/>
    <w:rsid w:val="657A02DE"/>
    <w:rsid w:val="658027EB"/>
    <w:rsid w:val="65851C2E"/>
    <w:rsid w:val="658600C2"/>
    <w:rsid w:val="65881E67"/>
    <w:rsid w:val="6591603B"/>
    <w:rsid w:val="65922395"/>
    <w:rsid w:val="6594728B"/>
    <w:rsid w:val="659A4D69"/>
    <w:rsid w:val="659A4E5A"/>
    <w:rsid w:val="659D0931"/>
    <w:rsid w:val="65A22395"/>
    <w:rsid w:val="65AC2687"/>
    <w:rsid w:val="65B25E5B"/>
    <w:rsid w:val="65B53EC4"/>
    <w:rsid w:val="65C04864"/>
    <w:rsid w:val="65C204C7"/>
    <w:rsid w:val="65D23647"/>
    <w:rsid w:val="65D41E2A"/>
    <w:rsid w:val="65D816E7"/>
    <w:rsid w:val="65DD4380"/>
    <w:rsid w:val="65E1130C"/>
    <w:rsid w:val="65EA5953"/>
    <w:rsid w:val="65EE366D"/>
    <w:rsid w:val="65F42734"/>
    <w:rsid w:val="65F779DF"/>
    <w:rsid w:val="65F84424"/>
    <w:rsid w:val="65F915FA"/>
    <w:rsid w:val="66016F4B"/>
    <w:rsid w:val="660F296A"/>
    <w:rsid w:val="66113A91"/>
    <w:rsid w:val="66182F85"/>
    <w:rsid w:val="661832BD"/>
    <w:rsid w:val="661C480A"/>
    <w:rsid w:val="661D39EA"/>
    <w:rsid w:val="66227972"/>
    <w:rsid w:val="6625794D"/>
    <w:rsid w:val="662918E7"/>
    <w:rsid w:val="66294047"/>
    <w:rsid w:val="662B143D"/>
    <w:rsid w:val="662C5FAB"/>
    <w:rsid w:val="662C7CEB"/>
    <w:rsid w:val="662D772A"/>
    <w:rsid w:val="662E1DE4"/>
    <w:rsid w:val="66393FAD"/>
    <w:rsid w:val="664349A6"/>
    <w:rsid w:val="66435739"/>
    <w:rsid w:val="66445F2C"/>
    <w:rsid w:val="66586F85"/>
    <w:rsid w:val="666379BB"/>
    <w:rsid w:val="666500D3"/>
    <w:rsid w:val="6666508A"/>
    <w:rsid w:val="66694473"/>
    <w:rsid w:val="666A6888"/>
    <w:rsid w:val="66725514"/>
    <w:rsid w:val="66727FCF"/>
    <w:rsid w:val="667E2BC3"/>
    <w:rsid w:val="66851C81"/>
    <w:rsid w:val="668629F7"/>
    <w:rsid w:val="668B2D43"/>
    <w:rsid w:val="6693135E"/>
    <w:rsid w:val="669F4F7F"/>
    <w:rsid w:val="66A82DB7"/>
    <w:rsid w:val="66AE413C"/>
    <w:rsid w:val="66B10FB5"/>
    <w:rsid w:val="66B45AAE"/>
    <w:rsid w:val="66BB1E72"/>
    <w:rsid w:val="66C13A47"/>
    <w:rsid w:val="66C548CA"/>
    <w:rsid w:val="66CD2244"/>
    <w:rsid w:val="66D32DD9"/>
    <w:rsid w:val="66D75CB1"/>
    <w:rsid w:val="66DA0F49"/>
    <w:rsid w:val="670229AD"/>
    <w:rsid w:val="6705286D"/>
    <w:rsid w:val="670871BD"/>
    <w:rsid w:val="670955D4"/>
    <w:rsid w:val="67184FB5"/>
    <w:rsid w:val="671D391E"/>
    <w:rsid w:val="67242AA0"/>
    <w:rsid w:val="6724595F"/>
    <w:rsid w:val="6725765D"/>
    <w:rsid w:val="672A1382"/>
    <w:rsid w:val="672D3D1C"/>
    <w:rsid w:val="672E51BA"/>
    <w:rsid w:val="673F2FD5"/>
    <w:rsid w:val="674728FC"/>
    <w:rsid w:val="67491373"/>
    <w:rsid w:val="67496F6B"/>
    <w:rsid w:val="67584871"/>
    <w:rsid w:val="6760765E"/>
    <w:rsid w:val="67610413"/>
    <w:rsid w:val="67625EEE"/>
    <w:rsid w:val="67677F6D"/>
    <w:rsid w:val="67684D55"/>
    <w:rsid w:val="67694F83"/>
    <w:rsid w:val="676B782B"/>
    <w:rsid w:val="676C5136"/>
    <w:rsid w:val="676F769F"/>
    <w:rsid w:val="677222BF"/>
    <w:rsid w:val="67787C71"/>
    <w:rsid w:val="67842197"/>
    <w:rsid w:val="678C6087"/>
    <w:rsid w:val="678E4A84"/>
    <w:rsid w:val="67941123"/>
    <w:rsid w:val="67986377"/>
    <w:rsid w:val="679D1763"/>
    <w:rsid w:val="679E06D8"/>
    <w:rsid w:val="679F1588"/>
    <w:rsid w:val="67A70E0F"/>
    <w:rsid w:val="67A77BF9"/>
    <w:rsid w:val="67B337B4"/>
    <w:rsid w:val="67B52CAF"/>
    <w:rsid w:val="67B80385"/>
    <w:rsid w:val="67CE21CE"/>
    <w:rsid w:val="67CF3348"/>
    <w:rsid w:val="67D3667C"/>
    <w:rsid w:val="67D559EF"/>
    <w:rsid w:val="67DB45C9"/>
    <w:rsid w:val="67DF448D"/>
    <w:rsid w:val="67E4342B"/>
    <w:rsid w:val="67EB3969"/>
    <w:rsid w:val="67EC48A5"/>
    <w:rsid w:val="67EF4FA8"/>
    <w:rsid w:val="67F83A50"/>
    <w:rsid w:val="67FC746A"/>
    <w:rsid w:val="68054AE9"/>
    <w:rsid w:val="68133A05"/>
    <w:rsid w:val="681654A0"/>
    <w:rsid w:val="68184FA9"/>
    <w:rsid w:val="681F27AC"/>
    <w:rsid w:val="682014D9"/>
    <w:rsid w:val="68250A72"/>
    <w:rsid w:val="68372A16"/>
    <w:rsid w:val="68395D72"/>
    <w:rsid w:val="683B0DF8"/>
    <w:rsid w:val="68404E52"/>
    <w:rsid w:val="6848045B"/>
    <w:rsid w:val="684F5F72"/>
    <w:rsid w:val="68506128"/>
    <w:rsid w:val="68530B6E"/>
    <w:rsid w:val="68555E01"/>
    <w:rsid w:val="687565A4"/>
    <w:rsid w:val="687D6AA7"/>
    <w:rsid w:val="687F138C"/>
    <w:rsid w:val="688112E9"/>
    <w:rsid w:val="68867C95"/>
    <w:rsid w:val="688C72C2"/>
    <w:rsid w:val="68923F9B"/>
    <w:rsid w:val="68A1214A"/>
    <w:rsid w:val="68A13585"/>
    <w:rsid w:val="68A17008"/>
    <w:rsid w:val="68A9670D"/>
    <w:rsid w:val="68AB40B2"/>
    <w:rsid w:val="68B03555"/>
    <w:rsid w:val="68B348F1"/>
    <w:rsid w:val="68B53E16"/>
    <w:rsid w:val="68BB0A96"/>
    <w:rsid w:val="68BC0CC2"/>
    <w:rsid w:val="68BC7278"/>
    <w:rsid w:val="68BD42D8"/>
    <w:rsid w:val="68C345D6"/>
    <w:rsid w:val="68C5799D"/>
    <w:rsid w:val="68C77036"/>
    <w:rsid w:val="68C864A6"/>
    <w:rsid w:val="68CC3614"/>
    <w:rsid w:val="68CD5D36"/>
    <w:rsid w:val="68D4375E"/>
    <w:rsid w:val="68DF322B"/>
    <w:rsid w:val="68E505DF"/>
    <w:rsid w:val="68E54C34"/>
    <w:rsid w:val="68EA49BF"/>
    <w:rsid w:val="68EB7B4D"/>
    <w:rsid w:val="68FD0F87"/>
    <w:rsid w:val="68FD2F65"/>
    <w:rsid w:val="6902007B"/>
    <w:rsid w:val="69033F10"/>
    <w:rsid w:val="690A53BE"/>
    <w:rsid w:val="69116EAE"/>
    <w:rsid w:val="69166B47"/>
    <w:rsid w:val="692473AB"/>
    <w:rsid w:val="692A1FD7"/>
    <w:rsid w:val="69322E3E"/>
    <w:rsid w:val="69343BBB"/>
    <w:rsid w:val="693A257F"/>
    <w:rsid w:val="693C15FC"/>
    <w:rsid w:val="693E2585"/>
    <w:rsid w:val="69414CA1"/>
    <w:rsid w:val="6942115E"/>
    <w:rsid w:val="69442DA6"/>
    <w:rsid w:val="694A6B1D"/>
    <w:rsid w:val="694B03D6"/>
    <w:rsid w:val="695366D9"/>
    <w:rsid w:val="6955614B"/>
    <w:rsid w:val="6958534D"/>
    <w:rsid w:val="69666CCB"/>
    <w:rsid w:val="696A2CC7"/>
    <w:rsid w:val="697666F7"/>
    <w:rsid w:val="698258C0"/>
    <w:rsid w:val="698D5FEA"/>
    <w:rsid w:val="699350F3"/>
    <w:rsid w:val="69950815"/>
    <w:rsid w:val="699C4620"/>
    <w:rsid w:val="69A07C4E"/>
    <w:rsid w:val="69A373BB"/>
    <w:rsid w:val="69B30DFE"/>
    <w:rsid w:val="69BC754E"/>
    <w:rsid w:val="69BD4C71"/>
    <w:rsid w:val="69D20A0A"/>
    <w:rsid w:val="69D3500E"/>
    <w:rsid w:val="69D811A1"/>
    <w:rsid w:val="69E17D5A"/>
    <w:rsid w:val="69E631F3"/>
    <w:rsid w:val="69F40AEF"/>
    <w:rsid w:val="69F50A5F"/>
    <w:rsid w:val="6A0102DD"/>
    <w:rsid w:val="6A041F39"/>
    <w:rsid w:val="6A157F66"/>
    <w:rsid w:val="6A1C452C"/>
    <w:rsid w:val="6A226076"/>
    <w:rsid w:val="6A232D00"/>
    <w:rsid w:val="6A262C5F"/>
    <w:rsid w:val="6A2A29BD"/>
    <w:rsid w:val="6A2A6E45"/>
    <w:rsid w:val="6A2E67A2"/>
    <w:rsid w:val="6A304D4B"/>
    <w:rsid w:val="6A396DDA"/>
    <w:rsid w:val="6A45110E"/>
    <w:rsid w:val="6A460634"/>
    <w:rsid w:val="6A467DE0"/>
    <w:rsid w:val="6A521117"/>
    <w:rsid w:val="6A521D87"/>
    <w:rsid w:val="6A54017F"/>
    <w:rsid w:val="6A5E07C3"/>
    <w:rsid w:val="6A605BE9"/>
    <w:rsid w:val="6A6228BD"/>
    <w:rsid w:val="6A69617A"/>
    <w:rsid w:val="6A796620"/>
    <w:rsid w:val="6A857E5C"/>
    <w:rsid w:val="6A8B6320"/>
    <w:rsid w:val="6A990DE6"/>
    <w:rsid w:val="6AB01060"/>
    <w:rsid w:val="6ABB2316"/>
    <w:rsid w:val="6ABC2C10"/>
    <w:rsid w:val="6ABD1F20"/>
    <w:rsid w:val="6ABF5337"/>
    <w:rsid w:val="6AC12E45"/>
    <w:rsid w:val="6ACB5A4F"/>
    <w:rsid w:val="6AD13AB7"/>
    <w:rsid w:val="6AD666F4"/>
    <w:rsid w:val="6ADA3A1F"/>
    <w:rsid w:val="6ADC2BC5"/>
    <w:rsid w:val="6ADE41B0"/>
    <w:rsid w:val="6AE12C6E"/>
    <w:rsid w:val="6AEA6E19"/>
    <w:rsid w:val="6AED4D23"/>
    <w:rsid w:val="6AF52A57"/>
    <w:rsid w:val="6AF56669"/>
    <w:rsid w:val="6AF853A8"/>
    <w:rsid w:val="6B000A05"/>
    <w:rsid w:val="6B045729"/>
    <w:rsid w:val="6B0D782A"/>
    <w:rsid w:val="6B1674F2"/>
    <w:rsid w:val="6B2013EA"/>
    <w:rsid w:val="6B2704D2"/>
    <w:rsid w:val="6B2C1E50"/>
    <w:rsid w:val="6B331893"/>
    <w:rsid w:val="6B364E11"/>
    <w:rsid w:val="6B3E0FF0"/>
    <w:rsid w:val="6B45105A"/>
    <w:rsid w:val="6B480DB9"/>
    <w:rsid w:val="6B4920AB"/>
    <w:rsid w:val="6B502924"/>
    <w:rsid w:val="6B5551C3"/>
    <w:rsid w:val="6B641B68"/>
    <w:rsid w:val="6B6D5AFA"/>
    <w:rsid w:val="6B6E2D37"/>
    <w:rsid w:val="6B7175D4"/>
    <w:rsid w:val="6B733C4A"/>
    <w:rsid w:val="6B74103C"/>
    <w:rsid w:val="6B78767A"/>
    <w:rsid w:val="6B7D2CE0"/>
    <w:rsid w:val="6B803DED"/>
    <w:rsid w:val="6B805605"/>
    <w:rsid w:val="6B81694F"/>
    <w:rsid w:val="6B84314D"/>
    <w:rsid w:val="6B872C78"/>
    <w:rsid w:val="6B8C7694"/>
    <w:rsid w:val="6B8F640C"/>
    <w:rsid w:val="6B975BBF"/>
    <w:rsid w:val="6B975C34"/>
    <w:rsid w:val="6B99314D"/>
    <w:rsid w:val="6BA1281C"/>
    <w:rsid w:val="6BA37F00"/>
    <w:rsid w:val="6BA471E8"/>
    <w:rsid w:val="6BB63D0F"/>
    <w:rsid w:val="6BBE75D0"/>
    <w:rsid w:val="6BBF4C74"/>
    <w:rsid w:val="6BC00A03"/>
    <w:rsid w:val="6BC12A56"/>
    <w:rsid w:val="6BC4615A"/>
    <w:rsid w:val="6BC55F2D"/>
    <w:rsid w:val="6BC85F40"/>
    <w:rsid w:val="6BC86D40"/>
    <w:rsid w:val="6BCA01ED"/>
    <w:rsid w:val="6BD1735F"/>
    <w:rsid w:val="6BD3176B"/>
    <w:rsid w:val="6BD33F31"/>
    <w:rsid w:val="6BE17630"/>
    <w:rsid w:val="6BE2048B"/>
    <w:rsid w:val="6BE600E2"/>
    <w:rsid w:val="6BEA6D2E"/>
    <w:rsid w:val="6BEF1800"/>
    <w:rsid w:val="6BEF301D"/>
    <w:rsid w:val="6BF25F94"/>
    <w:rsid w:val="6BF556D9"/>
    <w:rsid w:val="6BF569FC"/>
    <w:rsid w:val="6BFB0939"/>
    <w:rsid w:val="6C070BAC"/>
    <w:rsid w:val="6C0A093A"/>
    <w:rsid w:val="6C0A170C"/>
    <w:rsid w:val="6C0D1863"/>
    <w:rsid w:val="6C0E1D4E"/>
    <w:rsid w:val="6C104C55"/>
    <w:rsid w:val="6C1550BC"/>
    <w:rsid w:val="6C1B7258"/>
    <w:rsid w:val="6C1C18B7"/>
    <w:rsid w:val="6C1C6A26"/>
    <w:rsid w:val="6C212759"/>
    <w:rsid w:val="6C274AA5"/>
    <w:rsid w:val="6C280AE7"/>
    <w:rsid w:val="6C2A4F36"/>
    <w:rsid w:val="6C323B46"/>
    <w:rsid w:val="6C3C008C"/>
    <w:rsid w:val="6C3F7FE4"/>
    <w:rsid w:val="6C4B69F2"/>
    <w:rsid w:val="6C510EF2"/>
    <w:rsid w:val="6C5F61C0"/>
    <w:rsid w:val="6C601912"/>
    <w:rsid w:val="6C7346AE"/>
    <w:rsid w:val="6C740FEE"/>
    <w:rsid w:val="6C7F1031"/>
    <w:rsid w:val="6C8245AE"/>
    <w:rsid w:val="6C8574E6"/>
    <w:rsid w:val="6C871472"/>
    <w:rsid w:val="6C8D2244"/>
    <w:rsid w:val="6C982281"/>
    <w:rsid w:val="6C9C5FF2"/>
    <w:rsid w:val="6C9C6853"/>
    <w:rsid w:val="6C9D6713"/>
    <w:rsid w:val="6CA079E7"/>
    <w:rsid w:val="6CA37925"/>
    <w:rsid w:val="6CA45C03"/>
    <w:rsid w:val="6CA50057"/>
    <w:rsid w:val="6CA63E72"/>
    <w:rsid w:val="6CAF5320"/>
    <w:rsid w:val="6CB41ED9"/>
    <w:rsid w:val="6CBC61B1"/>
    <w:rsid w:val="6CBF72DC"/>
    <w:rsid w:val="6CD13DE1"/>
    <w:rsid w:val="6CD27DA9"/>
    <w:rsid w:val="6CDB0A04"/>
    <w:rsid w:val="6CDC03B4"/>
    <w:rsid w:val="6CDC3D4D"/>
    <w:rsid w:val="6CE631B8"/>
    <w:rsid w:val="6CED51E6"/>
    <w:rsid w:val="6CEE141C"/>
    <w:rsid w:val="6CF85ED9"/>
    <w:rsid w:val="6CFF371E"/>
    <w:rsid w:val="6D066A5C"/>
    <w:rsid w:val="6D0D33FE"/>
    <w:rsid w:val="6D2E6F97"/>
    <w:rsid w:val="6D3838E3"/>
    <w:rsid w:val="6D3B642E"/>
    <w:rsid w:val="6D450121"/>
    <w:rsid w:val="6D455E77"/>
    <w:rsid w:val="6D4F236B"/>
    <w:rsid w:val="6D4F2AF4"/>
    <w:rsid w:val="6D511094"/>
    <w:rsid w:val="6D5221D5"/>
    <w:rsid w:val="6D63068A"/>
    <w:rsid w:val="6D654EC4"/>
    <w:rsid w:val="6D6A2C10"/>
    <w:rsid w:val="6D706A41"/>
    <w:rsid w:val="6D785B8E"/>
    <w:rsid w:val="6D7B6F34"/>
    <w:rsid w:val="6D8A22B7"/>
    <w:rsid w:val="6D8D68D6"/>
    <w:rsid w:val="6D8F308C"/>
    <w:rsid w:val="6D9C7AD1"/>
    <w:rsid w:val="6DA412DA"/>
    <w:rsid w:val="6DA64D2A"/>
    <w:rsid w:val="6DA76A4B"/>
    <w:rsid w:val="6DA931A8"/>
    <w:rsid w:val="6DAB46CC"/>
    <w:rsid w:val="6DAB4829"/>
    <w:rsid w:val="6DB13F7C"/>
    <w:rsid w:val="6DB167FB"/>
    <w:rsid w:val="6DBA2E71"/>
    <w:rsid w:val="6DBB4FB1"/>
    <w:rsid w:val="6DBE507C"/>
    <w:rsid w:val="6DC94525"/>
    <w:rsid w:val="6DC97E22"/>
    <w:rsid w:val="6DD208C2"/>
    <w:rsid w:val="6DD27D4F"/>
    <w:rsid w:val="6DD36828"/>
    <w:rsid w:val="6DD61290"/>
    <w:rsid w:val="6DDB5BD3"/>
    <w:rsid w:val="6DE02CC1"/>
    <w:rsid w:val="6DE25D6A"/>
    <w:rsid w:val="6DE440B8"/>
    <w:rsid w:val="6DE52D41"/>
    <w:rsid w:val="6DEE0037"/>
    <w:rsid w:val="6DF07FB0"/>
    <w:rsid w:val="6DFA3C82"/>
    <w:rsid w:val="6DFB5DFA"/>
    <w:rsid w:val="6DFD2DCD"/>
    <w:rsid w:val="6E0104BB"/>
    <w:rsid w:val="6E110301"/>
    <w:rsid w:val="6E112732"/>
    <w:rsid w:val="6E2448BF"/>
    <w:rsid w:val="6E25340B"/>
    <w:rsid w:val="6E295B4C"/>
    <w:rsid w:val="6E326705"/>
    <w:rsid w:val="6E33023A"/>
    <w:rsid w:val="6E3737B0"/>
    <w:rsid w:val="6E384EEE"/>
    <w:rsid w:val="6E393FE4"/>
    <w:rsid w:val="6E3C7DC4"/>
    <w:rsid w:val="6E3F60E7"/>
    <w:rsid w:val="6E453EFB"/>
    <w:rsid w:val="6E484424"/>
    <w:rsid w:val="6E49217F"/>
    <w:rsid w:val="6E4A3115"/>
    <w:rsid w:val="6E4F0141"/>
    <w:rsid w:val="6E534249"/>
    <w:rsid w:val="6E5A3F52"/>
    <w:rsid w:val="6E5A4F5D"/>
    <w:rsid w:val="6E5B08EE"/>
    <w:rsid w:val="6E5B6C56"/>
    <w:rsid w:val="6E621B6A"/>
    <w:rsid w:val="6E6C6F01"/>
    <w:rsid w:val="6E6E5824"/>
    <w:rsid w:val="6E7122AD"/>
    <w:rsid w:val="6E714533"/>
    <w:rsid w:val="6E74189A"/>
    <w:rsid w:val="6E774CAB"/>
    <w:rsid w:val="6E7E52D2"/>
    <w:rsid w:val="6E86225B"/>
    <w:rsid w:val="6E8A33E2"/>
    <w:rsid w:val="6E8D1531"/>
    <w:rsid w:val="6E8E698A"/>
    <w:rsid w:val="6E9443A1"/>
    <w:rsid w:val="6E94756F"/>
    <w:rsid w:val="6E970562"/>
    <w:rsid w:val="6E970EF1"/>
    <w:rsid w:val="6E974729"/>
    <w:rsid w:val="6E9949FD"/>
    <w:rsid w:val="6EBB1AF3"/>
    <w:rsid w:val="6EC249CB"/>
    <w:rsid w:val="6ECD3116"/>
    <w:rsid w:val="6ED40BE9"/>
    <w:rsid w:val="6EE532A5"/>
    <w:rsid w:val="6EE70C01"/>
    <w:rsid w:val="6EEE6FFB"/>
    <w:rsid w:val="6EF52778"/>
    <w:rsid w:val="6EF9225D"/>
    <w:rsid w:val="6EFD1F1F"/>
    <w:rsid w:val="6F0060E8"/>
    <w:rsid w:val="6F052EFE"/>
    <w:rsid w:val="6F085E6C"/>
    <w:rsid w:val="6F0B197E"/>
    <w:rsid w:val="6F0D2007"/>
    <w:rsid w:val="6F0E23F9"/>
    <w:rsid w:val="6F122E01"/>
    <w:rsid w:val="6F1251EB"/>
    <w:rsid w:val="6F1513F1"/>
    <w:rsid w:val="6F175F74"/>
    <w:rsid w:val="6F274EB9"/>
    <w:rsid w:val="6F2F4D45"/>
    <w:rsid w:val="6F3201BB"/>
    <w:rsid w:val="6F406C3B"/>
    <w:rsid w:val="6F42675E"/>
    <w:rsid w:val="6F464621"/>
    <w:rsid w:val="6F481D19"/>
    <w:rsid w:val="6F577DA2"/>
    <w:rsid w:val="6F5844E1"/>
    <w:rsid w:val="6F630687"/>
    <w:rsid w:val="6F67273C"/>
    <w:rsid w:val="6F71080A"/>
    <w:rsid w:val="6F71498D"/>
    <w:rsid w:val="6F7A658D"/>
    <w:rsid w:val="6F853D07"/>
    <w:rsid w:val="6F8814D8"/>
    <w:rsid w:val="6F8951EA"/>
    <w:rsid w:val="6F900A86"/>
    <w:rsid w:val="6FAE0519"/>
    <w:rsid w:val="6FB106E7"/>
    <w:rsid w:val="6FB574F3"/>
    <w:rsid w:val="6FB845DD"/>
    <w:rsid w:val="6FB933F2"/>
    <w:rsid w:val="6FBD78BA"/>
    <w:rsid w:val="6FBF31C1"/>
    <w:rsid w:val="6FC93A35"/>
    <w:rsid w:val="6FDA1F2A"/>
    <w:rsid w:val="6FDC3460"/>
    <w:rsid w:val="6FDD43D7"/>
    <w:rsid w:val="6FE314E2"/>
    <w:rsid w:val="6FEB4FFC"/>
    <w:rsid w:val="6FF37BFE"/>
    <w:rsid w:val="6FF9501C"/>
    <w:rsid w:val="70014952"/>
    <w:rsid w:val="700B7F53"/>
    <w:rsid w:val="700C1AAD"/>
    <w:rsid w:val="70123702"/>
    <w:rsid w:val="70123B53"/>
    <w:rsid w:val="701C4B5A"/>
    <w:rsid w:val="701F75B0"/>
    <w:rsid w:val="702108F0"/>
    <w:rsid w:val="702112F5"/>
    <w:rsid w:val="702C1836"/>
    <w:rsid w:val="703069C4"/>
    <w:rsid w:val="70397AD9"/>
    <w:rsid w:val="703B0DE5"/>
    <w:rsid w:val="703D5568"/>
    <w:rsid w:val="704472F6"/>
    <w:rsid w:val="704705DE"/>
    <w:rsid w:val="70481606"/>
    <w:rsid w:val="704C679B"/>
    <w:rsid w:val="704E7F20"/>
    <w:rsid w:val="705F19C0"/>
    <w:rsid w:val="70615124"/>
    <w:rsid w:val="70626F9E"/>
    <w:rsid w:val="70641AA1"/>
    <w:rsid w:val="706B7FE4"/>
    <w:rsid w:val="706D6AFB"/>
    <w:rsid w:val="70763C67"/>
    <w:rsid w:val="707B5573"/>
    <w:rsid w:val="70821C73"/>
    <w:rsid w:val="7084156E"/>
    <w:rsid w:val="70867E17"/>
    <w:rsid w:val="70873B0D"/>
    <w:rsid w:val="70925DFD"/>
    <w:rsid w:val="7094035D"/>
    <w:rsid w:val="70945979"/>
    <w:rsid w:val="709F7F5B"/>
    <w:rsid w:val="70A47C9A"/>
    <w:rsid w:val="70A64E4C"/>
    <w:rsid w:val="70A84778"/>
    <w:rsid w:val="70A84F1A"/>
    <w:rsid w:val="70AE73F0"/>
    <w:rsid w:val="70B03466"/>
    <w:rsid w:val="70B03795"/>
    <w:rsid w:val="70BC0E9C"/>
    <w:rsid w:val="70BF0EEE"/>
    <w:rsid w:val="70C44334"/>
    <w:rsid w:val="70CA2BE0"/>
    <w:rsid w:val="70CB272F"/>
    <w:rsid w:val="70CF2A7C"/>
    <w:rsid w:val="70D85466"/>
    <w:rsid w:val="70DA4066"/>
    <w:rsid w:val="70DC0993"/>
    <w:rsid w:val="70DF02DE"/>
    <w:rsid w:val="70E31042"/>
    <w:rsid w:val="70E957FE"/>
    <w:rsid w:val="70EC2331"/>
    <w:rsid w:val="70F10AAB"/>
    <w:rsid w:val="70F34C26"/>
    <w:rsid w:val="70F753B0"/>
    <w:rsid w:val="70F75BB4"/>
    <w:rsid w:val="70FC48D3"/>
    <w:rsid w:val="70FE06D9"/>
    <w:rsid w:val="71044AC1"/>
    <w:rsid w:val="7106656B"/>
    <w:rsid w:val="710E18C8"/>
    <w:rsid w:val="711261FF"/>
    <w:rsid w:val="71147AC3"/>
    <w:rsid w:val="711A29A3"/>
    <w:rsid w:val="711D234E"/>
    <w:rsid w:val="712756BD"/>
    <w:rsid w:val="71306538"/>
    <w:rsid w:val="71313A38"/>
    <w:rsid w:val="71363BBD"/>
    <w:rsid w:val="713A4FB4"/>
    <w:rsid w:val="71432071"/>
    <w:rsid w:val="71435776"/>
    <w:rsid w:val="714621FD"/>
    <w:rsid w:val="714A51D5"/>
    <w:rsid w:val="7154369C"/>
    <w:rsid w:val="71626FC2"/>
    <w:rsid w:val="7168590C"/>
    <w:rsid w:val="71694849"/>
    <w:rsid w:val="716E395C"/>
    <w:rsid w:val="7170041E"/>
    <w:rsid w:val="71884ABB"/>
    <w:rsid w:val="71890550"/>
    <w:rsid w:val="7195364D"/>
    <w:rsid w:val="71A34481"/>
    <w:rsid w:val="71A71C58"/>
    <w:rsid w:val="71AE79FA"/>
    <w:rsid w:val="71B672EC"/>
    <w:rsid w:val="71B756C0"/>
    <w:rsid w:val="71B76699"/>
    <w:rsid w:val="71B87CF9"/>
    <w:rsid w:val="71BB4273"/>
    <w:rsid w:val="71BC0467"/>
    <w:rsid w:val="71BD11B1"/>
    <w:rsid w:val="71C43C96"/>
    <w:rsid w:val="71D45FF1"/>
    <w:rsid w:val="71DC2285"/>
    <w:rsid w:val="71E15769"/>
    <w:rsid w:val="71E93027"/>
    <w:rsid w:val="71EB5C80"/>
    <w:rsid w:val="71F3589D"/>
    <w:rsid w:val="71F63D0F"/>
    <w:rsid w:val="720748AD"/>
    <w:rsid w:val="720C37E2"/>
    <w:rsid w:val="7213346E"/>
    <w:rsid w:val="72151062"/>
    <w:rsid w:val="72156CC2"/>
    <w:rsid w:val="721877E0"/>
    <w:rsid w:val="72207940"/>
    <w:rsid w:val="72230EAA"/>
    <w:rsid w:val="722623C4"/>
    <w:rsid w:val="72283659"/>
    <w:rsid w:val="722946D1"/>
    <w:rsid w:val="72322631"/>
    <w:rsid w:val="72370D18"/>
    <w:rsid w:val="7239362C"/>
    <w:rsid w:val="723A3841"/>
    <w:rsid w:val="72405012"/>
    <w:rsid w:val="724D1244"/>
    <w:rsid w:val="72644C34"/>
    <w:rsid w:val="72646E64"/>
    <w:rsid w:val="726F60CC"/>
    <w:rsid w:val="7272034D"/>
    <w:rsid w:val="7275704F"/>
    <w:rsid w:val="72783AF5"/>
    <w:rsid w:val="72830B25"/>
    <w:rsid w:val="72854D74"/>
    <w:rsid w:val="72875B6B"/>
    <w:rsid w:val="729069F5"/>
    <w:rsid w:val="72935416"/>
    <w:rsid w:val="729515CC"/>
    <w:rsid w:val="729D76D4"/>
    <w:rsid w:val="72A307AB"/>
    <w:rsid w:val="72A73EF1"/>
    <w:rsid w:val="72B510B3"/>
    <w:rsid w:val="72B850F5"/>
    <w:rsid w:val="72BB3916"/>
    <w:rsid w:val="72BD5877"/>
    <w:rsid w:val="72C0051A"/>
    <w:rsid w:val="72C82294"/>
    <w:rsid w:val="72CE6C55"/>
    <w:rsid w:val="72D33EE3"/>
    <w:rsid w:val="72D61F79"/>
    <w:rsid w:val="72D65D4A"/>
    <w:rsid w:val="72E04284"/>
    <w:rsid w:val="72E12307"/>
    <w:rsid w:val="72E84779"/>
    <w:rsid w:val="72E94A03"/>
    <w:rsid w:val="72EA4D74"/>
    <w:rsid w:val="72F477FF"/>
    <w:rsid w:val="730515B0"/>
    <w:rsid w:val="73073923"/>
    <w:rsid w:val="730C4F79"/>
    <w:rsid w:val="730E72C1"/>
    <w:rsid w:val="731259A3"/>
    <w:rsid w:val="73195122"/>
    <w:rsid w:val="73196914"/>
    <w:rsid w:val="731B2790"/>
    <w:rsid w:val="73231991"/>
    <w:rsid w:val="732366D3"/>
    <w:rsid w:val="73322BD9"/>
    <w:rsid w:val="73376222"/>
    <w:rsid w:val="733A22A8"/>
    <w:rsid w:val="734423E2"/>
    <w:rsid w:val="73483D77"/>
    <w:rsid w:val="734C3A2C"/>
    <w:rsid w:val="734E3165"/>
    <w:rsid w:val="734E40F1"/>
    <w:rsid w:val="735B62B3"/>
    <w:rsid w:val="73620BF8"/>
    <w:rsid w:val="736360E7"/>
    <w:rsid w:val="73664373"/>
    <w:rsid w:val="73747C82"/>
    <w:rsid w:val="737606A5"/>
    <w:rsid w:val="7379551E"/>
    <w:rsid w:val="737E1AC0"/>
    <w:rsid w:val="73871BEB"/>
    <w:rsid w:val="73873911"/>
    <w:rsid w:val="738C16D2"/>
    <w:rsid w:val="738D522F"/>
    <w:rsid w:val="738F0AD7"/>
    <w:rsid w:val="738F7EDE"/>
    <w:rsid w:val="739F1D6B"/>
    <w:rsid w:val="73A35D11"/>
    <w:rsid w:val="73A53030"/>
    <w:rsid w:val="73A92787"/>
    <w:rsid w:val="73B93355"/>
    <w:rsid w:val="73BF1C74"/>
    <w:rsid w:val="73C52A9F"/>
    <w:rsid w:val="73C55B7E"/>
    <w:rsid w:val="73D14923"/>
    <w:rsid w:val="73DB3EED"/>
    <w:rsid w:val="73E1122C"/>
    <w:rsid w:val="73E13790"/>
    <w:rsid w:val="73E22794"/>
    <w:rsid w:val="73F157B3"/>
    <w:rsid w:val="74072D55"/>
    <w:rsid w:val="740D09C5"/>
    <w:rsid w:val="740D0EF7"/>
    <w:rsid w:val="74103EC1"/>
    <w:rsid w:val="741077F1"/>
    <w:rsid w:val="741079F0"/>
    <w:rsid w:val="74112CC9"/>
    <w:rsid w:val="7416356A"/>
    <w:rsid w:val="741732A4"/>
    <w:rsid w:val="74186A2A"/>
    <w:rsid w:val="74204FBB"/>
    <w:rsid w:val="742170EF"/>
    <w:rsid w:val="742812A5"/>
    <w:rsid w:val="74286015"/>
    <w:rsid w:val="74300567"/>
    <w:rsid w:val="74380FF8"/>
    <w:rsid w:val="74433200"/>
    <w:rsid w:val="7443682B"/>
    <w:rsid w:val="74477E06"/>
    <w:rsid w:val="74485F7C"/>
    <w:rsid w:val="744A065C"/>
    <w:rsid w:val="744A2224"/>
    <w:rsid w:val="744C55AD"/>
    <w:rsid w:val="744F1751"/>
    <w:rsid w:val="745F6915"/>
    <w:rsid w:val="7467282E"/>
    <w:rsid w:val="7471116C"/>
    <w:rsid w:val="74735449"/>
    <w:rsid w:val="7473565F"/>
    <w:rsid w:val="74792299"/>
    <w:rsid w:val="74823850"/>
    <w:rsid w:val="748535AC"/>
    <w:rsid w:val="748F51CD"/>
    <w:rsid w:val="74A30BAF"/>
    <w:rsid w:val="74A97AB0"/>
    <w:rsid w:val="74B340F5"/>
    <w:rsid w:val="74B45AF7"/>
    <w:rsid w:val="74BF4E24"/>
    <w:rsid w:val="74C85F19"/>
    <w:rsid w:val="74D00111"/>
    <w:rsid w:val="74D01B9E"/>
    <w:rsid w:val="74D358F9"/>
    <w:rsid w:val="74D53EC8"/>
    <w:rsid w:val="74D75E16"/>
    <w:rsid w:val="74E6745D"/>
    <w:rsid w:val="74E7169D"/>
    <w:rsid w:val="74E93280"/>
    <w:rsid w:val="74E97435"/>
    <w:rsid w:val="74EE733D"/>
    <w:rsid w:val="74FE0E22"/>
    <w:rsid w:val="74FF28E9"/>
    <w:rsid w:val="74FF41DD"/>
    <w:rsid w:val="75065385"/>
    <w:rsid w:val="750B5164"/>
    <w:rsid w:val="750F7C10"/>
    <w:rsid w:val="751621EE"/>
    <w:rsid w:val="752333F4"/>
    <w:rsid w:val="752F0A3E"/>
    <w:rsid w:val="753B031C"/>
    <w:rsid w:val="753C2DAC"/>
    <w:rsid w:val="753E6EFB"/>
    <w:rsid w:val="753F7BB1"/>
    <w:rsid w:val="75407247"/>
    <w:rsid w:val="75450410"/>
    <w:rsid w:val="754601E1"/>
    <w:rsid w:val="75555328"/>
    <w:rsid w:val="755F0C29"/>
    <w:rsid w:val="755F1CA2"/>
    <w:rsid w:val="75692C39"/>
    <w:rsid w:val="75695C6E"/>
    <w:rsid w:val="756972D5"/>
    <w:rsid w:val="756E3A33"/>
    <w:rsid w:val="756F4108"/>
    <w:rsid w:val="757C53F9"/>
    <w:rsid w:val="757D295A"/>
    <w:rsid w:val="757D2C94"/>
    <w:rsid w:val="75837377"/>
    <w:rsid w:val="758725B2"/>
    <w:rsid w:val="7588298E"/>
    <w:rsid w:val="758F63C0"/>
    <w:rsid w:val="759053BD"/>
    <w:rsid w:val="7591681F"/>
    <w:rsid w:val="75972CD7"/>
    <w:rsid w:val="759739FC"/>
    <w:rsid w:val="75980658"/>
    <w:rsid w:val="759C7D71"/>
    <w:rsid w:val="759D1995"/>
    <w:rsid w:val="75A02E27"/>
    <w:rsid w:val="75A37C0D"/>
    <w:rsid w:val="75A37D50"/>
    <w:rsid w:val="75A75B9E"/>
    <w:rsid w:val="75A75CB1"/>
    <w:rsid w:val="75B07C02"/>
    <w:rsid w:val="75B10717"/>
    <w:rsid w:val="75B746CC"/>
    <w:rsid w:val="75BA5ABA"/>
    <w:rsid w:val="75BB6F91"/>
    <w:rsid w:val="75BF7C22"/>
    <w:rsid w:val="75C15777"/>
    <w:rsid w:val="75DC4D0A"/>
    <w:rsid w:val="75E2215D"/>
    <w:rsid w:val="75E57E8C"/>
    <w:rsid w:val="75E71491"/>
    <w:rsid w:val="75E90372"/>
    <w:rsid w:val="75ED27FF"/>
    <w:rsid w:val="75F157F1"/>
    <w:rsid w:val="75FA4B8F"/>
    <w:rsid w:val="75FE178F"/>
    <w:rsid w:val="7608263A"/>
    <w:rsid w:val="760B256B"/>
    <w:rsid w:val="760B4054"/>
    <w:rsid w:val="761404BC"/>
    <w:rsid w:val="7617799E"/>
    <w:rsid w:val="76190456"/>
    <w:rsid w:val="761C1193"/>
    <w:rsid w:val="76211648"/>
    <w:rsid w:val="76217453"/>
    <w:rsid w:val="762204E2"/>
    <w:rsid w:val="76242719"/>
    <w:rsid w:val="7632464A"/>
    <w:rsid w:val="76347EF8"/>
    <w:rsid w:val="763718EC"/>
    <w:rsid w:val="76405C00"/>
    <w:rsid w:val="764506D6"/>
    <w:rsid w:val="76462217"/>
    <w:rsid w:val="765A460A"/>
    <w:rsid w:val="76633837"/>
    <w:rsid w:val="766F0F9D"/>
    <w:rsid w:val="76717AF9"/>
    <w:rsid w:val="76720BC3"/>
    <w:rsid w:val="767E7D3E"/>
    <w:rsid w:val="767F0A28"/>
    <w:rsid w:val="767F628B"/>
    <w:rsid w:val="76837F13"/>
    <w:rsid w:val="768D2771"/>
    <w:rsid w:val="769C10F0"/>
    <w:rsid w:val="769D1B86"/>
    <w:rsid w:val="76A166C4"/>
    <w:rsid w:val="76AB4BCD"/>
    <w:rsid w:val="76AC7B90"/>
    <w:rsid w:val="76B3002A"/>
    <w:rsid w:val="76B34860"/>
    <w:rsid w:val="76BB7678"/>
    <w:rsid w:val="76BE1EF6"/>
    <w:rsid w:val="76C06AFD"/>
    <w:rsid w:val="76C76A0C"/>
    <w:rsid w:val="76D01345"/>
    <w:rsid w:val="76D0549E"/>
    <w:rsid w:val="76D87025"/>
    <w:rsid w:val="76D91558"/>
    <w:rsid w:val="76DC01B8"/>
    <w:rsid w:val="76DF52F1"/>
    <w:rsid w:val="76E562D8"/>
    <w:rsid w:val="76F060CD"/>
    <w:rsid w:val="76F07212"/>
    <w:rsid w:val="76F760AF"/>
    <w:rsid w:val="770172DC"/>
    <w:rsid w:val="77021EBB"/>
    <w:rsid w:val="77051062"/>
    <w:rsid w:val="77090FE9"/>
    <w:rsid w:val="7711169C"/>
    <w:rsid w:val="771E21B4"/>
    <w:rsid w:val="771E6E15"/>
    <w:rsid w:val="77230C23"/>
    <w:rsid w:val="772958E1"/>
    <w:rsid w:val="77295990"/>
    <w:rsid w:val="773062B8"/>
    <w:rsid w:val="77322B04"/>
    <w:rsid w:val="773844BE"/>
    <w:rsid w:val="77391D99"/>
    <w:rsid w:val="77393110"/>
    <w:rsid w:val="773A2CFF"/>
    <w:rsid w:val="773C44D5"/>
    <w:rsid w:val="773E3310"/>
    <w:rsid w:val="774D4BB9"/>
    <w:rsid w:val="774F28AA"/>
    <w:rsid w:val="775413E5"/>
    <w:rsid w:val="77592225"/>
    <w:rsid w:val="775978C3"/>
    <w:rsid w:val="775B24C0"/>
    <w:rsid w:val="775E2406"/>
    <w:rsid w:val="77600628"/>
    <w:rsid w:val="77642336"/>
    <w:rsid w:val="776749E6"/>
    <w:rsid w:val="776D1B34"/>
    <w:rsid w:val="776D49F4"/>
    <w:rsid w:val="776D514F"/>
    <w:rsid w:val="7772322B"/>
    <w:rsid w:val="777B5838"/>
    <w:rsid w:val="777E0588"/>
    <w:rsid w:val="7783170E"/>
    <w:rsid w:val="778655DC"/>
    <w:rsid w:val="77870F3E"/>
    <w:rsid w:val="778833A9"/>
    <w:rsid w:val="77977DE9"/>
    <w:rsid w:val="779C165A"/>
    <w:rsid w:val="779D0621"/>
    <w:rsid w:val="77A35ABC"/>
    <w:rsid w:val="77AA17BC"/>
    <w:rsid w:val="77AE5CCD"/>
    <w:rsid w:val="77B36485"/>
    <w:rsid w:val="77BB2498"/>
    <w:rsid w:val="77BD55FB"/>
    <w:rsid w:val="77C8522A"/>
    <w:rsid w:val="77CA0789"/>
    <w:rsid w:val="77CA4EFD"/>
    <w:rsid w:val="77CF6CB5"/>
    <w:rsid w:val="77D25A69"/>
    <w:rsid w:val="77D74109"/>
    <w:rsid w:val="77D90C39"/>
    <w:rsid w:val="77DC5E07"/>
    <w:rsid w:val="77E530F9"/>
    <w:rsid w:val="77F04B77"/>
    <w:rsid w:val="77F27263"/>
    <w:rsid w:val="77F624B0"/>
    <w:rsid w:val="780668BB"/>
    <w:rsid w:val="78094675"/>
    <w:rsid w:val="7810609A"/>
    <w:rsid w:val="78160BBA"/>
    <w:rsid w:val="781D3EC9"/>
    <w:rsid w:val="781E159A"/>
    <w:rsid w:val="782D5707"/>
    <w:rsid w:val="783256DC"/>
    <w:rsid w:val="783902C3"/>
    <w:rsid w:val="783A532E"/>
    <w:rsid w:val="78426684"/>
    <w:rsid w:val="78454914"/>
    <w:rsid w:val="784E7611"/>
    <w:rsid w:val="78593244"/>
    <w:rsid w:val="78610813"/>
    <w:rsid w:val="787258A0"/>
    <w:rsid w:val="78727577"/>
    <w:rsid w:val="78763033"/>
    <w:rsid w:val="78781BEE"/>
    <w:rsid w:val="7884727F"/>
    <w:rsid w:val="7889721C"/>
    <w:rsid w:val="788A238A"/>
    <w:rsid w:val="788D4B31"/>
    <w:rsid w:val="78901B4E"/>
    <w:rsid w:val="78953416"/>
    <w:rsid w:val="789A7610"/>
    <w:rsid w:val="78A84423"/>
    <w:rsid w:val="78AF2345"/>
    <w:rsid w:val="78B1683E"/>
    <w:rsid w:val="78B26E76"/>
    <w:rsid w:val="78B46358"/>
    <w:rsid w:val="78BD4FBF"/>
    <w:rsid w:val="78BD71AE"/>
    <w:rsid w:val="78C349EA"/>
    <w:rsid w:val="78C95352"/>
    <w:rsid w:val="78CB123F"/>
    <w:rsid w:val="78CC59C5"/>
    <w:rsid w:val="78D76AB8"/>
    <w:rsid w:val="78DE7CD8"/>
    <w:rsid w:val="78E47CC1"/>
    <w:rsid w:val="78E77D4F"/>
    <w:rsid w:val="78E9231C"/>
    <w:rsid w:val="78F121E0"/>
    <w:rsid w:val="78F75D6C"/>
    <w:rsid w:val="78FD1B58"/>
    <w:rsid w:val="790327C3"/>
    <w:rsid w:val="79083ED9"/>
    <w:rsid w:val="79133545"/>
    <w:rsid w:val="79136D0E"/>
    <w:rsid w:val="7920391D"/>
    <w:rsid w:val="79223629"/>
    <w:rsid w:val="792C6423"/>
    <w:rsid w:val="793032B3"/>
    <w:rsid w:val="79356CC4"/>
    <w:rsid w:val="793C7971"/>
    <w:rsid w:val="793D4F43"/>
    <w:rsid w:val="794D5F36"/>
    <w:rsid w:val="796074BB"/>
    <w:rsid w:val="796C1390"/>
    <w:rsid w:val="796D663D"/>
    <w:rsid w:val="79771244"/>
    <w:rsid w:val="797815E8"/>
    <w:rsid w:val="797A5FD6"/>
    <w:rsid w:val="797D6F5F"/>
    <w:rsid w:val="79873188"/>
    <w:rsid w:val="79874FCE"/>
    <w:rsid w:val="7987659E"/>
    <w:rsid w:val="798F7898"/>
    <w:rsid w:val="79900474"/>
    <w:rsid w:val="799A1F24"/>
    <w:rsid w:val="799B0DE6"/>
    <w:rsid w:val="79B40346"/>
    <w:rsid w:val="79B5214B"/>
    <w:rsid w:val="79BA60F6"/>
    <w:rsid w:val="79BA7A28"/>
    <w:rsid w:val="79BF12A9"/>
    <w:rsid w:val="79C057D2"/>
    <w:rsid w:val="79C11B59"/>
    <w:rsid w:val="79C83207"/>
    <w:rsid w:val="79CA2F04"/>
    <w:rsid w:val="79CA76F9"/>
    <w:rsid w:val="79D007CA"/>
    <w:rsid w:val="79D16717"/>
    <w:rsid w:val="79D516B5"/>
    <w:rsid w:val="79EB7B4C"/>
    <w:rsid w:val="79F21477"/>
    <w:rsid w:val="79F22A96"/>
    <w:rsid w:val="79F30209"/>
    <w:rsid w:val="79F83D37"/>
    <w:rsid w:val="7A080898"/>
    <w:rsid w:val="7A0853B4"/>
    <w:rsid w:val="7A0F162C"/>
    <w:rsid w:val="7A147D76"/>
    <w:rsid w:val="7A183F9E"/>
    <w:rsid w:val="7A197638"/>
    <w:rsid w:val="7A1F146D"/>
    <w:rsid w:val="7A243E7F"/>
    <w:rsid w:val="7A3605F0"/>
    <w:rsid w:val="7A3E79CA"/>
    <w:rsid w:val="7A3F4471"/>
    <w:rsid w:val="7A3F71A6"/>
    <w:rsid w:val="7A4E778C"/>
    <w:rsid w:val="7A52260F"/>
    <w:rsid w:val="7A62402B"/>
    <w:rsid w:val="7A63740A"/>
    <w:rsid w:val="7A6C3532"/>
    <w:rsid w:val="7A782633"/>
    <w:rsid w:val="7A7B5F7C"/>
    <w:rsid w:val="7A7C1501"/>
    <w:rsid w:val="7A8857A0"/>
    <w:rsid w:val="7A91169F"/>
    <w:rsid w:val="7A961169"/>
    <w:rsid w:val="7A961FE6"/>
    <w:rsid w:val="7A9D5D7B"/>
    <w:rsid w:val="7A9F2AA0"/>
    <w:rsid w:val="7AA11F19"/>
    <w:rsid w:val="7AA6692F"/>
    <w:rsid w:val="7AAA35A7"/>
    <w:rsid w:val="7AAA781D"/>
    <w:rsid w:val="7AB1378A"/>
    <w:rsid w:val="7ABA7C88"/>
    <w:rsid w:val="7ABD330B"/>
    <w:rsid w:val="7ABF362B"/>
    <w:rsid w:val="7AC867A2"/>
    <w:rsid w:val="7AC92323"/>
    <w:rsid w:val="7ACC5704"/>
    <w:rsid w:val="7AD2011A"/>
    <w:rsid w:val="7AD23009"/>
    <w:rsid w:val="7AD66719"/>
    <w:rsid w:val="7AD70A1F"/>
    <w:rsid w:val="7AD96BD6"/>
    <w:rsid w:val="7ADB6B84"/>
    <w:rsid w:val="7ADC422F"/>
    <w:rsid w:val="7AE056D1"/>
    <w:rsid w:val="7AF14113"/>
    <w:rsid w:val="7AFB59EF"/>
    <w:rsid w:val="7B0251CD"/>
    <w:rsid w:val="7B044178"/>
    <w:rsid w:val="7B05555B"/>
    <w:rsid w:val="7B0841B1"/>
    <w:rsid w:val="7B112C13"/>
    <w:rsid w:val="7B117147"/>
    <w:rsid w:val="7B165F22"/>
    <w:rsid w:val="7B186CCB"/>
    <w:rsid w:val="7B193CFE"/>
    <w:rsid w:val="7B2105ED"/>
    <w:rsid w:val="7B2333F1"/>
    <w:rsid w:val="7B290932"/>
    <w:rsid w:val="7B293245"/>
    <w:rsid w:val="7B2D2D29"/>
    <w:rsid w:val="7B332775"/>
    <w:rsid w:val="7B337562"/>
    <w:rsid w:val="7B447916"/>
    <w:rsid w:val="7B4D53F2"/>
    <w:rsid w:val="7B5C0649"/>
    <w:rsid w:val="7B601836"/>
    <w:rsid w:val="7B606ED9"/>
    <w:rsid w:val="7B672626"/>
    <w:rsid w:val="7B6F520F"/>
    <w:rsid w:val="7B732AEF"/>
    <w:rsid w:val="7B79679C"/>
    <w:rsid w:val="7B7B27BA"/>
    <w:rsid w:val="7B815DE0"/>
    <w:rsid w:val="7B893152"/>
    <w:rsid w:val="7B8D1930"/>
    <w:rsid w:val="7B94504D"/>
    <w:rsid w:val="7B97675C"/>
    <w:rsid w:val="7B9D6283"/>
    <w:rsid w:val="7BA33DFA"/>
    <w:rsid w:val="7BA73891"/>
    <w:rsid w:val="7BB71D0A"/>
    <w:rsid w:val="7BBB7828"/>
    <w:rsid w:val="7BBF4A57"/>
    <w:rsid w:val="7BC90D4C"/>
    <w:rsid w:val="7BCE572E"/>
    <w:rsid w:val="7BDC2266"/>
    <w:rsid w:val="7BE021B9"/>
    <w:rsid w:val="7BF94403"/>
    <w:rsid w:val="7BFE330D"/>
    <w:rsid w:val="7C036B6C"/>
    <w:rsid w:val="7C0D42CC"/>
    <w:rsid w:val="7C0E5C37"/>
    <w:rsid w:val="7C1265E1"/>
    <w:rsid w:val="7C192DFD"/>
    <w:rsid w:val="7C1B030D"/>
    <w:rsid w:val="7C1B073B"/>
    <w:rsid w:val="7C2758EE"/>
    <w:rsid w:val="7C387699"/>
    <w:rsid w:val="7C3B5550"/>
    <w:rsid w:val="7C3C559D"/>
    <w:rsid w:val="7C3E323A"/>
    <w:rsid w:val="7C3E3FD3"/>
    <w:rsid w:val="7C417D92"/>
    <w:rsid w:val="7C4C01A6"/>
    <w:rsid w:val="7C530F05"/>
    <w:rsid w:val="7C541185"/>
    <w:rsid w:val="7C5C6E27"/>
    <w:rsid w:val="7C68278A"/>
    <w:rsid w:val="7C6B2424"/>
    <w:rsid w:val="7C6D6075"/>
    <w:rsid w:val="7C7707A9"/>
    <w:rsid w:val="7C7C2AEB"/>
    <w:rsid w:val="7C7C6DAE"/>
    <w:rsid w:val="7C7F06AF"/>
    <w:rsid w:val="7C8E11E8"/>
    <w:rsid w:val="7C9333C0"/>
    <w:rsid w:val="7CA60B4A"/>
    <w:rsid w:val="7CA94294"/>
    <w:rsid w:val="7CB2718A"/>
    <w:rsid w:val="7CB62252"/>
    <w:rsid w:val="7CB90562"/>
    <w:rsid w:val="7CD353ED"/>
    <w:rsid w:val="7CD944A3"/>
    <w:rsid w:val="7CE86881"/>
    <w:rsid w:val="7CE90287"/>
    <w:rsid w:val="7CEB71E4"/>
    <w:rsid w:val="7CF30482"/>
    <w:rsid w:val="7CF86A6C"/>
    <w:rsid w:val="7CFA0C04"/>
    <w:rsid w:val="7CFD37EC"/>
    <w:rsid w:val="7CFE46E5"/>
    <w:rsid w:val="7D013043"/>
    <w:rsid w:val="7D0219A7"/>
    <w:rsid w:val="7D0509BE"/>
    <w:rsid w:val="7D060A14"/>
    <w:rsid w:val="7D061F4D"/>
    <w:rsid w:val="7D0B0B1C"/>
    <w:rsid w:val="7D0D4DFA"/>
    <w:rsid w:val="7D140FA8"/>
    <w:rsid w:val="7D1A1CE4"/>
    <w:rsid w:val="7D2B5269"/>
    <w:rsid w:val="7D3E5490"/>
    <w:rsid w:val="7D4229D6"/>
    <w:rsid w:val="7D4E7A1E"/>
    <w:rsid w:val="7D544B95"/>
    <w:rsid w:val="7D54545D"/>
    <w:rsid w:val="7D5C1A68"/>
    <w:rsid w:val="7D5C489B"/>
    <w:rsid w:val="7D5D64F1"/>
    <w:rsid w:val="7D610FD0"/>
    <w:rsid w:val="7D6441E3"/>
    <w:rsid w:val="7D684921"/>
    <w:rsid w:val="7D6C7CE2"/>
    <w:rsid w:val="7D704E26"/>
    <w:rsid w:val="7D73331F"/>
    <w:rsid w:val="7D74396C"/>
    <w:rsid w:val="7D774559"/>
    <w:rsid w:val="7D774C04"/>
    <w:rsid w:val="7D7928F6"/>
    <w:rsid w:val="7D7C32CB"/>
    <w:rsid w:val="7D80296E"/>
    <w:rsid w:val="7D874838"/>
    <w:rsid w:val="7D970A88"/>
    <w:rsid w:val="7D987318"/>
    <w:rsid w:val="7DA038BE"/>
    <w:rsid w:val="7DA42B95"/>
    <w:rsid w:val="7DA464B2"/>
    <w:rsid w:val="7DA4743C"/>
    <w:rsid w:val="7DA9015A"/>
    <w:rsid w:val="7DAC2C25"/>
    <w:rsid w:val="7DAC5A45"/>
    <w:rsid w:val="7DAF4E99"/>
    <w:rsid w:val="7DB62AA3"/>
    <w:rsid w:val="7DBB3FB5"/>
    <w:rsid w:val="7DBE748D"/>
    <w:rsid w:val="7DC05B54"/>
    <w:rsid w:val="7DC54643"/>
    <w:rsid w:val="7DC67600"/>
    <w:rsid w:val="7DC70FA5"/>
    <w:rsid w:val="7DCE4F60"/>
    <w:rsid w:val="7DD96397"/>
    <w:rsid w:val="7DDB392F"/>
    <w:rsid w:val="7DE466DB"/>
    <w:rsid w:val="7DE745E1"/>
    <w:rsid w:val="7DEB3CA8"/>
    <w:rsid w:val="7DEB7A06"/>
    <w:rsid w:val="7DED36C2"/>
    <w:rsid w:val="7DF35631"/>
    <w:rsid w:val="7DF42A11"/>
    <w:rsid w:val="7DF52985"/>
    <w:rsid w:val="7DFD488E"/>
    <w:rsid w:val="7DFF359C"/>
    <w:rsid w:val="7E0215F5"/>
    <w:rsid w:val="7E063258"/>
    <w:rsid w:val="7E0A65D8"/>
    <w:rsid w:val="7E0E4DBE"/>
    <w:rsid w:val="7E0E6C2D"/>
    <w:rsid w:val="7E1B6711"/>
    <w:rsid w:val="7E216AA3"/>
    <w:rsid w:val="7E231A0C"/>
    <w:rsid w:val="7E2348C5"/>
    <w:rsid w:val="7E246165"/>
    <w:rsid w:val="7E26276D"/>
    <w:rsid w:val="7E330FE8"/>
    <w:rsid w:val="7E380FD8"/>
    <w:rsid w:val="7E3D6195"/>
    <w:rsid w:val="7E421B66"/>
    <w:rsid w:val="7E431528"/>
    <w:rsid w:val="7E44549A"/>
    <w:rsid w:val="7E476D92"/>
    <w:rsid w:val="7E4C64F0"/>
    <w:rsid w:val="7E5519D0"/>
    <w:rsid w:val="7E6169CE"/>
    <w:rsid w:val="7E667220"/>
    <w:rsid w:val="7E6A4A8D"/>
    <w:rsid w:val="7E6F17C8"/>
    <w:rsid w:val="7E7A3281"/>
    <w:rsid w:val="7E7C0054"/>
    <w:rsid w:val="7E7F1BCB"/>
    <w:rsid w:val="7E857064"/>
    <w:rsid w:val="7E8C0B11"/>
    <w:rsid w:val="7E955015"/>
    <w:rsid w:val="7E975686"/>
    <w:rsid w:val="7E994927"/>
    <w:rsid w:val="7E9E4817"/>
    <w:rsid w:val="7EA237D3"/>
    <w:rsid w:val="7EAD1F7E"/>
    <w:rsid w:val="7EAE2FF0"/>
    <w:rsid w:val="7EB31664"/>
    <w:rsid w:val="7EB53123"/>
    <w:rsid w:val="7EBB33C6"/>
    <w:rsid w:val="7ECE068E"/>
    <w:rsid w:val="7ECE5703"/>
    <w:rsid w:val="7ED53165"/>
    <w:rsid w:val="7ED66172"/>
    <w:rsid w:val="7EDA37B9"/>
    <w:rsid w:val="7EDE2B67"/>
    <w:rsid w:val="7EE16926"/>
    <w:rsid w:val="7EE72D6A"/>
    <w:rsid w:val="7EE82CCB"/>
    <w:rsid w:val="7EED6FD1"/>
    <w:rsid w:val="7F214438"/>
    <w:rsid w:val="7F231A08"/>
    <w:rsid w:val="7F274860"/>
    <w:rsid w:val="7F2C4DAB"/>
    <w:rsid w:val="7F314FD3"/>
    <w:rsid w:val="7F3A656F"/>
    <w:rsid w:val="7F3D3ED3"/>
    <w:rsid w:val="7F45631B"/>
    <w:rsid w:val="7F485669"/>
    <w:rsid w:val="7F522DFA"/>
    <w:rsid w:val="7F561385"/>
    <w:rsid w:val="7F5651F1"/>
    <w:rsid w:val="7F5A52A0"/>
    <w:rsid w:val="7F651DB9"/>
    <w:rsid w:val="7F670DC8"/>
    <w:rsid w:val="7F6E50A9"/>
    <w:rsid w:val="7F716BC5"/>
    <w:rsid w:val="7F724D0F"/>
    <w:rsid w:val="7F727A0A"/>
    <w:rsid w:val="7F78235B"/>
    <w:rsid w:val="7F7A34C7"/>
    <w:rsid w:val="7F80132B"/>
    <w:rsid w:val="7F815155"/>
    <w:rsid w:val="7F8540D7"/>
    <w:rsid w:val="7F891B6E"/>
    <w:rsid w:val="7F8F7E72"/>
    <w:rsid w:val="7F953AB8"/>
    <w:rsid w:val="7F976362"/>
    <w:rsid w:val="7F9D0C8C"/>
    <w:rsid w:val="7FAC5D03"/>
    <w:rsid w:val="7FB8703D"/>
    <w:rsid w:val="7FB9037D"/>
    <w:rsid w:val="7FBD2C93"/>
    <w:rsid w:val="7FBD2E6E"/>
    <w:rsid w:val="7FC6309A"/>
    <w:rsid w:val="7FCA39A7"/>
    <w:rsid w:val="7FD16A5B"/>
    <w:rsid w:val="7FD72B4B"/>
    <w:rsid w:val="7FDD05B7"/>
    <w:rsid w:val="7FE329BC"/>
    <w:rsid w:val="7FE50D44"/>
    <w:rsid w:val="7FEB651D"/>
    <w:rsid w:val="7FEC07B8"/>
    <w:rsid w:val="7FF05264"/>
    <w:rsid w:val="7FF22EF0"/>
    <w:rsid w:val="7FF468F2"/>
    <w:rsid w:val="7FFF363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qFormat="1"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9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29"/>
    <w:qFormat/>
    <w:uiPriority w:val="0"/>
    <w:pPr>
      <w:keepNext/>
      <w:keepLines/>
      <w:spacing w:line="360" w:lineRule="auto"/>
      <w:outlineLvl w:val="0"/>
    </w:pPr>
    <w:rPr>
      <w:b/>
      <w:bCs/>
      <w:kern w:val="44"/>
      <w:sz w:val="30"/>
      <w:szCs w:val="30"/>
    </w:rPr>
  </w:style>
  <w:style w:type="paragraph" w:styleId="4">
    <w:name w:val="heading 2"/>
    <w:basedOn w:val="1"/>
    <w:next w:val="1"/>
    <w:link w:val="127"/>
    <w:qFormat/>
    <w:uiPriority w:val="0"/>
    <w:pPr>
      <w:keepNext/>
      <w:keepLines/>
      <w:spacing w:before="50" w:beforeLines="50" w:after="50" w:afterLines="50" w:line="380" w:lineRule="exact"/>
      <w:outlineLvl w:val="1"/>
    </w:pPr>
    <w:rPr>
      <w:rFonts w:ascii="Arial" w:hAnsi="Arial" w:eastAsia="黑体"/>
      <w:bCs/>
      <w:kern w:val="0"/>
      <w:sz w:val="24"/>
    </w:rPr>
  </w:style>
  <w:style w:type="paragraph" w:styleId="5">
    <w:name w:val="heading 3"/>
    <w:basedOn w:val="1"/>
    <w:next w:val="1"/>
    <w:qFormat/>
    <w:uiPriority w:val="0"/>
    <w:pPr>
      <w:keepNext/>
      <w:keepLines/>
      <w:spacing w:before="50" w:beforeLines="50" w:after="50" w:afterLines="50" w:line="380" w:lineRule="exact"/>
      <w:outlineLvl w:val="2"/>
    </w:pPr>
    <w:rPr>
      <w:rFonts w:eastAsia="黑体"/>
      <w:bCs/>
      <w:sz w:val="24"/>
      <w:szCs w:val="32"/>
    </w:rPr>
  </w:style>
  <w:style w:type="paragraph" w:styleId="6">
    <w:name w:val="heading 4"/>
    <w:basedOn w:val="1"/>
    <w:next w:val="1"/>
    <w:link w:val="120"/>
    <w:qFormat/>
    <w:uiPriority w:val="0"/>
    <w:pPr>
      <w:keepNext/>
      <w:keepLines/>
      <w:spacing w:before="156" w:beforeLines="50" w:after="156" w:afterLines="50" w:line="380" w:lineRule="exact"/>
      <w:outlineLvl w:val="3"/>
    </w:pPr>
    <w:rPr>
      <w:b/>
      <w:bCs/>
      <w:sz w:val="24"/>
      <w:szCs w:val="28"/>
    </w:rPr>
  </w:style>
  <w:style w:type="character" w:default="1" w:styleId="32">
    <w:name w:val="Default Paragraph Font"/>
    <w:semiHidden/>
    <w:qFormat/>
    <w:uiPriority w:val="0"/>
  </w:style>
  <w:style w:type="table" w:default="1" w:styleId="2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paragraph" w:styleId="7">
    <w:name w:val="Normal Indent"/>
    <w:basedOn w:val="1"/>
    <w:link w:val="135"/>
    <w:qFormat/>
    <w:uiPriority w:val="0"/>
    <w:pPr>
      <w:ind w:firstLine="420" w:firstLineChars="200"/>
    </w:p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semiHidden/>
    <w:qFormat/>
    <w:uiPriority w:val="0"/>
    <w:pPr>
      <w:shd w:val="clear" w:color="auto" w:fill="000080"/>
    </w:pPr>
  </w:style>
  <w:style w:type="paragraph" w:styleId="10">
    <w:name w:val="annotation text"/>
    <w:basedOn w:val="1"/>
    <w:semiHidden/>
    <w:qFormat/>
    <w:uiPriority w:val="0"/>
    <w:pPr>
      <w:jc w:val="left"/>
    </w:pPr>
  </w:style>
  <w:style w:type="paragraph" w:styleId="11">
    <w:name w:val="Salutation"/>
    <w:basedOn w:val="1"/>
    <w:next w:val="1"/>
    <w:qFormat/>
    <w:uiPriority w:val="0"/>
    <w:pPr>
      <w:spacing w:line="240" w:lineRule="auto"/>
      <w:ind w:firstLine="0" w:firstLineChars="0"/>
    </w:pPr>
    <w:rPr>
      <w:sz w:val="28"/>
      <w:szCs w:val="20"/>
    </w:rPr>
  </w:style>
  <w:style w:type="paragraph" w:styleId="12">
    <w:name w:val="Body Text"/>
    <w:basedOn w:val="1"/>
    <w:qFormat/>
    <w:uiPriority w:val="0"/>
    <w:pPr>
      <w:spacing w:after="120"/>
    </w:pPr>
  </w:style>
  <w:style w:type="paragraph" w:styleId="13">
    <w:name w:val="Body Text Indent"/>
    <w:basedOn w:val="1"/>
    <w:next w:val="14"/>
    <w:link w:val="132"/>
    <w:qFormat/>
    <w:uiPriority w:val="0"/>
    <w:pPr>
      <w:ind w:firstLine="540"/>
    </w:pPr>
    <w:rPr>
      <w:rFonts w:ascii="宋体"/>
      <w:sz w:val="28"/>
    </w:rPr>
  </w:style>
  <w:style w:type="paragraph" w:styleId="14">
    <w:name w:val="Body Text Indent 2"/>
    <w:basedOn w:val="1"/>
    <w:next w:val="15"/>
    <w:qFormat/>
    <w:uiPriority w:val="0"/>
    <w:pPr>
      <w:spacing w:after="120" w:line="480" w:lineRule="auto"/>
      <w:ind w:left="420" w:leftChars="200"/>
    </w:pPr>
  </w:style>
  <w:style w:type="paragraph" w:styleId="15">
    <w:name w:val="Body Text First Indent 2"/>
    <w:basedOn w:val="13"/>
    <w:next w:val="1"/>
    <w:qFormat/>
    <w:uiPriority w:val="0"/>
    <w:pPr>
      <w:spacing w:after="120" w:afterLines="0" w:line="240" w:lineRule="auto"/>
      <w:ind w:left="420" w:leftChars="200" w:firstLine="420" w:firstLineChars="200"/>
    </w:pPr>
    <w:rPr>
      <w:sz w:val="21"/>
      <w:szCs w:val="24"/>
    </w:rPr>
  </w:style>
  <w:style w:type="paragraph" w:styleId="16">
    <w:name w:val="Plain Text"/>
    <w:basedOn w:val="1"/>
    <w:next w:val="11"/>
    <w:link w:val="134"/>
    <w:qFormat/>
    <w:uiPriority w:val="0"/>
    <w:rPr>
      <w:rFonts w:ascii="宋体" w:hAnsi="Courier New" w:cs="Courier New"/>
      <w:szCs w:val="21"/>
    </w:rPr>
  </w:style>
  <w:style w:type="paragraph" w:styleId="17">
    <w:name w:val="toc 8"/>
    <w:basedOn w:val="1"/>
    <w:next w:val="1"/>
    <w:qFormat/>
    <w:uiPriority w:val="0"/>
    <w:pPr>
      <w:ind w:left="1470"/>
      <w:jc w:val="left"/>
    </w:pPr>
    <w:rPr>
      <w:sz w:val="18"/>
      <w:szCs w:val="18"/>
    </w:rPr>
  </w:style>
  <w:style w:type="paragraph" w:styleId="18">
    <w:name w:val="Balloon Text"/>
    <w:basedOn w:val="1"/>
    <w:semiHidden/>
    <w:qFormat/>
    <w:uiPriority w:val="0"/>
    <w:rPr>
      <w:sz w:val="18"/>
      <w:szCs w:val="18"/>
    </w:rPr>
  </w:style>
  <w:style w:type="paragraph" w:styleId="19">
    <w:name w:val="footer"/>
    <w:basedOn w:val="1"/>
    <w:link w:val="130"/>
    <w:qFormat/>
    <w:uiPriority w:val="0"/>
    <w:pPr>
      <w:tabs>
        <w:tab w:val="center" w:pos="4153"/>
        <w:tab w:val="right" w:pos="8306"/>
      </w:tabs>
      <w:snapToGrid w:val="0"/>
      <w:jc w:val="left"/>
    </w:pPr>
    <w:rPr>
      <w:sz w:val="18"/>
      <w:szCs w:val="18"/>
    </w:rPr>
  </w:style>
  <w:style w:type="paragraph" w:styleId="20">
    <w:name w:val="header"/>
    <w:basedOn w:val="1"/>
    <w:link w:val="131"/>
    <w:qFormat/>
    <w:uiPriority w:val="0"/>
    <w:pPr>
      <w:pBdr>
        <w:bottom w:val="single" w:color="auto" w:sz="6" w:space="1"/>
      </w:pBdr>
      <w:tabs>
        <w:tab w:val="center" w:pos="4153"/>
        <w:tab w:val="right" w:pos="8306"/>
      </w:tabs>
      <w:snapToGrid w:val="0"/>
      <w:jc w:val="center"/>
    </w:pPr>
    <w:rPr>
      <w:sz w:val="18"/>
      <w:szCs w:val="18"/>
    </w:rPr>
  </w:style>
  <w:style w:type="paragraph" w:styleId="21">
    <w:name w:val="Body Text Indent 3"/>
    <w:basedOn w:val="1"/>
    <w:qFormat/>
    <w:uiPriority w:val="0"/>
    <w:pPr>
      <w:spacing w:after="120"/>
      <w:ind w:left="420" w:leftChars="200"/>
    </w:pPr>
    <w:rPr>
      <w:sz w:val="16"/>
      <w:szCs w:val="16"/>
    </w:rPr>
  </w:style>
  <w:style w:type="paragraph" w:styleId="22">
    <w:name w:val="table of figures"/>
    <w:basedOn w:val="1"/>
    <w:next w:val="1"/>
    <w:qFormat/>
    <w:uiPriority w:val="0"/>
    <w:pPr>
      <w:widowControl w:val="0"/>
      <w:ind w:leftChars="200" w:hanging="200" w:hangingChars="200"/>
      <w:jc w:val="both"/>
    </w:pPr>
    <w:rPr>
      <w:rFonts w:ascii="Calibri" w:hAnsi="Calibri" w:cs="Times New Roman"/>
      <w:kern w:val="2"/>
      <w:sz w:val="21"/>
      <w:szCs w:val="22"/>
    </w:rPr>
  </w:style>
  <w:style w:type="paragraph" w:styleId="23">
    <w:name w:val="Body Text 2"/>
    <w:basedOn w:val="1"/>
    <w:qFormat/>
    <w:uiPriority w:val="0"/>
    <w:pPr>
      <w:spacing w:after="120" w:line="480" w:lineRule="auto"/>
    </w:pPr>
    <w:rPr>
      <w:szCs w:val="24"/>
    </w:rPr>
  </w:style>
  <w:style w:type="paragraph" w:styleId="24">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5">
    <w:name w:val="Normal (Web)"/>
    <w:basedOn w:val="1"/>
    <w:qFormat/>
    <w:uiPriority w:val="0"/>
    <w:rPr>
      <w:sz w:val="24"/>
      <w:szCs w:val="24"/>
    </w:rPr>
  </w:style>
  <w:style w:type="paragraph" w:styleId="26">
    <w:name w:val="annotation subject"/>
    <w:basedOn w:val="10"/>
    <w:next w:val="10"/>
    <w:semiHidden/>
    <w:qFormat/>
    <w:uiPriority w:val="0"/>
    <w:rPr>
      <w:b/>
      <w:bCs/>
    </w:rPr>
  </w:style>
  <w:style w:type="paragraph" w:styleId="27">
    <w:name w:val="Body Text First Indent"/>
    <w:basedOn w:val="12"/>
    <w:qFormat/>
    <w:uiPriority w:val="0"/>
    <w:pPr>
      <w:ind w:firstLine="420" w:firstLineChars="100"/>
    </w:pPr>
  </w:style>
  <w:style w:type="table" w:styleId="29">
    <w:name w:val="Table Grid"/>
    <w:basedOn w:val="2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0">
    <w:name w:val="Table Theme"/>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1">
    <w:name w:val="Table Grid 5"/>
    <w:basedOn w:val="2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single" w:color="000000" w:sz="12" w:space="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33">
    <w:name w:val="Strong"/>
    <w:qFormat/>
    <w:uiPriority w:val="22"/>
    <w:rPr>
      <w:b/>
      <w:bCs/>
    </w:rPr>
  </w:style>
  <w:style w:type="character" w:styleId="34">
    <w:name w:val="page number"/>
    <w:basedOn w:val="32"/>
    <w:qFormat/>
    <w:uiPriority w:val="0"/>
  </w:style>
  <w:style w:type="character" w:styleId="35">
    <w:name w:val="Hyperlink"/>
    <w:qFormat/>
    <w:uiPriority w:val="0"/>
    <w:rPr>
      <w:color w:val="3366CC"/>
      <w:u w:val="single"/>
    </w:rPr>
  </w:style>
  <w:style w:type="character" w:styleId="36">
    <w:name w:val="annotation reference"/>
    <w:qFormat/>
    <w:uiPriority w:val="0"/>
    <w:rPr>
      <w:sz w:val="21"/>
      <w:szCs w:val="21"/>
    </w:rPr>
  </w:style>
  <w:style w:type="paragraph" w:customStyle="1" w:styleId="37">
    <w:name w:val=" Char Char Char Char Char Char Char"/>
    <w:basedOn w:val="1"/>
    <w:qFormat/>
    <w:uiPriority w:val="0"/>
    <w:rPr>
      <w:sz w:val="24"/>
      <w:szCs w:val="24"/>
    </w:rPr>
  </w:style>
  <w:style w:type="paragraph" w:customStyle="1" w:styleId="38">
    <w:name w:val="样式3"/>
    <w:basedOn w:val="1"/>
    <w:qFormat/>
    <w:uiPriority w:val="0"/>
    <w:pPr>
      <w:autoSpaceDE w:val="0"/>
      <w:autoSpaceDN w:val="0"/>
      <w:snapToGrid w:val="0"/>
      <w:spacing w:before="120" w:line="460" w:lineRule="atLeast"/>
      <w:jc w:val="center"/>
    </w:pPr>
    <w:rPr>
      <w:rFonts w:eastAsia="黑体"/>
      <w:sz w:val="28"/>
      <w:szCs w:val="24"/>
    </w:rPr>
  </w:style>
  <w:style w:type="paragraph" w:customStyle="1" w:styleId="39">
    <w:name w:val="表内容"/>
    <w:basedOn w:val="1"/>
    <w:next w:val="1"/>
    <w:qFormat/>
    <w:uiPriority w:val="0"/>
    <w:pPr>
      <w:spacing w:line="320" w:lineRule="exact"/>
      <w:jc w:val="center"/>
    </w:pPr>
    <w:rPr>
      <w:szCs w:val="20"/>
    </w:rPr>
  </w:style>
  <w:style w:type="paragraph" w:customStyle="1" w:styleId="40">
    <w:name w:val="表内字体"/>
    <w:basedOn w:val="1"/>
    <w:qFormat/>
    <w:uiPriority w:val="0"/>
    <w:pPr>
      <w:adjustRightInd w:val="0"/>
      <w:snapToGrid w:val="0"/>
      <w:jc w:val="center"/>
      <w:textAlignment w:val="baseline"/>
    </w:pPr>
    <w:rPr>
      <w:kern w:val="0"/>
      <w:sz w:val="18"/>
      <w:szCs w:val="18"/>
    </w:rPr>
  </w:style>
  <w:style w:type="paragraph" w:customStyle="1" w:styleId="41">
    <w:name w:val="Char"/>
    <w:basedOn w:val="1"/>
    <w:qFormat/>
    <w:uiPriority w:val="0"/>
    <w:rPr>
      <w:b/>
      <w:bCs/>
      <w:kern w:val="0"/>
      <w:sz w:val="36"/>
      <w:szCs w:val="32"/>
    </w:rPr>
  </w:style>
  <w:style w:type="paragraph" w:customStyle="1" w:styleId="42">
    <w:name w:val="中文报告书样式"/>
    <w:basedOn w:val="1"/>
    <w:qFormat/>
    <w:uiPriority w:val="0"/>
    <w:pPr>
      <w:adjustRightInd w:val="0"/>
      <w:spacing w:line="480" w:lineRule="atLeast"/>
      <w:ind w:firstLine="482"/>
      <w:textAlignment w:val="baseline"/>
    </w:pPr>
    <w:rPr>
      <w:kern w:val="24"/>
      <w:sz w:val="24"/>
    </w:rPr>
  </w:style>
  <w:style w:type="paragraph" w:customStyle="1" w:styleId="43">
    <w:name w:val="表头样式"/>
    <w:basedOn w:val="1"/>
    <w:next w:val="44"/>
    <w:qFormat/>
    <w:uiPriority w:val="0"/>
    <w:pPr>
      <w:snapToGrid w:val="0"/>
      <w:jc w:val="center"/>
    </w:pPr>
    <w:rPr>
      <w:rFonts w:eastAsia="楷体_GB2312"/>
      <w:b/>
      <w:sz w:val="24"/>
      <w:szCs w:val="24"/>
    </w:rPr>
  </w:style>
  <w:style w:type="paragraph" w:customStyle="1" w:styleId="44">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45">
    <w:name w:val="正文首行缩进1"/>
    <w:basedOn w:val="12"/>
    <w:qFormat/>
    <w:uiPriority w:val="0"/>
    <w:pPr>
      <w:spacing w:after="120"/>
      <w:ind w:firstLine="420" w:firstLineChars="100"/>
    </w:pPr>
    <w:rPr>
      <w:sz w:val="21"/>
    </w:rPr>
  </w:style>
  <w:style w:type="paragraph" w:styleId="46">
    <w:name w:val="List Paragraph"/>
    <w:basedOn w:val="1"/>
    <w:qFormat/>
    <w:uiPriority w:val="34"/>
    <w:pPr>
      <w:ind w:firstLine="420" w:firstLineChars="200"/>
    </w:pPr>
  </w:style>
  <w:style w:type="paragraph" w:customStyle="1" w:styleId="47">
    <w:name w:val="表头样式1"/>
    <w:basedOn w:val="1"/>
    <w:qFormat/>
    <w:uiPriority w:val="0"/>
    <w:pPr>
      <w:spacing w:before="156" w:beforeLines="50"/>
      <w:jc w:val="center"/>
    </w:pPr>
    <w:rPr>
      <w:rFonts w:eastAsia="黑体"/>
      <w:b/>
      <w:sz w:val="24"/>
      <w:szCs w:val="20"/>
    </w:rPr>
  </w:style>
  <w:style w:type="paragraph" w:customStyle="1" w:styleId="48">
    <w:name w:val="样式2"/>
    <w:basedOn w:val="1"/>
    <w:link w:val="137"/>
    <w:qFormat/>
    <w:uiPriority w:val="0"/>
    <w:pPr>
      <w:spacing w:line="360" w:lineRule="auto"/>
      <w:ind w:firstLine="480"/>
    </w:pPr>
    <w:rPr>
      <w:sz w:val="24"/>
      <w:szCs w:val="24"/>
    </w:rPr>
  </w:style>
  <w:style w:type="paragraph" w:customStyle="1" w:styleId="49">
    <w:name w:val="样式 表格 32 + 首行缩进:  2 字符"/>
    <w:basedOn w:val="1"/>
    <w:qFormat/>
    <w:uiPriority w:val="0"/>
    <w:pPr>
      <w:autoSpaceDE w:val="0"/>
      <w:autoSpaceDN w:val="0"/>
      <w:adjustRightInd w:val="0"/>
      <w:spacing w:line="0" w:lineRule="atLeast"/>
      <w:jc w:val="center"/>
      <w:textAlignment w:val="baseline"/>
    </w:pPr>
    <w:rPr>
      <w:rFonts w:cs="宋体"/>
      <w:kern w:val="0"/>
      <w:szCs w:val="21"/>
    </w:rPr>
  </w:style>
  <w:style w:type="paragraph" w:customStyle="1" w:styleId="50">
    <w:name w:val="本文正文"/>
    <w:basedOn w:val="1"/>
    <w:qFormat/>
    <w:uiPriority w:val="0"/>
    <w:pPr>
      <w:autoSpaceDE w:val="0"/>
      <w:autoSpaceDN w:val="0"/>
      <w:adjustRightInd w:val="0"/>
      <w:ind w:firstLine="0" w:firstLineChars="0"/>
      <w:textAlignment w:val="baseline"/>
    </w:pPr>
  </w:style>
  <w:style w:type="paragraph" w:customStyle="1" w:styleId="51">
    <w:name w:val="默认段落字体 Para Char"/>
    <w:basedOn w:val="1"/>
    <w:qFormat/>
    <w:uiPriority w:val="0"/>
    <w:rPr>
      <w:sz w:val="24"/>
      <w:szCs w:val="24"/>
    </w:rPr>
  </w:style>
  <w:style w:type="paragraph" w:customStyle="1" w:styleId="52">
    <w:name w:val="1正文段落"/>
    <w:basedOn w:val="1"/>
    <w:link w:val="113"/>
    <w:qFormat/>
    <w:uiPriority w:val="0"/>
    <w:pPr>
      <w:spacing w:line="360" w:lineRule="auto"/>
      <w:ind w:firstLine="480" w:firstLineChars="200"/>
      <w:jc w:val="left"/>
    </w:pPr>
    <w:rPr>
      <w:kern w:val="0"/>
      <w:sz w:val="24"/>
      <w:szCs w:val="24"/>
    </w:rPr>
  </w:style>
  <w:style w:type="paragraph" w:customStyle="1" w:styleId="53">
    <w:name w:val="表格内容"/>
    <w:basedOn w:val="1"/>
    <w:qFormat/>
    <w:uiPriority w:val="0"/>
    <w:pPr>
      <w:spacing w:line="240" w:lineRule="atLeast"/>
      <w:jc w:val="center"/>
    </w:pPr>
    <w:rPr>
      <w:rFonts w:eastAsia="宋体"/>
      <w:sz w:val="21"/>
    </w:rPr>
  </w:style>
  <w:style w:type="paragraph" w:customStyle="1" w:styleId="54">
    <w:name w:val="默认段落字体 Para Char Char Char Char Char Char Char Char Char Char"/>
    <w:basedOn w:val="5"/>
    <w:qFormat/>
    <w:uiPriority w:val="0"/>
    <w:pPr>
      <w:keepNext w:val="0"/>
      <w:tabs>
        <w:tab w:val="left" w:pos="360"/>
        <w:tab w:val="left" w:pos="900"/>
      </w:tabs>
      <w:snapToGrid w:val="0"/>
      <w:spacing w:before="120" w:beforeLines="0" w:after="120" w:afterLines="0" w:line="360" w:lineRule="auto"/>
      <w:ind w:left="542" w:leftChars="-12" w:firstLine="200" w:firstLineChars="200"/>
      <w:jc w:val="left"/>
    </w:pPr>
    <w:rPr>
      <w:rFonts w:hint="eastAsia" w:ascii="宋体" w:hAnsi="宋体" w:cs="宋体"/>
      <w:b/>
      <w:bCs w:val="0"/>
      <w:snapToGrid w:val="0"/>
      <w:kern w:val="0"/>
      <w:szCs w:val="24"/>
    </w:rPr>
  </w:style>
  <w:style w:type="paragraph" w:customStyle="1" w:styleId="55">
    <w:name w:val="xl22"/>
    <w:basedOn w:val="1"/>
    <w:qFormat/>
    <w:uiPriority w:val="0"/>
    <w:pPr>
      <w:widowControl/>
      <w:pBdr>
        <w:bottom w:val="single" w:color="auto" w:sz="4" w:space="0"/>
        <w:right w:val="single" w:color="auto" w:sz="4" w:space="0"/>
      </w:pBdr>
      <w:spacing w:before="100" w:after="100"/>
      <w:jc w:val="center"/>
    </w:pPr>
    <w:rPr>
      <w:rFonts w:ascii="宋体" w:hAnsi="宋体"/>
      <w:kern w:val="0"/>
    </w:rPr>
  </w:style>
  <w:style w:type="paragraph" w:customStyle="1" w:styleId="56">
    <w:name w:val="标准文本 首行缩进:2 字符 行距1倍"/>
    <w:basedOn w:val="1"/>
    <w:qFormat/>
    <w:uiPriority w:val="0"/>
    <w:pPr>
      <w:tabs>
        <w:tab w:val="left" w:pos="840"/>
      </w:tabs>
      <w:adjustRightInd w:val="0"/>
      <w:snapToGrid w:val="0"/>
      <w:textAlignment w:val="center"/>
    </w:pPr>
    <w:rPr>
      <w:rFonts w:cs="宋体"/>
      <w:sz w:val="24"/>
      <w:szCs w:val="20"/>
    </w:rPr>
  </w:style>
  <w:style w:type="paragraph" w:customStyle="1" w:styleId="57">
    <w:name w:val="xl24"/>
    <w:basedOn w:val="1"/>
    <w:qFormat/>
    <w:uiPriority w:val="0"/>
    <w:pPr>
      <w:widowControl/>
      <w:spacing w:before="100" w:beforeAutospacing="1" w:after="100" w:afterAutospacing="1"/>
      <w:jc w:val="left"/>
      <w:textAlignment w:val="center"/>
    </w:pPr>
    <w:rPr>
      <w:rFonts w:eastAsia="Arial Unicode MS"/>
      <w:kern w:val="0"/>
      <w:sz w:val="20"/>
    </w:rPr>
  </w:style>
  <w:style w:type="paragraph" w:customStyle="1" w:styleId="58">
    <w:name w:val=" Char Char Char Char Char Char1 Char"/>
    <w:basedOn w:val="1"/>
    <w:qFormat/>
    <w:uiPriority w:val="0"/>
    <w:rPr>
      <w:szCs w:val="24"/>
    </w:rPr>
  </w:style>
  <w:style w:type="paragraph" w:customStyle="1" w:styleId="59">
    <w:name w:val=" 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szCs w:val="24"/>
    </w:rPr>
  </w:style>
  <w:style w:type="paragraph" w:customStyle="1" w:styleId="60">
    <w:name w:val="Table Paragraph"/>
    <w:basedOn w:val="1"/>
    <w:qFormat/>
    <w:uiPriority w:val="1"/>
    <w:pPr>
      <w:jc w:val="left"/>
    </w:pPr>
    <w:rPr>
      <w:rFonts w:ascii="Calibri" w:hAnsi="Calibri"/>
      <w:kern w:val="0"/>
      <w:sz w:val="22"/>
      <w:szCs w:val="22"/>
      <w:lang w:eastAsia="en-US"/>
    </w:rPr>
  </w:style>
  <w:style w:type="paragraph" w:customStyle="1" w:styleId="61">
    <w:name w:val="报告表  段"/>
    <w:basedOn w:val="1"/>
    <w:link w:val="142"/>
    <w:qFormat/>
    <w:uiPriority w:val="0"/>
    <w:pPr>
      <w:adjustRightInd w:val="0"/>
      <w:spacing w:line="360" w:lineRule="auto"/>
      <w:ind w:firstLine="505"/>
      <w:textAlignment w:val="baseline"/>
    </w:pPr>
    <w:rPr>
      <w:rFonts w:ascii="宋体"/>
      <w:kern w:val="0"/>
      <w:sz w:val="24"/>
    </w:rPr>
  </w:style>
  <w:style w:type="paragraph" w:customStyle="1" w:styleId="62">
    <w:name w:val="正文-biao"/>
    <w:basedOn w:val="1"/>
    <w:qFormat/>
    <w:uiPriority w:val="0"/>
    <w:pPr>
      <w:spacing w:before="60" w:line="460" w:lineRule="exact"/>
      <w:ind w:firstLine="482" w:firstLineChars="0"/>
    </w:pPr>
    <w:rPr>
      <w:rFonts w:ascii="Times New Roman"/>
      <w:color w:val="auto"/>
      <w:szCs w:val="24"/>
    </w:rPr>
  </w:style>
  <w:style w:type="paragraph" w:customStyle="1" w:styleId="63">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rPr>
  </w:style>
  <w:style w:type="paragraph" w:customStyle="1" w:styleId="64">
    <w:name w:val="xl34"/>
    <w:basedOn w:val="1"/>
    <w:qFormat/>
    <w:uiPriority w:val="0"/>
    <w:pPr>
      <w:widowControl/>
      <w:spacing w:before="100" w:beforeAutospacing="1" w:after="100" w:afterAutospacing="1"/>
      <w:jc w:val="center"/>
    </w:pPr>
    <w:rPr>
      <w:rFonts w:ascii="Arial Unicode MS" w:hAnsi="Arial Unicode MS" w:eastAsia="Arial Unicode MS"/>
      <w:kern w:val="0"/>
      <w:sz w:val="24"/>
      <w:szCs w:val="24"/>
    </w:rPr>
  </w:style>
  <w:style w:type="paragraph" w:customStyle="1" w:styleId="65">
    <w:name w:val=" Char Char Char1 Char Char Char Char Char Char Char"/>
    <w:basedOn w:val="1"/>
    <w:qFormat/>
    <w:uiPriority w:val="0"/>
  </w:style>
  <w:style w:type="paragraph" w:customStyle="1" w:styleId="66">
    <w:name w:val="样式 样式 样式 小四 灰色-80% 左侧:  0.16 厘米 行距: 固定值 20 磅 + 宋体 首行缩进:  2 字符 + ..."/>
    <w:basedOn w:val="1"/>
    <w:link w:val="114"/>
    <w:qFormat/>
    <w:uiPriority w:val="0"/>
    <w:pPr>
      <w:spacing w:line="360" w:lineRule="auto"/>
      <w:ind w:firstLine="480" w:firstLineChars="200"/>
    </w:pPr>
    <w:rPr>
      <w:rFonts w:ascii="宋体" w:hAnsi="宋体" w:cs="宋体"/>
      <w:color w:val="333333"/>
      <w:sz w:val="24"/>
    </w:rPr>
  </w:style>
  <w:style w:type="paragraph" w:customStyle="1" w:styleId="67">
    <w:name w:val="表文字"/>
    <w:basedOn w:val="1"/>
    <w:qFormat/>
    <w:uiPriority w:val="0"/>
    <w:pPr>
      <w:topLinePunct/>
      <w:adjustRightInd w:val="0"/>
      <w:spacing w:line="360" w:lineRule="exact"/>
      <w:jc w:val="center"/>
      <w:textAlignment w:val="baseline"/>
    </w:pPr>
    <w:rPr>
      <w:kern w:val="0"/>
      <w:szCs w:val="21"/>
    </w:rPr>
  </w:style>
  <w:style w:type="paragraph" w:customStyle="1" w:styleId="68">
    <w:name w:val="表格hy"/>
    <w:basedOn w:val="1"/>
    <w:link w:val="118"/>
    <w:qFormat/>
    <w:uiPriority w:val="0"/>
    <w:pPr>
      <w:spacing w:line="0" w:lineRule="atLeast"/>
      <w:jc w:val="center"/>
    </w:pPr>
    <w:rPr>
      <w:rFonts w:ascii="楷体_GB2312" w:eastAsia="楷体_GB2312"/>
      <w:color w:val="000000"/>
      <w:szCs w:val="22"/>
    </w:rPr>
  </w:style>
  <w:style w:type="paragraph" w:customStyle="1" w:styleId="69">
    <w:name w:val="A正文"/>
    <w:basedOn w:val="1"/>
    <w:qFormat/>
    <w:uiPriority w:val="0"/>
    <w:pPr>
      <w:adjustRightInd w:val="0"/>
      <w:snapToGrid w:val="0"/>
      <w:spacing w:line="360" w:lineRule="auto"/>
      <w:ind w:firstLine="480" w:firstLineChars="200"/>
    </w:pPr>
    <w:rPr>
      <w:kern w:val="0"/>
      <w:sz w:val="24"/>
    </w:rPr>
  </w:style>
  <w:style w:type="paragraph" w:customStyle="1" w:styleId="70">
    <w:name w:val="正文修改"/>
    <w:basedOn w:val="1"/>
    <w:link w:val="119"/>
    <w:qFormat/>
    <w:uiPriority w:val="0"/>
    <w:pPr>
      <w:spacing w:line="360" w:lineRule="auto"/>
      <w:ind w:firstLine="480" w:firstLineChars="200"/>
    </w:pPr>
    <w:rPr>
      <w:kern w:val="0"/>
      <w:sz w:val="24"/>
    </w:rPr>
  </w:style>
  <w:style w:type="paragraph" w:customStyle="1" w:styleId="71">
    <w:name w:val="表格正文"/>
    <w:basedOn w:val="1"/>
    <w:qFormat/>
    <w:uiPriority w:val="0"/>
    <w:pPr>
      <w:jc w:val="center"/>
    </w:pPr>
    <w:rPr>
      <w:rFonts w:ascii="仿宋_GB2312" w:eastAsia="仿宋_GB2312"/>
      <w:sz w:val="21"/>
    </w:rPr>
  </w:style>
  <w:style w:type="paragraph" w:customStyle="1" w:styleId="72">
    <w:name w:val="Body Text First Indent"/>
    <w:basedOn w:val="12"/>
    <w:qFormat/>
    <w:uiPriority w:val="0"/>
    <w:pPr>
      <w:spacing w:after="120" w:afterLines="0"/>
      <w:ind w:firstLine="420" w:firstLineChars="100"/>
    </w:pPr>
    <w:rPr>
      <w:sz w:val="21"/>
    </w:rPr>
  </w:style>
  <w:style w:type="paragraph" w:customStyle="1" w:styleId="73">
    <w:name w:val="表格内部"/>
    <w:basedOn w:val="1"/>
    <w:qFormat/>
    <w:uiPriority w:val="0"/>
    <w:pPr>
      <w:spacing w:line="240" w:lineRule="auto"/>
      <w:ind w:firstLine="0" w:firstLineChars="0"/>
      <w:jc w:val="center"/>
    </w:pPr>
    <w:rPr>
      <w:rFonts w:ascii="Times New Roman" w:hAnsi="Times New Roman" w:eastAsia="宋体"/>
      <w:kern w:val="0"/>
      <w:sz w:val="21"/>
      <w:szCs w:val="18"/>
    </w:rPr>
  </w:style>
  <w:style w:type="paragraph" w:customStyle="1" w:styleId="74">
    <w:name w:val="样式 五号 居中"/>
    <w:basedOn w:val="1"/>
    <w:link w:val="122"/>
    <w:qFormat/>
    <w:uiPriority w:val="0"/>
    <w:pPr>
      <w:jc w:val="center"/>
    </w:pPr>
    <w:rPr>
      <w:rFonts w:cs="宋体"/>
    </w:rPr>
  </w:style>
  <w:style w:type="paragraph" w:customStyle="1" w:styleId="75">
    <w:name w:val=" Char"/>
    <w:basedOn w:val="1"/>
    <w:qFormat/>
    <w:uiPriority w:val="0"/>
    <w:rPr>
      <w:sz w:val="24"/>
      <w:szCs w:val="24"/>
    </w:rPr>
  </w:style>
  <w:style w:type="paragraph" w:customStyle="1" w:styleId="76">
    <w:name w:val="1正文"/>
    <w:basedOn w:val="1"/>
    <w:qFormat/>
    <w:uiPriority w:val="0"/>
    <w:pPr>
      <w:widowControl/>
      <w:spacing w:line="360" w:lineRule="auto"/>
      <w:ind w:firstLine="200" w:firstLineChars="200"/>
    </w:pPr>
    <w:rPr>
      <w:kern w:val="0"/>
      <w:sz w:val="24"/>
      <w:szCs w:val="20"/>
      <w:lang w:val="en-GB"/>
    </w:rPr>
  </w:style>
  <w:style w:type="paragraph" w:customStyle="1" w:styleId="77">
    <w:name w:val="zhang正文"/>
    <w:basedOn w:val="13"/>
    <w:qFormat/>
    <w:uiPriority w:val="0"/>
    <w:pPr>
      <w:autoSpaceDE w:val="0"/>
      <w:autoSpaceDN w:val="0"/>
      <w:adjustRightInd w:val="0"/>
      <w:snapToGrid w:val="0"/>
      <w:spacing w:line="500" w:lineRule="exact"/>
      <w:ind w:firstLine="539"/>
      <w:textAlignment w:val="baseline"/>
    </w:pPr>
    <w:rPr>
      <w:rFonts w:ascii="Times New Roman" w:eastAsia="楷体_GB2312"/>
      <w:kern w:val="0"/>
    </w:rPr>
  </w:style>
  <w:style w:type="paragraph" w:customStyle="1" w:styleId="78">
    <w:name w:val="正文 + 仿宋_GB2312"/>
    <w:basedOn w:val="1"/>
    <w:qFormat/>
    <w:uiPriority w:val="99"/>
    <w:pPr>
      <w:ind w:firstLine="480" w:firstLineChars="200"/>
    </w:pPr>
    <w:rPr>
      <w:rFonts w:ascii="仿宋_GB2312" w:hAnsi="Calibri" w:eastAsia="仿宋_GB2312"/>
      <w:sz w:val="24"/>
      <w:szCs w:val="22"/>
    </w:rPr>
  </w:style>
  <w:style w:type="paragraph" w:customStyle="1" w:styleId="79">
    <w:name w:val="目录22222222"/>
    <w:basedOn w:val="1"/>
    <w:qFormat/>
    <w:uiPriority w:val="0"/>
    <w:pPr>
      <w:keepNext/>
      <w:keepLines/>
      <w:spacing w:line="480" w:lineRule="exact"/>
      <w:jc w:val="left"/>
      <w:outlineLvl w:val="1"/>
    </w:pPr>
    <w:rPr>
      <w:rFonts w:ascii="Arial" w:hAnsi="Arial" w:eastAsia="黑体"/>
      <w:bCs/>
      <w:sz w:val="28"/>
      <w:szCs w:val="32"/>
    </w:rPr>
  </w:style>
  <w:style w:type="paragraph" w:customStyle="1" w:styleId="80">
    <w:name w:val="reader-word-layer reader-word-s1-1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1">
    <w:name w:val="样式1"/>
    <w:basedOn w:val="3"/>
    <w:qFormat/>
    <w:uiPriority w:val="0"/>
    <w:pPr>
      <w:spacing w:before="0" w:after="0" w:line="360" w:lineRule="auto"/>
    </w:pPr>
    <w:rPr>
      <w:sz w:val="30"/>
      <w:szCs w:val="30"/>
    </w:rPr>
  </w:style>
  <w:style w:type="paragraph" w:customStyle="1" w:styleId="82">
    <w:name w:val="表标题"/>
    <w:basedOn w:val="1"/>
    <w:link w:val="143"/>
    <w:qFormat/>
    <w:uiPriority w:val="0"/>
    <w:pPr>
      <w:adjustRightInd w:val="0"/>
      <w:snapToGrid w:val="0"/>
      <w:spacing w:line="360" w:lineRule="auto"/>
      <w:jc w:val="center"/>
    </w:pPr>
    <w:rPr>
      <w:b/>
      <w:bCs/>
      <w:kern w:val="0"/>
      <w:sz w:val="24"/>
      <w:szCs w:val="18"/>
    </w:rPr>
  </w:style>
  <w:style w:type="paragraph" w:customStyle="1" w:styleId="83">
    <w:name w:val="reader-word-layer reader-word-s1-1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4">
    <w:name w:val="表头"/>
    <w:basedOn w:val="1"/>
    <w:next w:val="1"/>
    <w:qFormat/>
    <w:uiPriority w:val="0"/>
    <w:pPr>
      <w:adjustRightInd w:val="0"/>
      <w:spacing w:line="320" w:lineRule="atLeast"/>
      <w:jc w:val="center"/>
      <w:textAlignment w:val="baseline"/>
    </w:pPr>
    <w:rPr>
      <w:rFonts w:eastAsia="黑体"/>
      <w:spacing w:val="-10"/>
      <w:kern w:val="0"/>
      <w:szCs w:val="20"/>
    </w:rPr>
  </w:style>
  <w:style w:type="paragraph" w:customStyle="1" w:styleId="85">
    <w:name w:val="p15"/>
    <w:basedOn w:val="1"/>
    <w:qFormat/>
    <w:uiPriority w:val="0"/>
    <w:pPr>
      <w:widowControl/>
      <w:jc w:val="left"/>
    </w:pPr>
    <w:rPr>
      <w:kern w:val="0"/>
      <w:sz w:val="20"/>
    </w:rPr>
  </w:style>
  <w:style w:type="paragraph" w:customStyle="1" w:styleId="86">
    <w:name w:val="表格"/>
    <w:basedOn w:val="22"/>
    <w:next w:val="73"/>
    <w:link w:val="126"/>
    <w:qFormat/>
    <w:uiPriority w:val="0"/>
    <w:pPr>
      <w:jc w:val="center"/>
    </w:pPr>
    <w:rPr>
      <w:sz w:val="24"/>
      <w:szCs w:val="24"/>
    </w:rPr>
  </w:style>
  <w:style w:type="paragraph" w:customStyle="1" w:styleId="87">
    <w:name w:val=" Char Char Char"/>
    <w:basedOn w:val="1"/>
    <w:qFormat/>
    <w:uiPriority w:val="0"/>
    <w:pPr>
      <w:adjustRightInd w:val="0"/>
      <w:spacing w:line="360" w:lineRule="auto"/>
    </w:pPr>
    <w:rPr>
      <w:kern w:val="0"/>
      <w:sz w:val="24"/>
    </w:rPr>
  </w:style>
  <w:style w:type="paragraph" w:customStyle="1" w:styleId="88">
    <w:name w:val="表格内"/>
    <w:basedOn w:val="1"/>
    <w:qFormat/>
    <w:uiPriority w:val="0"/>
    <w:pPr>
      <w:adjustRightInd w:val="0"/>
      <w:spacing w:line="240" w:lineRule="atLeast"/>
      <w:jc w:val="center"/>
      <w:textAlignment w:val="baseline"/>
    </w:pPr>
    <w:rPr>
      <w:rFonts w:ascii="宋体"/>
      <w:kern w:val="0"/>
      <w:sz w:val="28"/>
      <w:szCs w:val="20"/>
      <w:lang w:val="en-US" w:eastAsia="zh-CN"/>
    </w:rPr>
  </w:style>
  <w:style w:type="paragraph" w:customStyle="1" w:styleId="89">
    <w:name w:val="表格内容自定"/>
    <w:basedOn w:val="1"/>
    <w:qFormat/>
    <w:uiPriority w:val="0"/>
    <w:pPr>
      <w:spacing w:line="280" w:lineRule="exact"/>
      <w:jc w:val="center"/>
    </w:pPr>
    <w:rPr>
      <w:kern w:val="0"/>
      <w:sz w:val="18"/>
      <w:szCs w:val="21"/>
    </w:rPr>
  </w:style>
  <w:style w:type="paragraph" w:customStyle="1" w:styleId="90">
    <w:name w:val="正文首行缩进 2 + Times New Roman"/>
    <w:basedOn w:val="1"/>
    <w:qFormat/>
    <w:uiPriority w:val="0"/>
    <w:pPr>
      <w:tabs>
        <w:tab w:val="left" w:pos="0"/>
        <w:tab w:val="left" w:pos="870"/>
        <w:tab w:val="left" w:pos="3150"/>
      </w:tabs>
      <w:autoSpaceDE w:val="0"/>
      <w:autoSpaceDN w:val="0"/>
      <w:spacing w:line="360" w:lineRule="auto"/>
      <w:ind w:firstLine="480" w:firstLineChars="200"/>
      <w:jc w:val="left"/>
    </w:pPr>
    <w:rPr>
      <w:kern w:val="0"/>
      <w:sz w:val="24"/>
      <w:szCs w:val="24"/>
    </w:rPr>
  </w:style>
  <w:style w:type="paragraph" w:customStyle="1" w:styleId="91">
    <w:name w:val="列出段落1"/>
    <w:basedOn w:val="1"/>
    <w:qFormat/>
    <w:uiPriority w:val="0"/>
    <w:pPr>
      <w:ind w:firstLine="420" w:firstLineChars="200"/>
    </w:pPr>
  </w:style>
  <w:style w:type="paragraph" w:customStyle="1" w:styleId="92">
    <w:name w:val="Lux 正文"/>
    <w:basedOn w:val="1"/>
    <w:qFormat/>
    <w:uiPriority w:val="0"/>
    <w:pPr>
      <w:ind w:firstLine="200"/>
    </w:pPr>
    <w:rPr>
      <w:kern w:val="0"/>
      <w:szCs w:val="20"/>
    </w:rPr>
  </w:style>
  <w:style w:type="paragraph" w:customStyle="1" w:styleId="93">
    <w:name w:val="1表格"/>
    <w:basedOn w:val="1"/>
    <w:qFormat/>
    <w:uiPriority w:val="0"/>
    <w:pPr>
      <w:snapToGrid w:val="0"/>
      <w:jc w:val="center"/>
    </w:pPr>
    <w:rPr>
      <w:rFonts w:eastAsia="楷体_GB2312"/>
    </w:rPr>
  </w:style>
  <w:style w:type="paragraph" w:customStyle="1" w:styleId="94">
    <w:name w:val="正文样式1"/>
    <w:basedOn w:val="1"/>
    <w:qFormat/>
    <w:uiPriority w:val="0"/>
    <w:pPr>
      <w:adjustRightInd w:val="0"/>
      <w:spacing w:beforeLines="10" w:afterLines="10" w:line="312" w:lineRule="auto"/>
      <w:ind w:firstLine="200" w:firstLineChars="200"/>
      <w:textAlignment w:val="baseline"/>
    </w:pPr>
    <w:rPr>
      <w:snapToGrid w:val="0"/>
      <w:position w:val="-12"/>
      <w:sz w:val="24"/>
      <w:szCs w:val="20"/>
    </w:rPr>
  </w:style>
  <w:style w:type="paragraph" w:customStyle="1" w:styleId="95">
    <w:name w:val="样式35"/>
    <w:basedOn w:val="1"/>
    <w:qFormat/>
    <w:uiPriority w:val="0"/>
    <w:pPr>
      <w:adjustRightInd w:val="0"/>
      <w:spacing w:line="312" w:lineRule="auto"/>
      <w:ind w:firstLine="567"/>
    </w:pPr>
    <w:rPr>
      <w:rFonts w:ascii="宋体" w:hAnsi="Calibri" w:eastAsia="宋体" w:cs="Times New Roman"/>
      <w:kern w:val="0"/>
      <w:sz w:val="28"/>
      <w:szCs w:val="24"/>
    </w:rPr>
  </w:style>
  <w:style w:type="paragraph" w:customStyle="1" w:styleId="96">
    <w:name w:val="默认段落字体 Para Char Char Char Char"/>
    <w:basedOn w:val="1"/>
    <w:qFormat/>
    <w:uiPriority w:val="0"/>
    <w:pPr>
      <w:spacing w:beforeLines="100" w:afterLines="50" w:line="600" w:lineRule="exact"/>
      <w:ind w:firstLine="200" w:firstLineChars="200"/>
    </w:pPr>
    <w:rPr>
      <w:rFonts w:eastAsia="黑体"/>
      <w:sz w:val="28"/>
      <w:szCs w:val="24"/>
    </w:rPr>
  </w:style>
  <w:style w:type="paragraph" w:customStyle="1" w:styleId="97">
    <w:name w:val="表中文字"/>
    <w:basedOn w:val="1"/>
    <w:qFormat/>
    <w:uiPriority w:val="0"/>
    <w:pPr>
      <w:spacing w:line="300" w:lineRule="exact"/>
      <w:jc w:val="center"/>
    </w:pPr>
    <w:rPr>
      <w:rFonts w:ascii="宋体" w:hAnsi="宋体" w:cs="宋体"/>
      <w:b/>
      <w:color w:val="000000"/>
      <w:spacing w:val="4"/>
      <w:szCs w:val="24"/>
    </w:rPr>
  </w:style>
  <w:style w:type="paragraph" w:customStyle="1" w:styleId="98">
    <w:name w:val="正文B"/>
    <w:basedOn w:val="1"/>
    <w:qFormat/>
    <w:uiPriority w:val="0"/>
    <w:pPr>
      <w:spacing w:line="500" w:lineRule="exact"/>
      <w:ind w:firstLine="480" w:firstLineChars="200"/>
    </w:pPr>
    <w:rPr>
      <w:rFonts w:ascii="宋体" w:hAnsi="宋体" w:cs="宋体"/>
      <w:sz w:val="24"/>
    </w:rPr>
  </w:style>
  <w:style w:type="paragraph" w:customStyle="1" w:styleId="99">
    <w:name w:val="表格文字"/>
    <w:basedOn w:val="1"/>
    <w:qFormat/>
    <w:uiPriority w:val="0"/>
    <w:pPr>
      <w:jc w:val="center"/>
    </w:pPr>
    <w:rPr>
      <w:rFonts w:ascii="仿宋_GB2312" w:hAnsi="Arial Black" w:eastAsia="仿宋_GB2312"/>
      <w:kern w:val="44"/>
      <w:sz w:val="24"/>
    </w:rPr>
  </w:style>
  <w:style w:type="paragraph" w:customStyle="1" w:styleId="100">
    <w:name w:val="MFS单位3"/>
    <w:basedOn w:val="1"/>
    <w:link w:val="117"/>
    <w:qFormat/>
    <w:uiPriority w:val="0"/>
    <w:pPr>
      <w:tabs>
        <w:tab w:val="left" w:pos="780"/>
      </w:tabs>
      <w:jc w:val="right"/>
    </w:pPr>
    <w:rPr>
      <w:rFonts w:eastAsia="楷体_GB2312"/>
      <w:sz w:val="18"/>
      <w:szCs w:val="18"/>
    </w:rPr>
  </w:style>
  <w:style w:type="paragraph" w:customStyle="1" w:styleId="101">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rPr>
  </w:style>
  <w:style w:type="paragraph" w:customStyle="1" w:styleId="102">
    <w:name w:val="æ­￡æ–‡ç¼©è¿›"/>
    <w:basedOn w:val="1"/>
    <w:unhideWhenUsed/>
    <w:qFormat/>
    <w:uiPriority w:val="0"/>
    <w:pPr>
      <w:spacing w:line="440" w:lineRule="exact"/>
      <w:ind w:firstLine="420"/>
    </w:pPr>
    <w:rPr>
      <w:rFonts w:hint="eastAsia" w:ascii="Times New Roman" w:hAnsi="Times New Roman"/>
      <w:sz w:val="24"/>
    </w:rPr>
  </w:style>
  <w:style w:type="paragraph" w:customStyle="1" w:styleId="103">
    <w:name w:val="hhcwt正文"/>
    <w:basedOn w:val="1"/>
    <w:link w:val="112"/>
    <w:qFormat/>
    <w:uiPriority w:val="0"/>
    <w:pPr>
      <w:spacing w:line="360" w:lineRule="auto"/>
      <w:ind w:firstLine="480" w:firstLineChars="200"/>
    </w:pPr>
    <w:rPr>
      <w:sz w:val="24"/>
    </w:rPr>
  </w:style>
  <w:style w:type="paragraph" w:customStyle="1" w:styleId="104">
    <w:name w:val="表内文字"/>
    <w:basedOn w:val="1"/>
    <w:qFormat/>
    <w:uiPriority w:val="0"/>
    <w:pPr>
      <w:adjustRightInd w:val="0"/>
      <w:spacing w:line="240" w:lineRule="auto"/>
      <w:ind w:firstLine="0" w:firstLineChars="0"/>
      <w:jc w:val="center"/>
      <w:textAlignment w:val="baseline"/>
    </w:pPr>
    <w:rPr>
      <w:sz w:val="21"/>
      <w:szCs w:val="20"/>
    </w:rPr>
  </w:style>
  <w:style w:type="paragraph" w:customStyle="1" w:styleId="105">
    <w:name w:val="_Style 16"/>
    <w:basedOn w:val="1"/>
    <w:qFormat/>
    <w:uiPriority w:val="0"/>
    <w:rPr>
      <w:sz w:val="24"/>
      <w:szCs w:val="24"/>
    </w:rPr>
  </w:style>
  <w:style w:type="paragraph" w:customStyle="1" w:styleId="106">
    <w:name w:val="居中正文"/>
    <w:basedOn w:val="27"/>
    <w:qFormat/>
    <w:uiPriority w:val="0"/>
    <w:pPr>
      <w:adjustRightInd w:val="0"/>
      <w:spacing w:before="120" w:after="0" w:line="360" w:lineRule="auto"/>
      <w:ind w:firstLine="0" w:firstLineChars="0"/>
      <w:jc w:val="center"/>
    </w:pPr>
    <w:rPr>
      <w:rFonts w:hint="eastAsia" w:ascii="宋体"/>
      <w:kern w:val="28"/>
      <w:sz w:val="24"/>
    </w:rPr>
  </w:style>
  <w:style w:type="paragraph" w:customStyle="1" w:styleId="107">
    <w:name w:val="表内格式"/>
    <w:basedOn w:val="1"/>
    <w:qFormat/>
    <w:uiPriority w:val="0"/>
    <w:pPr>
      <w:jc w:val="center"/>
    </w:pPr>
    <w:rPr>
      <w:sz w:val="18"/>
      <w:szCs w:val="20"/>
    </w:rPr>
  </w:style>
  <w:style w:type="paragraph" w:customStyle="1" w:styleId="108">
    <w:name w:val="正文－1.5行距－段后6磅"/>
    <w:basedOn w:val="1"/>
    <w:link w:val="139"/>
    <w:qFormat/>
    <w:uiPriority w:val="0"/>
    <w:pPr>
      <w:spacing w:after="120" w:line="360" w:lineRule="auto"/>
      <w:ind w:firstLine="200" w:firstLineChars="200"/>
    </w:pPr>
    <w:rPr>
      <w:sz w:val="24"/>
      <w:szCs w:val="21"/>
    </w:rPr>
  </w:style>
  <w:style w:type="paragraph" w:customStyle="1" w:styleId="109">
    <w:name w:val="_Style 19"/>
    <w:basedOn w:val="1"/>
    <w:qFormat/>
    <w:uiPriority w:val="0"/>
    <w:pPr>
      <w:ind w:firstLine="420" w:firstLineChars="200"/>
    </w:pPr>
    <w:rPr>
      <w:kern w:val="0"/>
      <w:sz w:val="24"/>
    </w:rPr>
  </w:style>
  <w:style w:type="paragraph" w:customStyle="1" w:styleId="110">
    <w:name w:val=" Char1"/>
    <w:basedOn w:val="1"/>
    <w:next w:val="1"/>
    <w:semiHidden/>
    <w:qFormat/>
    <w:uiPriority w:val="0"/>
    <w:pPr>
      <w:spacing w:line="360" w:lineRule="auto"/>
      <w:ind w:firstLine="200" w:firstLineChars="200"/>
    </w:pPr>
    <w:rPr>
      <w:rFonts w:ascii="宋体" w:hAnsi="宋体" w:cs="宋体"/>
      <w:sz w:val="24"/>
      <w:szCs w:val="24"/>
    </w:rPr>
  </w:style>
  <w:style w:type="character" w:customStyle="1" w:styleId="111">
    <w:name w:val="aar_9ptcopy1"/>
    <w:qFormat/>
    <w:uiPriority w:val="0"/>
    <w:rPr>
      <w:rFonts w:ascii="??" w:hAnsi="??" w:cs="Times New Roman"/>
      <w:sz w:val="18"/>
      <w:szCs w:val="18"/>
    </w:rPr>
  </w:style>
  <w:style w:type="character" w:customStyle="1" w:styleId="112">
    <w:name w:val="hhcwt正文 Char Char"/>
    <w:link w:val="103"/>
    <w:qFormat/>
    <w:uiPriority w:val="0"/>
    <w:rPr>
      <w:rFonts w:cs="宋体"/>
      <w:kern w:val="2"/>
      <w:sz w:val="24"/>
    </w:rPr>
  </w:style>
  <w:style w:type="character" w:customStyle="1" w:styleId="113">
    <w:name w:val="1正文段落 Char"/>
    <w:link w:val="52"/>
    <w:qFormat/>
    <w:locked/>
    <w:uiPriority w:val="0"/>
    <w:rPr>
      <w:rFonts w:ascii="Calibri" w:hAnsi="Calibri"/>
      <w:sz w:val="24"/>
      <w:szCs w:val="24"/>
    </w:rPr>
  </w:style>
  <w:style w:type="character" w:customStyle="1" w:styleId="114">
    <w:name w:val="样式 样式 样式 小四 灰色-80% 左侧:  0.16 厘米 行距: 固定值 20 磅 + 宋体 首行缩进:  2 字符 + ... Char"/>
    <w:link w:val="66"/>
    <w:qFormat/>
    <w:uiPriority w:val="0"/>
    <w:rPr>
      <w:rFonts w:ascii="宋体" w:hAnsi="宋体" w:eastAsia="宋体" w:cs="宋体"/>
      <w:color w:val="333333"/>
      <w:kern w:val="2"/>
      <w:sz w:val="24"/>
      <w:lang w:val="en-US" w:eastAsia="zh-CN" w:bidi="ar-SA"/>
    </w:rPr>
  </w:style>
  <w:style w:type="character" w:customStyle="1" w:styleId="115">
    <w:name w:val="样式 四号"/>
    <w:qFormat/>
    <w:uiPriority w:val="0"/>
    <w:rPr>
      <w:sz w:val="24"/>
      <w:szCs w:val="20"/>
    </w:rPr>
  </w:style>
  <w:style w:type="character" w:customStyle="1" w:styleId="116">
    <w:name w:val="font21"/>
    <w:basedOn w:val="32"/>
    <w:qFormat/>
    <w:uiPriority w:val="0"/>
    <w:rPr>
      <w:rFonts w:hint="default" w:ascii="Times New Roman" w:hAnsi="Times New Roman" w:cs="Times New Roman"/>
      <w:color w:val="000000"/>
      <w:sz w:val="21"/>
      <w:szCs w:val="21"/>
      <w:u w:val="none"/>
    </w:rPr>
  </w:style>
  <w:style w:type="character" w:customStyle="1" w:styleId="117">
    <w:name w:val="MFS单位3 Char Char"/>
    <w:link w:val="100"/>
    <w:qFormat/>
    <w:uiPriority w:val="0"/>
    <w:rPr>
      <w:rFonts w:eastAsia="楷体_GB2312"/>
      <w:kern w:val="2"/>
      <w:sz w:val="18"/>
      <w:szCs w:val="18"/>
    </w:rPr>
  </w:style>
  <w:style w:type="character" w:customStyle="1" w:styleId="118">
    <w:name w:val="表格hy Char"/>
    <w:link w:val="68"/>
    <w:qFormat/>
    <w:uiPriority w:val="0"/>
    <w:rPr>
      <w:rFonts w:ascii="楷体_GB2312" w:eastAsia="楷体_GB2312"/>
      <w:color w:val="000000"/>
      <w:kern w:val="2"/>
      <w:sz w:val="21"/>
      <w:szCs w:val="22"/>
    </w:rPr>
  </w:style>
  <w:style w:type="character" w:customStyle="1" w:styleId="119">
    <w:name w:val="正文修改 Char"/>
    <w:link w:val="70"/>
    <w:qFormat/>
    <w:uiPriority w:val="0"/>
    <w:rPr>
      <w:rFonts w:cs="宋体"/>
      <w:sz w:val="24"/>
    </w:rPr>
  </w:style>
  <w:style w:type="character" w:customStyle="1" w:styleId="120">
    <w:name w:val="标题 4 Char"/>
    <w:link w:val="6"/>
    <w:qFormat/>
    <w:uiPriority w:val="0"/>
    <w:rPr>
      <w:rFonts w:eastAsia="宋体"/>
      <w:b/>
      <w:bCs/>
      <w:kern w:val="2"/>
      <w:sz w:val="24"/>
      <w:szCs w:val="28"/>
      <w:lang w:val="en-US" w:eastAsia="zh-CN" w:bidi="ar-SA"/>
    </w:rPr>
  </w:style>
  <w:style w:type="character" w:customStyle="1" w:styleId="121">
    <w:name w:val="font01"/>
    <w:basedOn w:val="32"/>
    <w:qFormat/>
    <w:uiPriority w:val="0"/>
    <w:rPr>
      <w:rFonts w:hint="default" w:ascii="Times New Roman" w:hAnsi="Times New Roman" w:cs="Times New Roman"/>
      <w:color w:val="000000"/>
      <w:sz w:val="21"/>
      <w:szCs w:val="21"/>
      <w:u w:val="none"/>
      <w:vertAlign w:val="superscript"/>
    </w:rPr>
  </w:style>
  <w:style w:type="character" w:customStyle="1" w:styleId="122">
    <w:name w:val="样式 五号 居中 Char"/>
    <w:link w:val="74"/>
    <w:qFormat/>
    <w:uiPriority w:val="0"/>
    <w:rPr>
      <w:rFonts w:eastAsia="宋体" w:cs="宋体"/>
      <w:kern w:val="2"/>
      <w:sz w:val="21"/>
      <w:lang w:val="en-US" w:eastAsia="zh-CN" w:bidi="ar-SA"/>
    </w:rPr>
  </w:style>
  <w:style w:type="character" w:customStyle="1" w:styleId="123">
    <w:name w:val="keyword1"/>
    <w:qFormat/>
    <w:uiPriority w:val="0"/>
    <w:rPr>
      <w:color w:val="FF0000"/>
    </w:rPr>
  </w:style>
  <w:style w:type="character" w:customStyle="1" w:styleId="124">
    <w:name w:val="表格 Char"/>
    <w:qFormat/>
    <w:locked/>
    <w:uiPriority w:val="99"/>
    <w:rPr>
      <w:rFonts w:ascii="宋体" w:eastAsia="仿宋_GB2312" w:cs="Times New Roman"/>
      <w:snapToGrid/>
      <w:spacing w:val="4"/>
      <w:sz w:val="24"/>
      <w:szCs w:val="24"/>
    </w:rPr>
  </w:style>
  <w:style w:type="character" w:customStyle="1" w:styleId="125">
    <w:name w:val="标题 4 字符"/>
    <w:qFormat/>
    <w:uiPriority w:val="0"/>
    <w:rPr>
      <w:rFonts w:eastAsia="黑体"/>
      <w:bCs/>
      <w:sz w:val="24"/>
    </w:rPr>
  </w:style>
  <w:style w:type="character" w:customStyle="1" w:styleId="126">
    <w:name w:val="表格 Char1"/>
    <w:link w:val="86"/>
    <w:qFormat/>
    <w:uiPriority w:val="0"/>
    <w:rPr>
      <w:rFonts w:eastAsia="宋体"/>
      <w:kern w:val="2"/>
      <w:sz w:val="24"/>
      <w:szCs w:val="24"/>
      <w:lang w:val="en-US" w:eastAsia="zh-CN" w:bidi="ar-SA"/>
    </w:rPr>
  </w:style>
  <w:style w:type="character" w:customStyle="1" w:styleId="127">
    <w:name w:val="标题 2 Char"/>
    <w:link w:val="4"/>
    <w:qFormat/>
    <w:uiPriority w:val="0"/>
    <w:rPr>
      <w:rFonts w:ascii="Arial" w:hAnsi="Arial" w:eastAsia="黑体"/>
      <w:bCs/>
      <w:sz w:val="24"/>
    </w:rPr>
  </w:style>
  <w:style w:type="character" w:customStyle="1" w:styleId="128">
    <w:name w:val="f151"/>
    <w:qFormat/>
    <w:uiPriority w:val="0"/>
    <w:rPr>
      <w:sz w:val="23"/>
      <w:szCs w:val="23"/>
    </w:rPr>
  </w:style>
  <w:style w:type="character" w:customStyle="1" w:styleId="129">
    <w:name w:val="标题 1 Char"/>
    <w:link w:val="3"/>
    <w:qFormat/>
    <w:uiPriority w:val="0"/>
    <w:rPr>
      <w:b/>
      <w:bCs/>
      <w:kern w:val="44"/>
      <w:sz w:val="30"/>
      <w:szCs w:val="30"/>
    </w:rPr>
  </w:style>
  <w:style w:type="character" w:customStyle="1" w:styleId="130">
    <w:name w:val="页脚 Char"/>
    <w:link w:val="19"/>
    <w:qFormat/>
    <w:uiPriority w:val="0"/>
    <w:rPr>
      <w:kern w:val="2"/>
      <w:sz w:val="18"/>
      <w:szCs w:val="18"/>
    </w:rPr>
  </w:style>
  <w:style w:type="character" w:customStyle="1" w:styleId="131">
    <w:name w:val="页眉 Char"/>
    <w:link w:val="20"/>
    <w:qFormat/>
    <w:uiPriority w:val="0"/>
    <w:rPr>
      <w:kern w:val="2"/>
      <w:sz w:val="18"/>
      <w:szCs w:val="18"/>
    </w:rPr>
  </w:style>
  <w:style w:type="character" w:customStyle="1" w:styleId="132">
    <w:name w:val="正文文本缩进 Char"/>
    <w:link w:val="13"/>
    <w:qFormat/>
    <w:uiPriority w:val="0"/>
    <w:rPr>
      <w:rFonts w:ascii="宋体" w:eastAsia="宋体"/>
      <w:kern w:val="2"/>
      <w:sz w:val="28"/>
      <w:lang w:val="en-US" w:eastAsia="zh-CN" w:bidi="ar-SA"/>
    </w:rPr>
  </w:style>
  <w:style w:type="character" w:customStyle="1" w:styleId="133">
    <w:name w:val="font31"/>
    <w:qFormat/>
    <w:uiPriority w:val="0"/>
    <w:rPr>
      <w:rFonts w:hint="eastAsia" w:ascii="宋体" w:hAnsi="宋体" w:eastAsia="宋体" w:cs="宋体"/>
      <w:color w:val="000000"/>
      <w:sz w:val="21"/>
      <w:szCs w:val="21"/>
      <w:u w:val="none"/>
    </w:rPr>
  </w:style>
  <w:style w:type="character" w:customStyle="1" w:styleId="134">
    <w:name w:val="纯文本 Char"/>
    <w:link w:val="16"/>
    <w:qFormat/>
    <w:uiPriority w:val="0"/>
    <w:rPr>
      <w:rFonts w:ascii="宋体" w:hAnsi="Courier New" w:eastAsia="宋体" w:cs="Courier New"/>
      <w:kern w:val="2"/>
      <w:sz w:val="21"/>
      <w:szCs w:val="21"/>
      <w:lang w:val="en-US" w:eastAsia="zh-CN" w:bidi="ar-SA"/>
    </w:rPr>
  </w:style>
  <w:style w:type="character" w:customStyle="1" w:styleId="135">
    <w:name w:val="正文缩进 Char"/>
    <w:link w:val="7"/>
    <w:qFormat/>
    <w:uiPriority w:val="0"/>
    <w:rPr>
      <w:rFonts w:eastAsia="宋体"/>
      <w:kern w:val="2"/>
      <w:sz w:val="21"/>
      <w:lang w:val="en-US" w:eastAsia="zh-CN" w:bidi="ar-SA"/>
    </w:rPr>
  </w:style>
  <w:style w:type="character" w:customStyle="1" w:styleId="136">
    <w:name w:val="font51"/>
    <w:qFormat/>
    <w:uiPriority w:val="0"/>
    <w:rPr>
      <w:rFonts w:hint="eastAsia" w:ascii="宋体" w:hAnsi="宋体" w:eastAsia="宋体" w:cs="宋体"/>
      <w:color w:val="000000"/>
      <w:sz w:val="21"/>
      <w:szCs w:val="21"/>
      <w:u w:val="none"/>
      <w:vertAlign w:val="superscript"/>
    </w:rPr>
  </w:style>
  <w:style w:type="character" w:customStyle="1" w:styleId="137">
    <w:name w:val="样式2 Char"/>
    <w:link w:val="48"/>
    <w:qFormat/>
    <w:uiPriority w:val="0"/>
    <w:rPr>
      <w:rFonts w:eastAsia="宋体"/>
      <w:kern w:val="2"/>
      <w:sz w:val="24"/>
      <w:szCs w:val="24"/>
      <w:lang w:val="en-US" w:eastAsia="zh-CN" w:bidi="ar-SA"/>
    </w:rPr>
  </w:style>
  <w:style w:type="character" w:customStyle="1" w:styleId="138">
    <w:name w:val="font11"/>
    <w:qFormat/>
    <w:uiPriority w:val="0"/>
    <w:rPr>
      <w:rFonts w:hint="default" w:ascii="Times New Roman" w:hAnsi="Times New Roman" w:cs="Times New Roman"/>
      <w:color w:val="000000"/>
      <w:sz w:val="21"/>
      <w:szCs w:val="21"/>
      <w:u w:val="none"/>
      <w:vertAlign w:val="superscript"/>
    </w:rPr>
  </w:style>
  <w:style w:type="character" w:customStyle="1" w:styleId="139">
    <w:name w:val="正文－1.5行距－段后6磅 Char"/>
    <w:link w:val="108"/>
    <w:qFormat/>
    <w:uiPriority w:val="0"/>
    <w:rPr>
      <w:rFonts w:ascii="Calibri" w:hAnsi="Calibri" w:eastAsia="宋体"/>
      <w:kern w:val="2"/>
      <w:sz w:val="24"/>
      <w:szCs w:val="21"/>
      <w:lang w:val="en-US" w:eastAsia="zh-CN" w:bidi="ar-SA"/>
    </w:rPr>
  </w:style>
  <w:style w:type="character" w:customStyle="1" w:styleId="140">
    <w:name w:val="su04"/>
    <w:basedOn w:val="32"/>
    <w:qFormat/>
    <w:uiPriority w:val="0"/>
  </w:style>
  <w:style w:type="character" w:customStyle="1" w:styleId="141">
    <w:name w:val="gray s"/>
    <w:basedOn w:val="32"/>
    <w:qFormat/>
    <w:uiPriority w:val="0"/>
  </w:style>
  <w:style w:type="character" w:customStyle="1" w:styleId="142">
    <w:name w:val="报告表  段 Char"/>
    <w:link w:val="61"/>
    <w:qFormat/>
    <w:uiPriority w:val="0"/>
    <w:rPr>
      <w:rFonts w:ascii="宋体"/>
      <w:sz w:val="24"/>
    </w:rPr>
  </w:style>
  <w:style w:type="character" w:customStyle="1" w:styleId="143">
    <w:name w:val="表标题 Char"/>
    <w:link w:val="82"/>
    <w:qFormat/>
    <w:uiPriority w:val="0"/>
    <w:rPr>
      <w:b/>
      <w:bCs/>
      <w:sz w:val="24"/>
      <w:szCs w:val="18"/>
    </w:rPr>
  </w:style>
  <w:style w:type="character" w:customStyle="1" w:styleId="144">
    <w:name w:val="style1"/>
    <w:qFormat/>
    <w:uiPriority w:val="0"/>
    <w:rPr>
      <w:rFonts w:hint="default" w:ascii="Arial" w:hAnsi="Arial" w:cs="Arial"/>
      <w:sz w:val="18"/>
      <w:szCs w:val="18"/>
    </w:rPr>
  </w:style>
  <w:style w:type="table" w:customStyle="1" w:styleId="145">
    <w:name w:val="Table Normal"/>
    <w:unhideWhenUsed/>
    <w:qFormat/>
    <w:uiPriority w:val="2"/>
    <w:pPr>
      <w:widowControl w:val="0"/>
    </w:pPr>
    <w:rPr>
      <w:sz w:val="22"/>
      <w:szCs w:val="22"/>
      <w:lang w:val="en-US" w:eastAsia="en-US"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2050"/>
  </customShpExts>
  <extobjs>
    <extobj name="ECB019B1-382A-4266-B25C-5B523AA43C14-1">
      <extobjdata type="ECB019B1-382A-4266-B25C-5B523AA43C14" data="ewogICAiRmlsZUlkIiA6ICI1NTgwMTM1OTk1MSIsCiAgICJHcm91cElkIiA6ICI0NjcxNjIwNjkiLAogICAiSW1hZ2UiIDogImlWQk9SdzBLR2dvQUFBQU5TVWhFVWdBQUJBd0FBQUhsQ0FZQUFBQnhrRzZiQUFBQUNYQklXWE1BQUFzVEFBQUxFd0VBbXB3WUFBQWdBRWxFUVZSNG5PemRlVnhWZGY3SDhmYzViQUtDb0pJTGhvYVl1U1J5VVZ2TXNXVnNzYlJOeTVsU1M4M1NLY2xKS3l1bnNzWFdLYTBzZDBzZHk5SitwYU9aVG1HVGFTYUlKcExsdnFNaUFzck9QYjgva0R2QXZhd2lpN3llajRlUHVOL3pQZWQrRDMyNTk1elArWDQvWHd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3FIL0QreDZCTGJrZlE1bkFBQUFBRWxGVGtTdVFtQ0MiLAogICAiVHlwZSIgOiAiZmxvdyIsCiAgICJWZXJzaW9uIiA6ICI0Ny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73</Pages>
  <Words>36547</Words>
  <Characters>43926</Characters>
  <Lines>473</Lines>
  <Paragraphs>133</Paragraphs>
  <TotalTime>12</TotalTime>
  <ScaleCrop>false</ScaleCrop>
  <LinksUpToDate>false</LinksUpToDate>
  <CharactersWithSpaces>44729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2019-10-16T06:03:00Z</dcterms:created>
  <dc:creator>jason</dc:creator>
  <cp:lastModifiedBy>Kecy</cp:lastModifiedBy>
  <cp:lastPrinted>2020-11-27T01:10:00Z</cp:lastPrinted>
  <dcterms:modified xsi:type="dcterms:W3CDTF">2020-11-27T03:01:52Z</dcterms:modified>
  <dc:title>BBHKSHF/HPBWH001-2007</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