
<file path=[Content_Types].xml><?xml version="1.0" encoding="utf-8"?>
<Types xmlns="http://schemas.openxmlformats.org/package/2006/content-types">
  <Default Extension="xml" ContentType="application/xml"/>
  <Default Extension="bin" ContentType="application/vnd.openxmlformats-officedocument.oleObject"/>
  <Default Extension="emf" ContentType="image/x-emf"/>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spacing w:line="360" w:lineRule="auto"/>
        <w:jc w:val="center"/>
        <w:rPr>
          <w:b/>
          <w:bCs/>
          <w:spacing w:val="20"/>
          <w:sz w:val="52"/>
        </w:rPr>
      </w:pPr>
    </w:p>
    <w:p>
      <w:pPr>
        <w:snapToGrid w:val="0"/>
        <w:spacing w:line="360" w:lineRule="auto"/>
        <w:rPr>
          <w:b/>
          <w:bCs/>
          <w:spacing w:val="20"/>
          <w:sz w:val="52"/>
        </w:rPr>
      </w:pPr>
      <w:r>
        <w:rPr>
          <w:rFonts w:hint="eastAsia"/>
          <w:b/>
          <w:bCs/>
          <w:spacing w:val="20"/>
          <w:sz w:val="52"/>
        </w:rPr>
        <w:t xml:space="preserve"> </w:t>
      </w:r>
      <w:r>
        <w:rPr>
          <w:b/>
          <w:bCs/>
          <w:spacing w:val="20"/>
          <w:sz w:val="52"/>
        </w:rPr>
        <w:t xml:space="preserve">              </w:t>
      </w:r>
    </w:p>
    <w:p>
      <w:pPr>
        <w:snapToGrid w:val="0"/>
        <w:spacing w:line="360" w:lineRule="auto"/>
        <w:jc w:val="center"/>
        <w:rPr>
          <w:rFonts w:hint="default"/>
          <w:b/>
          <w:bCs/>
          <w:spacing w:val="20"/>
          <w:sz w:val="52"/>
          <w:szCs w:val="52"/>
          <w:lang w:val="en-US" w:eastAsia="zh-CN"/>
        </w:rPr>
      </w:pPr>
      <w:r>
        <w:rPr>
          <w:rFonts w:hint="eastAsia"/>
          <w:b/>
          <w:bCs/>
          <w:spacing w:val="20"/>
          <w:sz w:val="52"/>
          <w:szCs w:val="52"/>
          <w:lang w:eastAsia="zh-CN"/>
        </w:rPr>
        <w:t>压铸缸体技术改造升级项目</w:t>
      </w:r>
    </w:p>
    <w:p>
      <w:pPr>
        <w:snapToGrid w:val="0"/>
        <w:spacing w:line="360" w:lineRule="auto"/>
        <w:jc w:val="center"/>
        <w:rPr>
          <w:b/>
          <w:bCs/>
          <w:spacing w:val="20"/>
          <w:sz w:val="52"/>
          <w:szCs w:val="52"/>
        </w:rPr>
      </w:pPr>
      <w:r>
        <w:rPr>
          <w:rFonts w:hint="eastAsia"/>
          <w:b/>
          <w:bCs/>
          <w:spacing w:val="20"/>
          <w:sz w:val="52"/>
          <w:szCs w:val="52"/>
          <w:lang w:val="en-US" w:eastAsia="zh-CN"/>
        </w:rPr>
        <w:t>阶段性</w:t>
      </w:r>
      <w:r>
        <w:rPr>
          <w:b/>
          <w:bCs/>
          <w:spacing w:val="20"/>
          <w:sz w:val="52"/>
          <w:szCs w:val="52"/>
        </w:rPr>
        <w:t>竣工环境保护验收</w:t>
      </w:r>
      <w:r>
        <w:rPr>
          <w:rFonts w:hint="eastAsia"/>
          <w:b/>
          <w:bCs/>
          <w:spacing w:val="20"/>
          <w:sz w:val="52"/>
          <w:szCs w:val="52"/>
        </w:rPr>
        <w:t>监测报告表</w:t>
      </w:r>
    </w:p>
    <w:p>
      <w:pPr>
        <w:snapToGrid w:val="0"/>
        <w:spacing w:line="360" w:lineRule="auto"/>
        <w:jc w:val="center"/>
        <w:rPr>
          <w:b/>
          <w:bCs/>
          <w:spacing w:val="20"/>
          <w:sz w:val="52"/>
          <w:szCs w:val="52"/>
        </w:rPr>
      </w:pPr>
    </w:p>
    <w:p>
      <w:pPr>
        <w:snapToGrid w:val="0"/>
        <w:spacing w:line="360" w:lineRule="auto"/>
        <w:jc w:val="center"/>
        <w:rPr>
          <w:b/>
          <w:bCs/>
          <w:spacing w:val="20"/>
          <w:sz w:val="52"/>
          <w:szCs w:val="52"/>
        </w:rPr>
      </w:pPr>
    </w:p>
    <w:p>
      <w:pPr>
        <w:snapToGrid w:val="0"/>
        <w:spacing w:line="360" w:lineRule="auto"/>
        <w:jc w:val="center"/>
        <w:rPr>
          <w:b/>
          <w:bCs/>
          <w:spacing w:val="20"/>
          <w:sz w:val="52"/>
          <w:szCs w:val="52"/>
        </w:rPr>
      </w:pPr>
    </w:p>
    <w:p>
      <w:pPr>
        <w:snapToGrid w:val="0"/>
        <w:spacing w:line="360" w:lineRule="auto"/>
        <w:rPr>
          <w:b/>
          <w:bCs/>
          <w:spacing w:val="20"/>
          <w:sz w:val="52"/>
          <w:szCs w:val="52"/>
        </w:rPr>
      </w:pPr>
    </w:p>
    <w:p>
      <w:pPr>
        <w:snapToGrid w:val="0"/>
        <w:spacing w:line="360" w:lineRule="auto"/>
        <w:rPr>
          <w:b/>
          <w:bCs/>
          <w:spacing w:val="20"/>
          <w:sz w:val="52"/>
          <w:szCs w:val="52"/>
        </w:rPr>
      </w:pPr>
    </w:p>
    <w:p>
      <w:pPr>
        <w:snapToGrid w:val="0"/>
        <w:spacing w:line="480" w:lineRule="auto"/>
        <w:ind w:left="1961" w:leftChars="202" w:hanging="1537" w:hangingChars="383"/>
        <w:rPr>
          <w:rFonts w:ascii="宋体" w:hAnsi="宋体"/>
          <w:b/>
          <w:bCs/>
          <w:spacing w:val="20"/>
          <w:sz w:val="36"/>
          <w:szCs w:val="36"/>
          <w:u w:val="single"/>
        </w:rPr>
      </w:pPr>
      <w:r>
        <w:rPr>
          <w:rFonts w:hint="eastAsia" w:ascii="宋体" w:hAnsi="宋体"/>
          <w:b/>
          <w:bCs/>
          <w:spacing w:val="20"/>
          <w:sz w:val="36"/>
          <w:szCs w:val="36"/>
        </w:rPr>
        <w:t>建设单位：</w:t>
      </w:r>
      <w:r>
        <w:rPr>
          <w:rFonts w:ascii="宋体" w:hAnsi="宋体"/>
          <w:b/>
          <w:bCs/>
          <w:spacing w:val="20"/>
          <w:sz w:val="36"/>
          <w:szCs w:val="36"/>
          <w:u w:val="single"/>
        </w:rPr>
        <w:t xml:space="preserve">  </w:t>
      </w:r>
      <w:r>
        <w:rPr>
          <w:rFonts w:hint="eastAsia" w:ascii="宋体" w:hAnsi="宋体"/>
          <w:b/>
          <w:bCs/>
          <w:spacing w:val="20"/>
          <w:sz w:val="36"/>
          <w:szCs w:val="36"/>
          <w:u w:val="single"/>
          <w:lang w:val="en-US" w:eastAsia="zh-CN"/>
        </w:rPr>
        <w:t xml:space="preserve">  </w:t>
      </w:r>
      <w:r>
        <w:rPr>
          <w:rFonts w:hint="eastAsia" w:ascii="宋体" w:hAnsi="宋体"/>
          <w:b/>
          <w:bCs/>
          <w:spacing w:val="20"/>
          <w:sz w:val="36"/>
          <w:szCs w:val="36"/>
          <w:u w:val="single"/>
          <w:lang w:eastAsia="zh-CN"/>
        </w:rPr>
        <w:t>芜湖永达科技有限公司</w:t>
      </w:r>
      <w:r>
        <w:rPr>
          <w:rFonts w:hint="eastAsia" w:ascii="宋体" w:hAnsi="宋体"/>
          <w:b/>
          <w:bCs/>
          <w:spacing w:val="20"/>
          <w:sz w:val="36"/>
          <w:szCs w:val="36"/>
          <w:u w:val="single"/>
        </w:rPr>
        <w:t xml:space="preserve">　　 </w:t>
      </w:r>
      <w:r>
        <w:rPr>
          <w:rFonts w:ascii="宋体" w:hAnsi="宋体"/>
          <w:b/>
          <w:bCs/>
          <w:spacing w:val="20"/>
          <w:sz w:val="36"/>
          <w:szCs w:val="36"/>
          <w:u w:val="single"/>
        </w:rPr>
        <w:t xml:space="preserve">   </w:t>
      </w:r>
      <w:r>
        <w:rPr>
          <w:rFonts w:hint="eastAsia" w:ascii="宋体" w:hAnsi="宋体"/>
          <w:b/>
          <w:bCs/>
          <w:spacing w:val="20"/>
          <w:sz w:val="36"/>
          <w:szCs w:val="36"/>
          <w:u w:val="single"/>
        </w:rPr>
        <w:t>　</w:t>
      </w:r>
    </w:p>
    <w:p>
      <w:pPr>
        <w:snapToGrid w:val="0"/>
        <w:spacing w:line="480" w:lineRule="auto"/>
        <w:ind w:firstLine="401" w:firstLineChars="100"/>
        <w:rPr>
          <w:rFonts w:ascii="宋体" w:hAnsi="宋体"/>
          <w:b/>
          <w:bCs/>
          <w:spacing w:val="20"/>
          <w:sz w:val="36"/>
          <w:szCs w:val="36"/>
          <w:u w:val="single"/>
        </w:rPr>
      </w:pPr>
      <w:r>
        <w:rPr>
          <w:rFonts w:hint="eastAsia"/>
          <w:b/>
          <w:bCs/>
          <w:spacing w:val="20"/>
          <w:sz w:val="36"/>
          <w:szCs w:val="36"/>
        </w:rPr>
        <w:t>编制单位：</w:t>
      </w:r>
      <w:r>
        <w:rPr>
          <w:rFonts w:hint="eastAsia" w:ascii="宋体" w:hAnsi="宋体"/>
          <w:b/>
          <w:bCs/>
          <w:spacing w:val="20"/>
          <w:sz w:val="36"/>
          <w:szCs w:val="36"/>
          <w:u w:val="single"/>
        </w:rPr>
        <w:t xml:space="preserve"> </w:t>
      </w:r>
      <w:r>
        <w:rPr>
          <w:rFonts w:ascii="宋体" w:hAnsi="宋体"/>
          <w:b/>
          <w:bCs/>
          <w:spacing w:val="20"/>
          <w:sz w:val="36"/>
          <w:szCs w:val="36"/>
          <w:u w:val="single"/>
        </w:rPr>
        <w:t xml:space="preserve"> </w:t>
      </w:r>
      <w:r>
        <w:rPr>
          <w:rFonts w:hint="eastAsia" w:ascii="宋体" w:hAnsi="宋体"/>
          <w:b/>
          <w:bCs/>
          <w:spacing w:val="20"/>
          <w:sz w:val="36"/>
          <w:szCs w:val="36"/>
          <w:u w:val="single"/>
          <w:lang w:val="en-US" w:eastAsia="zh-CN"/>
        </w:rPr>
        <w:t xml:space="preserve"> </w:t>
      </w:r>
      <w:r>
        <w:rPr>
          <w:rFonts w:hint="eastAsia" w:ascii="宋体" w:hAnsi="宋体"/>
          <w:b/>
          <w:bCs/>
          <w:spacing w:val="20"/>
          <w:sz w:val="36"/>
          <w:szCs w:val="36"/>
          <w:u w:val="single"/>
          <w:lang w:eastAsia="zh-CN"/>
        </w:rPr>
        <w:t>芜湖民宇环境科技有限公司</w:t>
      </w:r>
      <w:r>
        <w:rPr>
          <w:rFonts w:hint="eastAsia" w:ascii="宋体" w:hAnsi="宋体"/>
          <w:b/>
          <w:bCs/>
          <w:spacing w:val="20"/>
          <w:sz w:val="36"/>
          <w:szCs w:val="36"/>
          <w:u w:val="single"/>
        </w:rPr>
        <w:t xml:space="preserve">　 </w:t>
      </w:r>
      <w:r>
        <w:rPr>
          <w:rFonts w:ascii="宋体" w:hAnsi="宋体"/>
          <w:b/>
          <w:bCs/>
          <w:spacing w:val="20"/>
          <w:sz w:val="36"/>
          <w:szCs w:val="36"/>
          <w:u w:val="single"/>
        </w:rPr>
        <w:t xml:space="preserve"> </w:t>
      </w:r>
      <w:r>
        <w:rPr>
          <w:rFonts w:hint="eastAsia" w:ascii="宋体" w:hAnsi="宋体"/>
          <w:b/>
          <w:bCs/>
          <w:spacing w:val="20"/>
          <w:sz w:val="36"/>
          <w:szCs w:val="36"/>
          <w:u w:val="single"/>
        </w:rPr>
        <w:t xml:space="preserve"> </w:t>
      </w:r>
      <w:r>
        <w:rPr>
          <w:rFonts w:ascii="宋体" w:hAnsi="宋体"/>
          <w:b/>
          <w:bCs/>
          <w:spacing w:val="20"/>
          <w:sz w:val="36"/>
          <w:szCs w:val="36"/>
          <w:u w:val="single"/>
        </w:rPr>
        <w:t xml:space="preserve">  </w:t>
      </w:r>
      <w:r>
        <w:rPr>
          <w:rFonts w:hint="eastAsia" w:ascii="宋体" w:hAnsi="宋体"/>
          <w:b/>
          <w:bCs/>
          <w:spacing w:val="20"/>
          <w:sz w:val="36"/>
          <w:szCs w:val="36"/>
          <w:u w:val="single"/>
        </w:rPr>
        <w:t xml:space="preserve"> </w:t>
      </w:r>
    </w:p>
    <w:p>
      <w:pPr>
        <w:snapToGrid w:val="0"/>
        <w:spacing w:line="480" w:lineRule="auto"/>
        <w:rPr>
          <w:b/>
          <w:bCs/>
          <w:spacing w:val="20"/>
          <w:sz w:val="36"/>
          <w:szCs w:val="36"/>
          <w:u w:val="single"/>
        </w:rPr>
      </w:pPr>
    </w:p>
    <w:p>
      <w:pPr>
        <w:snapToGrid w:val="0"/>
        <w:spacing w:line="480" w:lineRule="auto"/>
        <w:rPr>
          <w:b/>
          <w:bCs/>
          <w:spacing w:val="20"/>
          <w:sz w:val="36"/>
          <w:szCs w:val="36"/>
          <w:u w:val="single"/>
        </w:rPr>
      </w:pPr>
    </w:p>
    <w:p>
      <w:pPr>
        <w:snapToGrid w:val="0"/>
        <w:spacing w:line="480" w:lineRule="auto"/>
        <w:jc w:val="center"/>
        <w:rPr>
          <w:b/>
          <w:bCs/>
          <w:spacing w:val="20"/>
          <w:sz w:val="36"/>
          <w:szCs w:val="36"/>
          <w:u w:val="single"/>
        </w:rPr>
        <w:sectPr>
          <w:footerReference r:id="rId3" w:type="default"/>
          <w:pgSz w:w="11906" w:h="16838"/>
          <w:pgMar w:top="1588" w:right="1418" w:bottom="1418" w:left="1418" w:header="992" w:footer="992" w:gutter="0"/>
          <w:pgBorders>
            <w:top w:val="none" w:sz="0" w:space="0"/>
            <w:left w:val="none" w:sz="0" w:space="0"/>
            <w:bottom w:val="none" w:sz="0" w:space="0"/>
            <w:right w:val="none" w:sz="0" w:space="0"/>
          </w:pgBorders>
          <w:cols w:space="425" w:num="1"/>
          <w:docGrid w:type="lines" w:linePitch="312" w:charSpace="0"/>
        </w:sectPr>
      </w:pPr>
      <w:r>
        <w:rPr>
          <w:rFonts w:hint="eastAsia" w:ascii="宋体" w:hAnsi="宋体"/>
          <w:b/>
          <w:bCs/>
          <w:spacing w:val="20"/>
          <w:sz w:val="36"/>
          <w:szCs w:val="36"/>
        </w:rPr>
        <w:t>编制日期：</w:t>
      </w:r>
      <w:r>
        <w:rPr>
          <w:b/>
          <w:bCs/>
          <w:spacing w:val="20"/>
          <w:sz w:val="36"/>
          <w:szCs w:val="36"/>
        </w:rPr>
        <w:t>20</w:t>
      </w:r>
      <w:r>
        <w:rPr>
          <w:rFonts w:hint="eastAsia"/>
          <w:b/>
          <w:bCs/>
          <w:spacing w:val="20"/>
          <w:sz w:val="36"/>
          <w:szCs w:val="36"/>
          <w:lang w:val="en-US" w:eastAsia="zh-CN"/>
        </w:rPr>
        <w:t>20</w:t>
      </w:r>
      <w:r>
        <w:rPr>
          <w:rFonts w:hint="eastAsia" w:ascii="宋体" w:hAnsi="宋体"/>
          <w:b/>
          <w:bCs/>
          <w:spacing w:val="20"/>
          <w:sz w:val="36"/>
          <w:szCs w:val="36"/>
        </w:rPr>
        <w:t>年</w:t>
      </w:r>
      <w:r>
        <w:rPr>
          <w:rFonts w:hint="eastAsia" w:ascii="宋体" w:hAnsi="宋体"/>
          <w:b/>
          <w:bCs/>
          <w:spacing w:val="20"/>
          <w:sz w:val="36"/>
          <w:szCs w:val="36"/>
          <w:lang w:val="en-US" w:eastAsia="zh-CN"/>
        </w:rPr>
        <w:t>8</w:t>
      </w:r>
      <w:r>
        <w:rPr>
          <w:rFonts w:hint="eastAsia"/>
          <w:b/>
          <w:bCs/>
          <w:spacing w:val="20"/>
          <w:sz w:val="36"/>
          <w:szCs w:val="36"/>
        </w:rPr>
        <w:t>月</w:t>
      </w:r>
    </w:p>
    <w:p>
      <w:pPr>
        <w:keepNext w:val="0"/>
        <w:keepLines w:val="0"/>
        <w:pageBreakBefore w:val="0"/>
        <w:widowControl w:val="0"/>
        <w:kinsoku/>
        <w:wordWrap/>
        <w:overflowPunct/>
        <w:topLinePunct w:val="0"/>
        <w:autoSpaceDE w:val="0"/>
        <w:autoSpaceDN w:val="0"/>
        <w:bidi w:val="0"/>
        <w:adjustRightInd/>
        <w:snapToGrid/>
        <w:spacing w:before="0" w:after="0" w:line="360" w:lineRule="auto"/>
        <w:ind w:left="0" w:right="0" w:rightChars="0" w:firstLine="0" w:firstLineChars="0"/>
        <w:textAlignment w:val="auto"/>
        <w:rPr>
          <w:rFonts w:hint="eastAsia"/>
          <w:kern w:val="0"/>
          <w:sz w:val="30"/>
          <w:szCs w:val="30"/>
          <w:lang w:val="en-US" w:eastAsia="zh-CN" w:bidi="zh-CN"/>
        </w:rPr>
      </w:pPr>
      <w:r>
        <w:rPr>
          <w:rFonts w:hint="default"/>
          <w:kern w:val="0"/>
          <w:sz w:val="30"/>
          <w:szCs w:val="30"/>
          <w:lang w:val="zh-CN" w:bidi="zh-CN"/>
        </w:rPr>
        <w:t>建设单位法人代表：</w:t>
      </w:r>
      <w:r>
        <w:rPr>
          <w:rFonts w:hint="eastAsia"/>
          <w:kern w:val="0"/>
          <w:sz w:val="30"/>
          <w:szCs w:val="30"/>
          <w:highlight w:val="none"/>
          <w:lang w:val="en-US" w:eastAsia="zh-CN" w:bidi="zh-CN"/>
        </w:rPr>
        <w:t>吴向阳</w:t>
      </w:r>
    </w:p>
    <w:p>
      <w:pPr>
        <w:keepNext w:val="0"/>
        <w:keepLines w:val="0"/>
        <w:pageBreakBefore w:val="0"/>
        <w:widowControl w:val="0"/>
        <w:kinsoku/>
        <w:wordWrap/>
        <w:overflowPunct/>
        <w:topLinePunct w:val="0"/>
        <w:autoSpaceDE w:val="0"/>
        <w:autoSpaceDN w:val="0"/>
        <w:bidi w:val="0"/>
        <w:adjustRightInd/>
        <w:snapToGrid/>
        <w:spacing w:before="0" w:after="0" w:line="360" w:lineRule="auto"/>
        <w:ind w:left="0" w:right="0" w:rightChars="0" w:firstLine="0" w:firstLineChars="0"/>
        <w:textAlignment w:val="auto"/>
        <w:rPr>
          <w:rFonts w:hint="default"/>
          <w:kern w:val="0"/>
          <w:sz w:val="30"/>
          <w:szCs w:val="30"/>
          <w:lang w:val="zh-CN" w:bidi="zh-CN"/>
        </w:rPr>
      </w:pPr>
      <w:r>
        <w:rPr>
          <w:rFonts w:hint="default"/>
          <w:kern w:val="0"/>
          <w:sz w:val="30"/>
          <w:szCs w:val="30"/>
          <w:lang w:val="zh-CN" w:bidi="zh-CN"/>
        </w:rPr>
        <w:t>编制单位法人代表：</w:t>
      </w:r>
      <w:r>
        <w:rPr>
          <w:rFonts w:hint="default"/>
          <w:kern w:val="0"/>
          <w:sz w:val="30"/>
          <w:szCs w:val="30"/>
          <w:highlight w:val="none"/>
          <w:lang w:val="zh-CN" w:eastAsia="zh-CN" w:bidi="zh-CN"/>
        </w:rPr>
        <w:t>丁祖旺</w:t>
      </w:r>
    </w:p>
    <w:p>
      <w:pPr>
        <w:keepNext w:val="0"/>
        <w:keepLines w:val="0"/>
        <w:pageBreakBefore w:val="0"/>
        <w:widowControl w:val="0"/>
        <w:kinsoku/>
        <w:wordWrap/>
        <w:overflowPunct/>
        <w:topLinePunct w:val="0"/>
        <w:autoSpaceDE w:val="0"/>
        <w:autoSpaceDN w:val="0"/>
        <w:bidi w:val="0"/>
        <w:adjustRightInd/>
        <w:snapToGrid/>
        <w:spacing w:before="0" w:after="0" w:line="360" w:lineRule="auto"/>
        <w:ind w:left="0" w:right="0" w:rightChars="0" w:firstLine="0" w:firstLineChars="0"/>
        <w:textAlignment w:val="auto"/>
        <w:rPr>
          <w:rFonts w:hint="default"/>
          <w:kern w:val="0"/>
          <w:sz w:val="30"/>
          <w:szCs w:val="30"/>
          <w:highlight w:val="none"/>
          <w:lang w:val="en-US" w:bidi="zh-CN"/>
        </w:rPr>
      </w:pPr>
      <w:r>
        <w:rPr>
          <w:rFonts w:hint="default"/>
          <w:kern w:val="0"/>
          <w:sz w:val="30"/>
          <w:szCs w:val="30"/>
          <w:lang w:val="zh-CN" w:bidi="zh-CN"/>
        </w:rPr>
        <w:t>项 目 负 责 人：</w:t>
      </w:r>
      <w:r>
        <w:rPr>
          <w:rFonts w:hint="eastAsia"/>
          <w:kern w:val="0"/>
          <w:sz w:val="30"/>
          <w:szCs w:val="30"/>
          <w:highlight w:val="none"/>
          <w:lang w:val="en-US" w:eastAsia="zh-CN" w:bidi="zh-CN"/>
        </w:rPr>
        <w:t>赵皆悦</w:t>
      </w:r>
    </w:p>
    <w:p>
      <w:pPr>
        <w:keepNext w:val="0"/>
        <w:keepLines w:val="0"/>
        <w:pageBreakBefore w:val="0"/>
        <w:widowControl w:val="0"/>
        <w:kinsoku/>
        <w:wordWrap/>
        <w:overflowPunct/>
        <w:topLinePunct w:val="0"/>
        <w:autoSpaceDE w:val="0"/>
        <w:autoSpaceDN w:val="0"/>
        <w:bidi w:val="0"/>
        <w:adjustRightInd/>
        <w:snapToGrid/>
        <w:spacing w:before="0" w:after="0" w:line="360" w:lineRule="auto"/>
        <w:ind w:left="0" w:right="0" w:rightChars="0" w:firstLine="0" w:firstLineChars="0"/>
        <w:textAlignment w:val="auto"/>
        <w:rPr>
          <w:rFonts w:hint="eastAsia"/>
          <w:kern w:val="0"/>
          <w:sz w:val="30"/>
          <w:szCs w:val="30"/>
          <w:lang w:val="en-US" w:eastAsia="zh-CN" w:bidi="zh-CN"/>
        </w:rPr>
      </w:pPr>
      <w:r>
        <w:rPr>
          <w:rFonts w:hint="default"/>
          <w:kern w:val="0"/>
          <w:sz w:val="30"/>
          <w:szCs w:val="30"/>
          <w:lang w:val="zh-CN" w:bidi="zh-CN"/>
        </w:rPr>
        <w:t>填    表    人：</w:t>
      </w:r>
      <w:r>
        <w:rPr>
          <w:rFonts w:hint="eastAsia"/>
          <w:kern w:val="0"/>
          <w:sz w:val="30"/>
          <w:szCs w:val="30"/>
          <w:lang w:val="en-US" w:eastAsia="zh-CN" w:bidi="zh-CN"/>
        </w:rPr>
        <w:t>刘 珂</w:t>
      </w:r>
    </w:p>
    <w:p>
      <w:pPr>
        <w:keepNext w:val="0"/>
        <w:keepLines w:val="0"/>
        <w:pageBreakBefore w:val="0"/>
        <w:widowControl w:val="0"/>
        <w:kinsoku/>
        <w:wordWrap/>
        <w:overflowPunct/>
        <w:topLinePunct w:val="0"/>
        <w:autoSpaceDE w:val="0"/>
        <w:autoSpaceDN w:val="0"/>
        <w:bidi w:val="0"/>
        <w:adjustRightInd/>
        <w:snapToGrid/>
        <w:spacing w:before="0" w:after="0" w:line="360" w:lineRule="auto"/>
        <w:ind w:left="0" w:right="0" w:rightChars="0" w:firstLine="0" w:firstLineChars="0"/>
        <w:textAlignment w:val="auto"/>
        <w:rPr>
          <w:rFonts w:hint="default"/>
          <w:kern w:val="0"/>
          <w:sz w:val="30"/>
          <w:szCs w:val="30"/>
          <w:lang w:val="zh-CN" w:bidi="zh-CN"/>
        </w:rPr>
      </w:pPr>
    </w:p>
    <w:p>
      <w:pPr>
        <w:keepNext w:val="0"/>
        <w:keepLines w:val="0"/>
        <w:pageBreakBefore w:val="0"/>
        <w:widowControl w:val="0"/>
        <w:kinsoku/>
        <w:wordWrap/>
        <w:overflowPunct/>
        <w:topLinePunct w:val="0"/>
        <w:autoSpaceDE w:val="0"/>
        <w:autoSpaceDN w:val="0"/>
        <w:bidi w:val="0"/>
        <w:adjustRightInd/>
        <w:snapToGrid/>
        <w:spacing w:before="0" w:after="0" w:line="360" w:lineRule="auto"/>
        <w:ind w:left="0" w:right="0" w:rightChars="0" w:firstLine="0" w:firstLineChars="0"/>
        <w:textAlignment w:val="auto"/>
        <w:rPr>
          <w:rFonts w:hint="default"/>
          <w:kern w:val="0"/>
          <w:sz w:val="30"/>
          <w:szCs w:val="30"/>
          <w:lang w:val="zh-CN" w:bidi="zh-CN"/>
        </w:rPr>
      </w:pPr>
    </w:p>
    <w:p>
      <w:pPr>
        <w:keepNext w:val="0"/>
        <w:keepLines w:val="0"/>
        <w:pageBreakBefore w:val="0"/>
        <w:widowControl w:val="0"/>
        <w:kinsoku/>
        <w:wordWrap/>
        <w:overflowPunct/>
        <w:topLinePunct w:val="0"/>
        <w:autoSpaceDE w:val="0"/>
        <w:autoSpaceDN w:val="0"/>
        <w:bidi w:val="0"/>
        <w:adjustRightInd/>
        <w:snapToGrid/>
        <w:spacing w:before="0" w:after="0" w:line="360" w:lineRule="auto"/>
        <w:ind w:left="0" w:right="0" w:rightChars="0" w:firstLine="0" w:firstLineChars="0"/>
        <w:textAlignment w:val="auto"/>
        <w:rPr>
          <w:rFonts w:hint="default"/>
          <w:kern w:val="0"/>
          <w:sz w:val="30"/>
          <w:szCs w:val="30"/>
          <w:lang w:val="zh-CN" w:bidi="zh-CN"/>
        </w:rPr>
      </w:pPr>
    </w:p>
    <w:p>
      <w:pPr>
        <w:keepNext w:val="0"/>
        <w:keepLines w:val="0"/>
        <w:pageBreakBefore w:val="0"/>
        <w:widowControl w:val="0"/>
        <w:kinsoku/>
        <w:wordWrap/>
        <w:overflowPunct/>
        <w:topLinePunct w:val="0"/>
        <w:autoSpaceDE w:val="0"/>
        <w:autoSpaceDN w:val="0"/>
        <w:bidi w:val="0"/>
        <w:adjustRightInd/>
        <w:snapToGrid/>
        <w:spacing w:before="0" w:after="0" w:line="360" w:lineRule="auto"/>
        <w:ind w:left="0" w:right="0" w:rightChars="0" w:firstLine="0" w:firstLineChars="0"/>
        <w:textAlignment w:val="auto"/>
        <w:rPr>
          <w:rFonts w:hint="default"/>
          <w:kern w:val="0"/>
          <w:sz w:val="30"/>
          <w:szCs w:val="30"/>
          <w:lang w:val="zh-CN" w:eastAsia="zh-CN" w:bidi="zh-CN"/>
        </w:rPr>
      </w:pPr>
      <w:r>
        <w:rPr>
          <w:rFonts w:hint="default"/>
          <w:kern w:val="0"/>
          <w:sz w:val="30"/>
          <w:szCs w:val="30"/>
          <w:lang w:val="zh-CN" w:bidi="zh-CN"/>
        </w:rPr>
        <w:t>建设单位：</w:t>
      </w:r>
      <w:r>
        <w:rPr>
          <w:rFonts w:hint="eastAsia"/>
          <w:kern w:val="0"/>
          <w:sz w:val="30"/>
          <w:szCs w:val="30"/>
          <w:lang w:val="zh-CN" w:eastAsia="zh-CN" w:bidi="zh-CN"/>
        </w:rPr>
        <w:t>芜湖永达科技有限公司</w:t>
      </w:r>
    </w:p>
    <w:p>
      <w:pPr>
        <w:keepNext w:val="0"/>
        <w:keepLines w:val="0"/>
        <w:pageBreakBefore w:val="0"/>
        <w:widowControl w:val="0"/>
        <w:kinsoku/>
        <w:wordWrap/>
        <w:overflowPunct/>
        <w:topLinePunct w:val="0"/>
        <w:autoSpaceDE w:val="0"/>
        <w:autoSpaceDN w:val="0"/>
        <w:bidi w:val="0"/>
        <w:adjustRightInd/>
        <w:snapToGrid/>
        <w:spacing w:before="0" w:after="0" w:line="360" w:lineRule="auto"/>
        <w:ind w:left="0" w:right="0" w:rightChars="0" w:firstLine="0" w:firstLineChars="0"/>
        <w:textAlignment w:val="auto"/>
        <w:rPr>
          <w:rFonts w:hint="default"/>
          <w:kern w:val="0"/>
          <w:sz w:val="30"/>
          <w:szCs w:val="30"/>
          <w:lang w:val="en-US" w:bidi="zh-CN"/>
        </w:rPr>
      </w:pPr>
      <w:r>
        <w:rPr>
          <w:rFonts w:hint="default"/>
          <w:kern w:val="0"/>
          <w:sz w:val="30"/>
          <w:szCs w:val="30"/>
          <w:lang w:val="zh-CN" w:bidi="zh-CN"/>
        </w:rPr>
        <w:t>电　　话：</w:t>
      </w:r>
      <w:r>
        <w:rPr>
          <w:rFonts w:hint="eastAsia"/>
          <w:kern w:val="0"/>
          <w:sz w:val="30"/>
          <w:szCs w:val="30"/>
          <w:highlight w:val="none"/>
          <w:lang w:val="en-US" w:eastAsia="zh-CN" w:bidi="zh-CN"/>
        </w:rPr>
        <w:t>18155338189</w:t>
      </w:r>
    </w:p>
    <w:p>
      <w:pPr>
        <w:keepNext w:val="0"/>
        <w:keepLines w:val="0"/>
        <w:pageBreakBefore w:val="0"/>
        <w:widowControl w:val="0"/>
        <w:kinsoku/>
        <w:wordWrap/>
        <w:overflowPunct/>
        <w:topLinePunct w:val="0"/>
        <w:autoSpaceDE w:val="0"/>
        <w:autoSpaceDN w:val="0"/>
        <w:bidi w:val="0"/>
        <w:adjustRightInd/>
        <w:snapToGrid/>
        <w:spacing w:before="0" w:after="0" w:line="360" w:lineRule="auto"/>
        <w:ind w:left="0" w:right="0" w:rightChars="0" w:firstLine="0" w:firstLineChars="0"/>
        <w:textAlignment w:val="auto"/>
        <w:rPr>
          <w:rFonts w:hint="default"/>
          <w:kern w:val="0"/>
          <w:sz w:val="30"/>
          <w:szCs w:val="30"/>
          <w:lang w:val="zh-CN" w:bidi="zh-CN"/>
        </w:rPr>
      </w:pPr>
      <w:r>
        <w:rPr>
          <w:rFonts w:hint="default"/>
          <w:kern w:val="0"/>
          <w:sz w:val="30"/>
          <w:szCs w:val="30"/>
          <w:lang w:val="zh-CN" w:bidi="zh-CN"/>
        </w:rPr>
        <w:t>传　　真：/</w:t>
      </w:r>
    </w:p>
    <w:p>
      <w:pPr>
        <w:keepNext w:val="0"/>
        <w:keepLines w:val="0"/>
        <w:pageBreakBefore w:val="0"/>
        <w:widowControl w:val="0"/>
        <w:kinsoku/>
        <w:wordWrap/>
        <w:overflowPunct/>
        <w:topLinePunct w:val="0"/>
        <w:autoSpaceDE w:val="0"/>
        <w:autoSpaceDN w:val="0"/>
        <w:bidi w:val="0"/>
        <w:adjustRightInd/>
        <w:snapToGrid/>
        <w:spacing w:before="0" w:after="0" w:line="360" w:lineRule="auto"/>
        <w:ind w:left="0" w:right="0" w:rightChars="0" w:firstLine="0" w:firstLineChars="0"/>
        <w:textAlignment w:val="auto"/>
        <w:rPr>
          <w:rFonts w:hint="default"/>
          <w:kern w:val="0"/>
          <w:sz w:val="30"/>
          <w:szCs w:val="30"/>
          <w:lang w:val="zh-CN" w:bidi="zh-CN"/>
        </w:rPr>
      </w:pPr>
      <w:r>
        <w:rPr>
          <w:rFonts w:hint="default"/>
          <w:kern w:val="0"/>
          <w:sz w:val="30"/>
          <w:szCs w:val="30"/>
          <w:lang w:val="zh-CN" w:bidi="zh-CN"/>
        </w:rPr>
        <w:t>邮政编码：241000</w:t>
      </w:r>
    </w:p>
    <w:p>
      <w:pPr>
        <w:keepNext w:val="0"/>
        <w:keepLines w:val="0"/>
        <w:pageBreakBefore w:val="0"/>
        <w:widowControl w:val="0"/>
        <w:kinsoku/>
        <w:wordWrap/>
        <w:overflowPunct/>
        <w:topLinePunct w:val="0"/>
        <w:autoSpaceDE w:val="0"/>
        <w:autoSpaceDN w:val="0"/>
        <w:bidi w:val="0"/>
        <w:adjustRightInd/>
        <w:snapToGrid/>
        <w:spacing w:before="0" w:after="0" w:line="360" w:lineRule="auto"/>
        <w:ind w:left="0" w:right="0" w:rightChars="0" w:firstLine="0" w:firstLineChars="0"/>
        <w:textAlignment w:val="auto"/>
        <w:rPr>
          <w:rFonts w:hint="default"/>
          <w:kern w:val="0"/>
          <w:sz w:val="30"/>
          <w:szCs w:val="30"/>
          <w:lang w:val="zh-CN" w:eastAsia="zh-CN" w:bidi="zh-CN"/>
        </w:rPr>
      </w:pPr>
      <w:r>
        <w:rPr>
          <w:rFonts w:hint="default"/>
          <w:kern w:val="0"/>
          <w:sz w:val="30"/>
          <w:szCs w:val="30"/>
          <w:lang w:val="zh-CN" w:bidi="zh-CN"/>
        </w:rPr>
        <w:t>地　　址：</w:t>
      </w:r>
      <w:r>
        <w:rPr>
          <w:rFonts w:hint="eastAsia"/>
          <w:kern w:val="0"/>
          <w:sz w:val="30"/>
          <w:szCs w:val="30"/>
          <w:lang w:val="zh-CN" w:eastAsia="zh-CN" w:bidi="zh-CN"/>
        </w:rPr>
        <w:t>安徽省芜湖市经济技术开发区长江北路250号芜湖永达科技有限公司内</w:t>
      </w:r>
    </w:p>
    <w:p>
      <w:pPr>
        <w:keepNext w:val="0"/>
        <w:keepLines w:val="0"/>
        <w:pageBreakBefore w:val="0"/>
        <w:widowControl w:val="0"/>
        <w:kinsoku/>
        <w:wordWrap/>
        <w:overflowPunct/>
        <w:topLinePunct w:val="0"/>
        <w:autoSpaceDE w:val="0"/>
        <w:autoSpaceDN w:val="0"/>
        <w:bidi w:val="0"/>
        <w:adjustRightInd/>
        <w:snapToGrid/>
        <w:spacing w:before="0" w:after="0" w:line="360" w:lineRule="auto"/>
        <w:ind w:left="0" w:right="0" w:rightChars="0" w:firstLine="0" w:firstLineChars="0"/>
        <w:textAlignment w:val="auto"/>
        <w:rPr>
          <w:rFonts w:hint="default"/>
          <w:kern w:val="0"/>
          <w:sz w:val="30"/>
          <w:szCs w:val="30"/>
          <w:lang w:val="zh-CN" w:eastAsia="zh-CN" w:bidi="zh-CN"/>
        </w:rPr>
      </w:pPr>
    </w:p>
    <w:p>
      <w:pPr>
        <w:keepNext w:val="0"/>
        <w:keepLines w:val="0"/>
        <w:pageBreakBefore w:val="0"/>
        <w:widowControl w:val="0"/>
        <w:kinsoku/>
        <w:wordWrap/>
        <w:overflowPunct/>
        <w:topLinePunct w:val="0"/>
        <w:autoSpaceDE w:val="0"/>
        <w:autoSpaceDN w:val="0"/>
        <w:bidi w:val="0"/>
        <w:adjustRightInd/>
        <w:snapToGrid/>
        <w:spacing w:before="0" w:after="0" w:line="360" w:lineRule="auto"/>
        <w:ind w:left="0" w:right="0" w:rightChars="0" w:firstLine="0" w:firstLineChars="0"/>
        <w:textAlignment w:val="auto"/>
        <w:rPr>
          <w:rFonts w:hint="default"/>
          <w:kern w:val="0"/>
          <w:sz w:val="30"/>
          <w:szCs w:val="30"/>
          <w:lang w:val="zh-CN" w:eastAsia="zh-CN" w:bidi="zh-CN"/>
        </w:rPr>
      </w:pPr>
    </w:p>
    <w:p>
      <w:pPr>
        <w:keepNext w:val="0"/>
        <w:keepLines w:val="0"/>
        <w:pageBreakBefore w:val="0"/>
        <w:widowControl w:val="0"/>
        <w:kinsoku/>
        <w:wordWrap/>
        <w:overflowPunct/>
        <w:topLinePunct w:val="0"/>
        <w:autoSpaceDE w:val="0"/>
        <w:autoSpaceDN w:val="0"/>
        <w:bidi w:val="0"/>
        <w:adjustRightInd/>
        <w:snapToGrid/>
        <w:spacing w:before="0" w:after="0" w:line="360" w:lineRule="auto"/>
        <w:ind w:left="0" w:right="0" w:rightChars="0" w:firstLine="0" w:firstLineChars="0"/>
        <w:textAlignment w:val="auto"/>
        <w:rPr>
          <w:rFonts w:hint="default"/>
          <w:kern w:val="0"/>
          <w:sz w:val="30"/>
          <w:szCs w:val="30"/>
          <w:lang w:val="zh-CN" w:eastAsia="zh-CN" w:bidi="zh-CN"/>
        </w:rPr>
      </w:pPr>
      <w:r>
        <w:rPr>
          <w:rFonts w:hint="default"/>
          <w:kern w:val="0"/>
          <w:sz w:val="30"/>
          <w:szCs w:val="30"/>
          <w:lang w:val="zh-CN" w:eastAsia="zh-CN" w:bidi="zh-CN"/>
        </w:rPr>
        <w:t>编制单位：芜湖民宇环境科技有限公司（盖章）</w:t>
      </w:r>
    </w:p>
    <w:p>
      <w:pPr>
        <w:keepNext w:val="0"/>
        <w:keepLines w:val="0"/>
        <w:pageBreakBefore w:val="0"/>
        <w:widowControl w:val="0"/>
        <w:kinsoku/>
        <w:wordWrap/>
        <w:overflowPunct/>
        <w:topLinePunct w:val="0"/>
        <w:autoSpaceDE w:val="0"/>
        <w:autoSpaceDN w:val="0"/>
        <w:bidi w:val="0"/>
        <w:adjustRightInd/>
        <w:snapToGrid/>
        <w:spacing w:before="0" w:after="0" w:line="360" w:lineRule="auto"/>
        <w:ind w:left="0" w:right="0" w:rightChars="0" w:firstLine="0" w:firstLineChars="0"/>
        <w:textAlignment w:val="auto"/>
        <w:rPr>
          <w:rFonts w:hint="default"/>
          <w:kern w:val="0"/>
          <w:sz w:val="30"/>
          <w:szCs w:val="30"/>
          <w:lang w:val="en-US" w:eastAsia="zh-CN" w:bidi="zh-CN"/>
        </w:rPr>
      </w:pPr>
      <w:r>
        <w:rPr>
          <w:rFonts w:hint="default"/>
          <w:kern w:val="0"/>
          <w:sz w:val="30"/>
          <w:szCs w:val="30"/>
          <w:lang w:val="zh-CN" w:eastAsia="zh-CN" w:bidi="zh-CN"/>
        </w:rPr>
        <w:t>电话：</w:t>
      </w:r>
      <w:r>
        <w:rPr>
          <w:rFonts w:hint="default"/>
          <w:kern w:val="0"/>
          <w:sz w:val="30"/>
          <w:szCs w:val="30"/>
          <w:lang w:val="en-US" w:eastAsia="zh-CN" w:bidi="zh-CN"/>
        </w:rPr>
        <w:t>15955363388</w:t>
      </w:r>
    </w:p>
    <w:p>
      <w:pPr>
        <w:keepNext w:val="0"/>
        <w:keepLines w:val="0"/>
        <w:pageBreakBefore w:val="0"/>
        <w:widowControl w:val="0"/>
        <w:kinsoku/>
        <w:wordWrap/>
        <w:overflowPunct/>
        <w:topLinePunct w:val="0"/>
        <w:autoSpaceDE w:val="0"/>
        <w:autoSpaceDN w:val="0"/>
        <w:bidi w:val="0"/>
        <w:adjustRightInd/>
        <w:snapToGrid/>
        <w:spacing w:before="0" w:after="0" w:line="360" w:lineRule="auto"/>
        <w:ind w:left="0" w:right="0" w:rightChars="0" w:firstLine="0" w:firstLineChars="0"/>
        <w:textAlignment w:val="auto"/>
        <w:rPr>
          <w:rFonts w:hint="default"/>
          <w:kern w:val="0"/>
          <w:sz w:val="30"/>
          <w:szCs w:val="30"/>
          <w:lang w:val="en-US" w:eastAsia="zh-CN" w:bidi="zh-CN"/>
        </w:rPr>
      </w:pPr>
      <w:r>
        <w:rPr>
          <w:rFonts w:hint="default"/>
          <w:kern w:val="0"/>
          <w:sz w:val="30"/>
          <w:szCs w:val="30"/>
          <w:lang w:val="en-US" w:eastAsia="zh-CN" w:bidi="zh-CN"/>
        </w:rPr>
        <w:t>传真：/</w:t>
      </w:r>
    </w:p>
    <w:p>
      <w:pPr>
        <w:keepNext w:val="0"/>
        <w:keepLines w:val="0"/>
        <w:pageBreakBefore w:val="0"/>
        <w:widowControl w:val="0"/>
        <w:kinsoku/>
        <w:wordWrap/>
        <w:overflowPunct/>
        <w:topLinePunct w:val="0"/>
        <w:autoSpaceDE w:val="0"/>
        <w:autoSpaceDN w:val="0"/>
        <w:bidi w:val="0"/>
        <w:adjustRightInd/>
        <w:snapToGrid/>
        <w:spacing w:before="0" w:after="0" w:line="360" w:lineRule="auto"/>
        <w:ind w:left="0" w:right="0" w:rightChars="0" w:firstLine="0" w:firstLineChars="0"/>
        <w:textAlignment w:val="auto"/>
        <w:rPr>
          <w:rFonts w:hint="default"/>
          <w:kern w:val="0"/>
          <w:sz w:val="30"/>
          <w:szCs w:val="30"/>
          <w:lang w:val="en-US" w:eastAsia="zh-CN" w:bidi="zh-CN"/>
        </w:rPr>
      </w:pPr>
      <w:r>
        <w:rPr>
          <w:rFonts w:hint="default"/>
          <w:kern w:val="0"/>
          <w:sz w:val="30"/>
          <w:szCs w:val="30"/>
          <w:lang w:val="zh-CN" w:eastAsia="zh-CN" w:bidi="zh-CN"/>
        </w:rPr>
        <w:t>邮编：</w:t>
      </w:r>
      <w:r>
        <w:rPr>
          <w:rFonts w:hint="default"/>
          <w:kern w:val="0"/>
          <w:sz w:val="30"/>
          <w:szCs w:val="30"/>
          <w:lang w:val="en-US" w:eastAsia="zh-CN" w:bidi="zh-CN"/>
        </w:rPr>
        <w:t>241000</w:t>
      </w:r>
    </w:p>
    <w:p>
      <w:pPr>
        <w:keepNext w:val="0"/>
        <w:keepLines w:val="0"/>
        <w:pageBreakBefore w:val="0"/>
        <w:widowControl w:val="0"/>
        <w:kinsoku/>
        <w:wordWrap/>
        <w:overflowPunct/>
        <w:topLinePunct w:val="0"/>
        <w:autoSpaceDE w:val="0"/>
        <w:autoSpaceDN w:val="0"/>
        <w:bidi w:val="0"/>
        <w:adjustRightInd/>
        <w:snapToGrid/>
        <w:spacing w:before="0" w:after="0" w:line="360" w:lineRule="auto"/>
        <w:ind w:left="0" w:right="0" w:rightChars="0" w:firstLine="0" w:firstLineChars="0"/>
        <w:textAlignment w:val="auto"/>
        <w:rPr>
          <w:rFonts w:hint="default"/>
          <w:kern w:val="0"/>
          <w:sz w:val="30"/>
          <w:szCs w:val="30"/>
          <w:lang w:val="en-US" w:eastAsia="zh-CN" w:bidi="zh-CN"/>
        </w:rPr>
      </w:pPr>
      <w:r>
        <w:rPr>
          <w:rFonts w:hint="default"/>
          <w:kern w:val="0"/>
          <w:sz w:val="30"/>
          <w:szCs w:val="30"/>
          <w:lang w:val="zh-CN" w:eastAsia="zh-CN" w:bidi="zh-CN"/>
        </w:rPr>
        <w:t>地址：安徽省芜湖市鸠江区城市之光</w:t>
      </w:r>
      <w:r>
        <w:rPr>
          <w:rFonts w:hint="default"/>
          <w:kern w:val="0"/>
          <w:sz w:val="30"/>
          <w:szCs w:val="30"/>
          <w:lang w:val="en-US" w:eastAsia="zh-CN" w:bidi="zh-CN"/>
        </w:rPr>
        <w:t>B2地块</w:t>
      </w:r>
      <w:r>
        <w:rPr>
          <w:rFonts w:hint="default"/>
          <w:kern w:val="0"/>
          <w:sz w:val="30"/>
          <w:szCs w:val="30"/>
          <w:lang w:val="zh-CN" w:eastAsia="zh-CN" w:bidi="zh-CN"/>
        </w:rPr>
        <w:t>二期</w:t>
      </w:r>
      <w:r>
        <w:rPr>
          <w:rFonts w:hint="default"/>
          <w:kern w:val="0"/>
          <w:sz w:val="30"/>
          <w:szCs w:val="30"/>
          <w:lang w:val="en-US" w:eastAsia="zh-CN" w:bidi="zh-CN"/>
        </w:rPr>
        <w:t>12#楼1011</w:t>
      </w:r>
    </w:p>
    <w:p>
      <w:pPr>
        <w:snapToGrid w:val="0"/>
        <w:spacing w:line="360" w:lineRule="auto"/>
        <w:rPr>
          <w:rFonts w:hint="eastAsia" w:ascii="宋体" w:hAnsi="宋体" w:cs="仿宋_GB2312"/>
          <w:b/>
          <w:sz w:val="32"/>
          <w:szCs w:val="32"/>
          <w:lang w:val="en-US" w:eastAsia="zh-CN"/>
        </w:rPr>
      </w:pPr>
    </w:p>
    <w:p>
      <w:pPr>
        <w:snapToGrid w:val="0"/>
        <w:spacing w:line="360" w:lineRule="auto"/>
        <w:rPr>
          <w:rFonts w:hint="eastAsia" w:ascii="宋体" w:hAnsi="宋体" w:cs="仿宋_GB2312"/>
          <w:b/>
          <w:sz w:val="32"/>
          <w:szCs w:val="32"/>
          <w:lang w:val="en-US" w:eastAsia="zh-CN"/>
        </w:rPr>
        <w:sectPr>
          <w:headerReference r:id="rId4" w:type="default"/>
          <w:footerReference r:id="rId5" w:type="default"/>
          <w:pgSz w:w="11906" w:h="16838"/>
          <w:pgMar w:top="1871" w:right="1531" w:bottom="1984" w:left="1531" w:header="1077" w:footer="992" w:gutter="0"/>
          <w:pgBorders>
            <w:top w:val="none" w:sz="0" w:space="0"/>
            <w:left w:val="none" w:sz="0" w:space="0"/>
            <w:bottom w:val="none" w:sz="0" w:space="0"/>
            <w:right w:val="none" w:sz="0" w:space="0"/>
          </w:pgBorders>
          <w:pgNumType w:fmt="decimal" w:start="1"/>
          <w:cols w:space="425" w:num="1"/>
          <w:docGrid w:type="lines" w:linePitch="312" w:charSpace="0"/>
        </w:sectPr>
      </w:pPr>
    </w:p>
    <w:p>
      <w:pPr>
        <w:rPr>
          <w:b/>
          <w:sz w:val="28"/>
          <w:szCs w:val="28"/>
        </w:rPr>
      </w:pPr>
      <w:r>
        <w:rPr>
          <w:rFonts w:hint="eastAsia"/>
          <w:b/>
          <w:sz w:val="28"/>
          <w:szCs w:val="28"/>
        </w:rPr>
        <w:t>表一</w:t>
      </w:r>
    </w:p>
    <w:tbl>
      <w:tblPr>
        <w:tblStyle w:val="33"/>
        <w:tblW w:w="9503"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113" w:type="dxa"/>
          <w:left w:w="108" w:type="dxa"/>
          <w:bottom w:w="0" w:type="dxa"/>
          <w:right w:w="108" w:type="dxa"/>
        </w:tblCellMar>
      </w:tblPr>
      <w:tblGrid>
        <w:gridCol w:w="1744"/>
        <w:gridCol w:w="2170"/>
        <w:gridCol w:w="2180"/>
        <w:gridCol w:w="1110"/>
        <w:gridCol w:w="952"/>
        <w:gridCol w:w="1347"/>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113" w:type="dxa"/>
            <w:left w:w="108" w:type="dxa"/>
            <w:bottom w:w="0" w:type="dxa"/>
            <w:right w:w="108" w:type="dxa"/>
          </w:tblCellMar>
        </w:tblPrEx>
        <w:trPr>
          <w:trHeight w:val="572" w:hRule="atLeast"/>
          <w:jc w:val="center"/>
        </w:trPr>
        <w:tc>
          <w:tcPr>
            <w:tcW w:w="1744" w:type="dxa"/>
            <w:vAlign w:val="center"/>
          </w:tcPr>
          <w:p>
            <w:pPr>
              <w:spacing w:line="360" w:lineRule="auto"/>
              <w:jc w:val="center"/>
              <w:rPr>
                <w:rFonts w:hint="default" w:ascii="Times New Roman" w:hAnsi="Times New Roman" w:cs="Times New Roman"/>
                <w:b/>
                <w:sz w:val="24"/>
              </w:rPr>
            </w:pPr>
            <w:r>
              <w:rPr>
                <w:rFonts w:hint="default" w:ascii="Times New Roman" w:hAnsi="Times New Roman" w:cs="Times New Roman"/>
                <w:bCs/>
                <w:sz w:val="24"/>
              </w:rPr>
              <w:t>建设项目名称</w:t>
            </w:r>
          </w:p>
        </w:tc>
        <w:tc>
          <w:tcPr>
            <w:tcW w:w="7759" w:type="dxa"/>
            <w:gridSpan w:val="5"/>
            <w:vAlign w:val="center"/>
          </w:tcPr>
          <w:p>
            <w:pPr>
              <w:spacing w:line="360" w:lineRule="auto"/>
              <w:jc w:val="center"/>
              <w:rPr>
                <w:rFonts w:hint="default" w:ascii="Times New Roman" w:hAnsi="Times New Roman" w:eastAsia="宋体" w:cs="Times New Roman"/>
                <w:b/>
                <w:sz w:val="24"/>
                <w:lang w:eastAsia="zh-CN"/>
              </w:rPr>
            </w:pPr>
            <w:r>
              <w:rPr>
                <w:rFonts w:hint="eastAsia" w:cs="Times New Roman"/>
                <w:sz w:val="24"/>
                <w:lang w:eastAsia="zh-CN"/>
              </w:rPr>
              <w:t>压铸缸体技术改造升级项目</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113" w:type="dxa"/>
            <w:left w:w="108" w:type="dxa"/>
            <w:bottom w:w="0" w:type="dxa"/>
            <w:right w:w="108" w:type="dxa"/>
          </w:tblCellMar>
        </w:tblPrEx>
        <w:trPr>
          <w:trHeight w:val="572" w:hRule="atLeast"/>
          <w:jc w:val="center"/>
        </w:trPr>
        <w:tc>
          <w:tcPr>
            <w:tcW w:w="1744" w:type="dxa"/>
            <w:vAlign w:val="center"/>
          </w:tcPr>
          <w:p>
            <w:pPr>
              <w:spacing w:line="360" w:lineRule="auto"/>
              <w:jc w:val="center"/>
              <w:rPr>
                <w:rFonts w:hint="default" w:ascii="Times New Roman" w:hAnsi="Times New Roman" w:cs="Times New Roman"/>
                <w:b/>
                <w:sz w:val="24"/>
              </w:rPr>
            </w:pPr>
            <w:r>
              <w:rPr>
                <w:rFonts w:hint="default" w:ascii="Times New Roman" w:hAnsi="Times New Roman" w:cs="Times New Roman"/>
                <w:bCs/>
                <w:sz w:val="24"/>
              </w:rPr>
              <w:t>建设单位名称</w:t>
            </w:r>
          </w:p>
        </w:tc>
        <w:tc>
          <w:tcPr>
            <w:tcW w:w="7759" w:type="dxa"/>
            <w:gridSpan w:val="5"/>
            <w:vAlign w:val="center"/>
          </w:tcPr>
          <w:p>
            <w:pPr>
              <w:spacing w:line="360" w:lineRule="auto"/>
              <w:jc w:val="center"/>
              <w:rPr>
                <w:rFonts w:hint="default" w:ascii="Times New Roman" w:hAnsi="Times New Roman" w:eastAsia="宋体" w:cs="Times New Roman"/>
                <w:b/>
                <w:sz w:val="24"/>
                <w:lang w:eastAsia="zh-CN"/>
              </w:rPr>
            </w:pPr>
            <w:r>
              <w:rPr>
                <w:rFonts w:hint="eastAsia" w:cs="Times New Roman"/>
                <w:sz w:val="24"/>
                <w:lang w:eastAsia="zh-CN"/>
              </w:rPr>
              <w:t>芜湖永达科技有限公司</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113" w:type="dxa"/>
            <w:left w:w="108" w:type="dxa"/>
            <w:bottom w:w="0" w:type="dxa"/>
            <w:right w:w="108" w:type="dxa"/>
          </w:tblCellMar>
        </w:tblPrEx>
        <w:trPr>
          <w:trHeight w:val="592" w:hRule="atLeast"/>
          <w:jc w:val="center"/>
        </w:trPr>
        <w:tc>
          <w:tcPr>
            <w:tcW w:w="1744" w:type="dxa"/>
            <w:vAlign w:val="center"/>
          </w:tcPr>
          <w:p>
            <w:pPr>
              <w:spacing w:line="360" w:lineRule="auto"/>
              <w:jc w:val="center"/>
              <w:rPr>
                <w:rFonts w:hint="default" w:ascii="Times New Roman" w:hAnsi="Times New Roman" w:cs="Times New Roman"/>
                <w:b/>
                <w:sz w:val="24"/>
              </w:rPr>
            </w:pPr>
            <w:r>
              <w:rPr>
                <w:rFonts w:hint="default" w:ascii="Times New Roman" w:hAnsi="Times New Roman" w:cs="Times New Roman"/>
                <w:bCs/>
                <w:sz w:val="24"/>
              </w:rPr>
              <w:t>建设项目性质</w:t>
            </w:r>
          </w:p>
        </w:tc>
        <w:tc>
          <w:tcPr>
            <w:tcW w:w="7759" w:type="dxa"/>
            <w:gridSpan w:val="5"/>
            <w:vAlign w:val="center"/>
          </w:tcPr>
          <w:p>
            <w:pPr>
              <w:spacing w:line="360" w:lineRule="auto"/>
              <w:jc w:val="center"/>
              <w:rPr>
                <w:rFonts w:hint="default" w:ascii="Times New Roman" w:hAnsi="Times New Roman" w:cs="Times New Roman"/>
                <w:b/>
                <w:sz w:val="24"/>
              </w:rPr>
            </w:pPr>
            <w:r>
              <w:rPr>
                <w:rFonts w:hint="default" w:ascii="Times New Roman" w:hAnsi="Times New Roman" w:cs="Times New Roman"/>
                <w:sz w:val="24"/>
              </w:rPr>
              <w:t xml:space="preserve">新建    改扩建   技改√  </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113" w:type="dxa"/>
            <w:left w:w="108" w:type="dxa"/>
            <w:bottom w:w="0" w:type="dxa"/>
            <w:right w:w="108" w:type="dxa"/>
          </w:tblCellMar>
        </w:tblPrEx>
        <w:trPr>
          <w:trHeight w:val="572" w:hRule="atLeast"/>
          <w:jc w:val="center"/>
        </w:trPr>
        <w:tc>
          <w:tcPr>
            <w:tcW w:w="1744" w:type="dxa"/>
            <w:vAlign w:val="center"/>
          </w:tcPr>
          <w:p>
            <w:pPr>
              <w:spacing w:line="360" w:lineRule="auto"/>
              <w:jc w:val="center"/>
              <w:rPr>
                <w:rFonts w:hint="default" w:ascii="Times New Roman" w:hAnsi="Times New Roman" w:cs="Times New Roman"/>
                <w:b/>
                <w:sz w:val="24"/>
              </w:rPr>
            </w:pPr>
            <w:r>
              <w:rPr>
                <w:rFonts w:hint="default" w:ascii="Times New Roman" w:hAnsi="Times New Roman" w:cs="Times New Roman"/>
                <w:bCs/>
                <w:sz w:val="24"/>
              </w:rPr>
              <w:t>建设地点</w:t>
            </w:r>
          </w:p>
        </w:tc>
        <w:tc>
          <w:tcPr>
            <w:tcW w:w="7759" w:type="dxa"/>
            <w:gridSpan w:val="5"/>
            <w:vAlign w:val="center"/>
          </w:tcPr>
          <w:p>
            <w:pPr>
              <w:spacing w:line="360" w:lineRule="auto"/>
              <w:jc w:val="center"/>
              <w:rPr>
                <w:rFonts w:hint="default" w:ascii="Times New Roman" w:hAnsi="Times New Roman" w:eastAsia="宋体" w:cs="Times New Roman"/>
                <w:bCs/>
                <w:sz w:val="24"/>
                <w:lang w:val="en-US" w:eastAsia="zh-CN"/>
              </w:rPr>
            </w:pPr>
            <w:r>
              <w:rPr>
                <w:rFonts w:hint="eastAsia" w:cs="Times New Roman"/>
                <w:bCs/>
                <w:sz w:val="24"/>
                <w:lang w:eastAsia="zh-CN"/>
              </w:rPr>
              <w:t>安徽省芜湖市经济技术开发区长江北路250号芜湖永达科技有限公司内</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113" w:type="dxa"/>
            <w:left w:w="108" w:type="dxa"/>
            <w:bottom w:w="0" w:type="dxa"/>
            <w:right w:w="108" w:type="dxa"/>
          </w:tblCellMar>
        </w:tblPrEx>
        <w:trPr>
          <w:trHeight w:val="572" w:hRule="atLeast"/>
          <w:jc w:val="center"/>
        </w:trPr>
        <w:tc>
          <w:tcPr>
            <w:tcW w:w="1744" w:type="dxa"/>
            <w:vAlign w:val="center"/>
          </w:tcPr>
          <w:p>
            <w:pPr>
              <w:spacing w:line="360" w:lineRule="auto"/>
              <w:jc w:val="center"/>
              <w:rPr>
                <w:rFonts w:hint="default" w:ascii="Times New Roman" w:hAnsi="Times New Roman" w:cs="Times New Roman"/>
                <w:b/>
                <w:sz w:val="24"/>
              </w:rPr>
            </w:pPr>
            <w:r>
              <w:rPr>
                <w:rFonts w:hint="default" w:ascii="Times New Roman" w:hAnsi="Times New Roman" w:cs="Times New Roman"/>
                <w:bCs/>
                <w:sz w:val="24"/>
              </w:rPr>
              <w:t>主要产品名称</w:t>
            </w:r>
          </w:p>
        </w:tc>
        <w:tc>
          <w:tcPr>
            <w:tcW w:w="7759" w:type="dxa"/>
            <w:gridSpan w:val="5"/>
            <w:vAlign w:val="center"/>
          </w:tcPr>
          <w:p>
            <w:pPr>
              <w:spacing w:line="360" w:lineRule="auto"/>
              <w:jc w:val="center"/>
              <w:rPr>
                <w:rFonts w:hint="default" w:ascii="Times New Roman" w:hAnsi="Times New Roman" w:cs="Times New Roman"/>
                <w:b/>
                <w:sz w:val="24"/>
                <w:highlight w:val="yellow"/>
                <w:lang w:val="en-US"/>
              </w:rPr>
            </w:pPr>
            <w:r>
              <w:rPr>
                <w:rFonts w:hint="default" w:ascii="Times New Roman" w:hAnsi="Times New Roman" w:cs="Times New Roman"/>
                <w:sz w:val="24"/>
                <w:lang w:val="en-US" w:eastAsia="zh-CN"/>
              </w:rPr>
              <w:t>缸体</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113" w:type="dxa"/>
            <w:left w:w="108" w:type="dxa"/>
            <w:bottom w:w="0" w:type="dxa"/>
            <w:right w:w="108" w:type="dxa"/>
          </w:tblCellMar>
        </w:tblPrEx>
        <w:trPr>
          <w:trHeight w:val="572" w:hRule="atLeast"/>
          <w:jc w:val="center"/>
        </w:trPr>
        <w:tc>
          <w:tcPr>
            <w:tcW w:w="1744" w:type="dxa"/>
            <w:vAlign w:val="center"/>
          </w:tcPr>
          <w:p>
            <w:pPr>
              <w:spacing w:line="360" w:lineRule="auto"/>
              <w:jc w:val="center"/>
              <w:rPr>
                <w:rFonts w:hint="default" w:ascii="Times New Roman" w:hAnsi="Times New Roman" w:cs="Times New Roman"/>
                <w:b/>
                <w:sz w:val="24"/>
              </w:rPr>
            </w:pPr>
            <w:bookmarkStart w:id="0" w:name="_Hlk22904627"/>
            <w:r>
              <w:rPr>
                <w:rFonts w:hint="default" w:ascii="Times New Roman" w:hAnsi="Times New Roman" w:cs="Times New Roman"/>
                <w:bCs/>
                <w:sz w:val="24"/>
              </w:rPr>
              <w:t>设计生产能力</w:t>
            </w:r>
          </w:p>
        </w:tc>
        <w:tc>
          <w:tcPr>
            <w:tcW w:w="7759" w:type="dxa"/>
            <w:gridSpan w:val="5"/>
            <w:vAlign w:val="center"/>
          </w:tcPr>
          <w:p>
            <w:pPr>
              <w:spacing w:line="360" w:lineRule="auto"/>
              <w:jc w:val="center"/>
              <w:rPr>
                <w:rFonts w:hint="default" w:ascii="Times New Roman" w:hAnsi="Times New Roman" w:cs="Times New Roman"/>
                <w:b/>
                <w:sz w:val="24"/>
                <w:highlight w:val="yellow"/>
                <w:lang w:val="en-US"/>
              </w:rPr>
            </w:pPr>
            <w:r>
              <w:rPr>
                <w:rFonts w:hint="eastAsia" w:cs="Times New Roman"/>
                <w:sz w:val="24"/>
                <w:lang w:val="en-US" w:eastAsia="zh-CN"/>
              </w:rPr>
              <w:t>28万件</w:t>
            </w:r>
            <w:r>
              <w:rPr>
                <w:rFonts w:hint="default" w:ascii="Times New Roman" w:hAnsi="Times New Roman" w:cs="Times New Roman"/>
                <w:sz w:val="24"/>
                <w:lang w:val="en-US" w:eastAsia="zh-CN"/>
              </w:rPr>
              <w:t>/a</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113" w:type="dxa"/>
            <w:left w:w="108" w:type="dxa"/>
            <w:bottom w:w="0" w:type="dxa"/>
            <w:right w:w="108" w:type="dxa"/>
          </w:tblCellMar>
        </w:tblPrEx>
        <w:trPr>
          <w:trHeight w:val="572" w:hRule="atLeast"/>
          <w:jc w:val="center"/>
        </w:trPr>
        <w:tc>
          <w:tcPr>
            <w:tcW w:w="1744" w:type="dxa"/>
            <w:vAlign w:val="center"/>
          </w:tcPr>
          <w:p>
            <w:pPr>
              <w:spacing w:line="360" w:lineRule="auto"/>
              <w:jc w:val="center"/>
              <w:rPr>
                <w:rFonts w:hint="default" w:ascii="Times New Roman" w:hAnsi="Times New Roman" w:cs="Times New Roman"/>
                <w:b/>
                <w:sz w:val="24"/>
              </w:rPr>
            </w:pPr>
            <w:r>
              <w:rPr>
                <w:rFonts w:hint="default" w:ascii="Times New Roman" w:hAnsi="Times New Roman" w:cs="Times New Roman"/>
                <w:bCs/>
                <w:sz w:val="24"/>
              </w:rPr>
              <w:t>实际生产能力</w:t>
            </w:r>
          </w:p>
        </w:tc>
        <w:tc>
          <w:tcPr>
            <w:tcW w:w="7759" w:type="dxa"/>
            <w:gridSpan w:val="5"/>
            <w:vAlign w:val="center"/>
          </w:tcPr>
          <w:p>
            <w:pPr>
              <w:spacing w:line="360" w:lineRule="auto"/>
              <w:jc w:val="center"/>
              <w:rPr>
                <w:rFonts w:hint="default" w:ascii="Times New Roman" w:hAnsi="Times New Roman" w:cs="Times New Roman"/>
                <w:b/>
                <w:sz w:val="24"/>
                <w:highlight w:val="yellow"/>
              </w:rPr>
            </w:pPr>
            <w:r>
              <w:rPr>
                <w:rFonts w:hint="eastAsia" w:cs="Times New Roman"/>
                <w:sz w:val="24"/>
                <w:highlight w:val="none"/>
                <w:lang w:val="en-US" w:eastAsia="zh-CN"/>
              </w:rPr>
              <w:t>14万件/a</w:t>
            </w:r>
          </w:p>
        </w:tc>
      </w:tr>
      <w:bookmarkEnd w:id="0"/>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113" w:type="dxa"/>
            <w:left w:w="108" w:type="dxa"/>
            <w:bottom w:w="0" w:type="dxa"/>
            <w:right w:w="108" w:type="dxa"/>
          </w:tblCellMar>
        </w:tblPrEx>
        <w:trPr>
          <w:trHeight w:val="572" w:hRule="atLeast"/>
          <w:jc w:val="center"/>
        </w:trPr>
        <w:tc>
          <w:tcPr>
            <w:tcW w:w="1744" w:type="dxa"/>
            <w:vAlign w:val="center"/>
          </w:tcPr>
          <w:p>
            <w:pPr>
              <w:spacing w:line="360" w:lineRule="auto"/>
              <w:jc w:val="center"/>
              <w:rPr>
                <w:rFonts w:hint="default" w:ascii="Times New Roman" w:hAnsi="Times New Roman" w:cs="Times New Roman"/>
                <w:b/>
                <w:sz w:val="24"/>
                <w:highlight w:val="none"/>
              </w:rPr>
            </w:pPr>
            <w:r>
              <w:rPr>
                <w:rFonts w:hint="default" w:ascii="Times New Roman" w:hAnsi="Times New Roman" w:cs="Times New Roman"/>
                <w:bCs/>
                <w:sz w:val="24"/>
                <w:highlight w:val="none"/>
              </w:rPr>
              <w:t>建设项目环评时间</w:t>
            </w:r>
          </w:p>
        </w:tc>
        <w:tc>
          <w:tcPr>
            <w:tcW w:w="2170" w:type="dxa"/>
            <w:vAlign w:val="center"/>
          </w:tcPr>
          <w:p>
            <w:pPr>
              <w:spacing w:line="360" w:lineRule="auto"/>
              <w:jc w:val="center"/>
              <w:rPr>
                <w:rFonts w:hint="default" w:ascii="Times New Roman" w:hAnsi="Times New Roman" w:cs="Times New Roman"/>
                <w:b/>
                <w:sz w:val="24"/>
                <w:highlight w:val="none"/>
              </w:rPr>
            </w:pPr>
            <w:r>
              <w:rPr>
                <w:rFonts w:hint="default" w:ascii="Times New Roman" w:hAnsi="Times New Roman" w:cs="Times New Roman"/>
                <w:sz w:val="24"/>
                <w:highlight w:val="none"/>
                <w:lang w:val="en-US" w:eastAsia="zh-CN"/>
              </w:rPr>
              <w:t>201</w:t>
            </w:r>
            <w:r>
              <w:rPr>
                <w:rFonts w:hint="eastAsia" w:cs="Times New Roman"/>
                <w:sz w:val="24"/>
                <w:highlight w:val="none"/>
                <w:lang w:val="en-US" w:eastAsia="zh-CN"/>
              </w:rPr>
              <w:t>9</w:t>
            </w:r>
            <w:r>
              <w:rPr>
                <w:rFonts w:hint="default" w:ascii="Times New Roman" w:hAnsi="Times New Roman" w:cs="Times New Roman"/>
                <w:sz w:val="24"/>
                <w:highlight w:val="none"/>
              </w:rPr>
              <w:t>年</w:t>
            </w:r>
            <w:r>
              <w:rPr>
                <w:rFonts w:hint="default" w:ascii="Times New Roman" w:hAnsi="Times New Roman" w:cs="Times New Roman"/>
                <w:sz w:val="24"/>
                <w:highlight w:val="none"/>
                <w:lang w:val="en-US" w:eastAsia="zh-CN"/>
              </w:rPr>
              <w:t>5</w:t>
            </w:r>
            <w:r>
              <w:rPr>
                <w:rFonts w:hint="default" w:ascii="Times New Roman" w:hAnsi="Times New Roman" w:cs="Times New Roman"/>
                <w:sz w:val="24"/>
                <w:highlight w:val="none"/>
              </w:rPr>
              <w:t>月</w:t>
            </w:r>
          </w:p>
        </w:tc>
        <w:tc>
          <w:tcPr>
            <w:tcW w:w="2180" w:type="dxa"/>
            <w:vAlign w:val="center"/>
          </w:tcPr>
          <w:p>
            <w:pPr>
              <w:spacing w:line="360" w:lineRule="auto"/>
              <w:jc w:val="center"/>
              <w:rPr>
                <w:rFonts w:hint="default" w:ascii="Times New Roman" w:hAnsi="Times New Roman" w:cs="Times New Roman"/>
                <w:b/>
                <w:sz w:val="24"/>
                <w:highlight w:val="yellow"/>
              </w:rPr>
            </w:pPr>
            <w:r>
              <w:rPr>
                <w:rFonts w:hint="default" w:ascii="Times New Roman" w:hAnsi="Times New Roman" w:cs="Times New Roman"/>
                <w:bCs/>
                <w:sz w:val="24"/>
                <w:highlight w:val="none"/>
              </w:rPr>
              <w:t>开工建设时间</w:t>
            </w:r>
          </w:p>
        </w:tc>
        <w:tc>
          <w:tcPr>
            <w:tcW w:w="3409" w:type="dxa"/>
            <w:gridSpan w:val="3"/>
            <w:vAlign w:val="center"/>
          </w:tcPr>
          <w:p>
            <w:pPr>
              <w:spacing w:line="360" w:lineRule="auto"/>
              <w:jc w:val="center"/>
              <w:rPr>
                <w:rFonts w:hint="default" w:ascii="Times New Roman" w:hAnsi="Times New Roman" w:cs="Times New Roman"/>
                <w:bCs/>
                <w:sz w:val="24"/>
                <w:highlight w:val="none"/>
              </w:rPr>
            </w:pPr>
            <w:r>
              <w:rPr>
                <w:rFonts w:hint="default" w:ascii="Times New Roman" w:hAnsi="Times New Roman" w:cs="Times New Roman"/>
                <w:bCs/>
                <w:sz w:val="24"/>
                <w:highlight w:val="none"/>
                <w:lang w:val="en-US" w:eastAsia="zh-CN"/>
              </w:rPr>
              <w:t>201</w:t>
            </w:r>
            <w:r>
              <w:rPr>
                <w:rFonts w:hint="eastAsia" w:cs="Times New Roman"/>
                <w:bCs/>
                <w:sz w:val="24"/>
                <w:highlight w:val="none"/>
                <w:lang w:val="en-US" w:eastAsia="zh-CN"/>
              </w:rPr>
              <w:t>9</w:t>
            </w:r>
            <w:r>
              <w:rPr>
                <w:rFonts w:hint="default" w:ascii="Times New Roman" w:hAnsi="Times New Roman" w:cs="Times New Roman"/>
                <w:bCs/>
                <w:sz w:val="24"/>
                <w:highlight w:val="none"/>
              </w:rPr>
              <w:t>年</w:t>
            </w:r>
            <w:r>
              <w:rPr>
                <w:rFonts w:hint="eastAsia" w:cs="Times New Roman"/>
                <w:bCs/>
                <w:sz w:val="24"/>
                <w:highlight w:val="none"/>
                <w:lang w:val="en-US" w:eastAsia="zh-CN"/>
              </w:rPr>
              <w:t>7</w:t>
            </w:r>
            <w:r>
              <w:rPr>
                <w:rFonts w:hint="default" w:ascii="Times New Roman" w:hAnsi="Times New Roman" w:cs="Times New Roman"/>
                <w:bCs/>
                <w:sz w:val="24"/>
                <w:highlight w:val="none"/>
              </w:rPr>
              <w:t>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113" w:type="dxa"/>
            <w:left w:w="108" w:type="dxa"/>
            <w:bottom w:w="0" w:type="dxa"/>
            <w:right w:w="108" w:type="dxa"/>
          </w:tblCellMar>
        </w:tblPrEx>
        <w:trPr>
          <w:trHeight w:val="572" w:hRule="atLeast"/>
          <w:jc w:val="center"/>
        </w:trPr>
        <w:tc>
          <w:tcPr>
            <w:tcW w:w="1744" w:type="dxa"/>
            <w:vAlign w:val="center"/>
          </w:tcPr>
          <w:p>
            <w:pPr>
              <w:spacing w:line="360" w:lineRule="auto"/>
              <w:jc w:val="center"/>
              <w:rPr>
                <w:rFonts w:hint="default" w:ascii="Times New Roman" w:hAnsi="Times New Roman" w:cs="Times New Roman"/>
                <w:b/>
                <w:sz w:val="24"/>
                <w:highlight w:val="none"/>
              </w:rPr>
            </w:pPr>
            <w:r>
              <w:rPr>
                <w:rFonts w:hint="default" w:ascii="Times New Roman" w:hAnsi="Times New Roman" w:cs="Times New Roman"/>
                <w:bCs/>
                <w:sz w:val="24"/>
                <w:highlight w:val="none"/>
              </w:rPr>
              <w:t>调试时间</w:t>
            </w:r>
          </w:p>
        </w:tc>
        <w:tc>
          <w:tcPr>
            <w:tcW w:w="2170" w:type="dxa"/>
            <w:vAlign w:val="center"/>
          </w:tcPr>
          <w:p>
            <w:pPr>
              <w:spacing w:line="360" w:lineRule="auto"/>
              <w:jc w:val="center"/>
              <w:rPr>
                <w:rFonts w:hint="default" w:ascii="Times New Roman" w:hAnsi="Times New Roman" w:cs="Times New Roman"/>
                <w:b/>
                <w:sz w:val="24"/>
                <w:highlight w:val="none"/>
              </w:rPr>
            </w:pPr>
            <w:r>
              <w:rPr>
                <w:rFonts w:hint="default" w:ascii="Times New Roman" w:hAnsi="Times New Roman" w:cs="Times New Roman"/>
                <w:sz w:val="24"/>
                <w:highlight w:val="none"/>
              </w:rPr>
              <w:t>/</w:t>
            </w:r>
          </w:p>
        </w:tc>
        <w:tc>
          <w:tcPr>
            <w:tcW w:w="2180" w:type="dxa"/>
            <w:vAlign w:val="center"/>
          </w:tcPr>
          <w:p>
            <w:pPr>
              <w:spacing w:line="360" w:lineRule="auto"/>
              <w:jc w:val="center"/>
              <w:rPr>
                <w:rFonts w:hint="default" w:ascii="Times New Roman" w:hAnsi="Times New Roman" w:cs="Times New Roman"/>
                <w:b/>
                <w:sz w:val="24"/>
                <w:highlight w:val="none"/>
              </w:rPr>
            </w:pPr>
            <w:r>
              <w:rPr>
                <w:rFonts w:hint="default" w:ascii="Times New Roman" w:hAnsi="Times New Roman" w:cs="Times New Roman"/>
                <w:bCs/>
                <w:sz w:val="24"/>
                <w:highlight w:val="none"/>
              </w:rPr>
              <w:t>验收现场监测时间</w:t>
            </w:r>
          </w:p>
        </w:tc>
        <w:tc>
          <w:tcPr>
            <w:tcW w:w="3409" w:type="dxa"/>
            <w:gridSpan w:val="3"/>
            <w:vAlign w:val="center"/>
          </w:tcPr>
          <w:p>
            <w:pPr>
              <w:spacing w:line="360" w:lineRule="auto"/>
              <w:jc w:val="center"/>
              <w:rPr>
                <w:rFonts w:hint="default" w:ascii="Times New Roman" w:hAnsi="Times New Roman" w:cs="Times New Roman"/>
                <w:sz w:val="24"/>
                <w:highlight w:val="none"/>
              </w:rPr>
            </w:pPr>
            <w:r>
              <w:rPr>
                <w:rFonts w:hint="default" w:ascii="Times New Roman" w:hAnsi="Times New Roman" w:cs="Times New Roman"/>
                <w:sz w:val="24"/>
                <w:highlight w:val="none"/>
                <w:lang w:val="en-US" w:eastAsia="zh-CN"/>
              </w:rPr>
              <w:t>2020年</w:t>
            </w:r>
            <w:r>
              <w:rPr>
                <w:rFonts w:hint="eastAsia" w:cs="Times New Roman"/>
                <w:sz w:val="24"/>
                <w:highlight w:val="none"/>
                <w:lang w:val="en-US" w:eastAsia="zh-CN"/>
              </w:rPr>
              <w:t>7</w:t>
            </w:r>
            <w:r>
              <w:rPr>
                <w:rFonts w:hint="default" w:ascii="Times New Roman" w:hAnsi="Times New Roman" w:cs="Times New Roman"/>
                <w:sz w:val="24"/>
                <w:highlight w:val="none"/>
                <w:lang w:val="en-US" w:eastAsia="zh-CN"/>
              </w:rPr>
              <w:t>月</w:t>
            </w:r>
            <w:r>
              <w:rPr>
                <w:rFonts w:hint="default" w:ascii="Times New Roman" w:hAnsi="Times New Roman" w:cs="Times New Roman"/>
                <w:sz w:val="24"/>
                <w:highlight w:val="none"/>
              </w:rPr>
              <w:t xml:space="preserve"> </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113" w:type="dxa"/>
            <w:left w:w="108" w:type="dxa"/>
            <w:bottom w:w="0" w:type="dxa"/>
            <w:right w:w="108" w:type="dxa"/>
          </w:tblCellMar>
        </w:tblPrEx>
        <w:trPr>
          <w:trHeight w:val="572" w:hRule="atLeast"/>
          <w:jc w:val="center"/>
        </w:trPr>
        <w:tc>
          <w:tcPr>
            <w:tcW w:w="1744" w:type="dxa"/>
            <w:vAlign w:val="center"/>
          </w:tcPr>
          <w:p>
            <w:pPr>
              <w:spacing w:line="360" w:lineRule="auto"/>
              <w:jc w:val="center"/>
              <w:rPr>
                <w:rFonts w:hint="default" w:ascii="Times New Roman" w:hAnsi="Times New Roman" w:cs="Times New Roman"/>
                <w:bCs/>
                <w:sz w:val="24"/>
                <w:highlight w:val="none"/>
              </w:rPr>
            </w:pPr>
            <w:r>
              <w:rPr>
                <w:rFonts w:hint="default" w:ascii="Times New Roman" w:hAnsi="Times New Roman" w:cs="Times New Roman"/>
                <w:bCs/>
                <w:sz w:val="24"/>
                <w:highlight w:val="none"/>
              </w:rPr>
              <w:t>环评报告表</w:t>
            </w:r>
          </w:p>
          <w:p>
            <w:pPr>
              <w:spacing w:line="360" w:lineRule="auto"/>
              <w:jc w:val="center"/>
              <w:rPr>
                <w:rFonts w:hint="default" w:ascii="Times New Roman" w:hAnsi="Times New Roman" w:cs="Times New Roman"/>
                <w:b/>
                <w:sz w:val="24"/>
                <w:highlight w:val="none"/>
              </w:rPr>
            </w:pPr>
            <w:r>
              <w:rPr>
                <w:rFonts w:hint="default" w:ascii="Times New Roman" w:hAnsi="Times New Roman" w:cs="Times New Roman"/>
                <w:bCs/>
                <w:sz w:val="24"/>
                <w:highlight w:val="none"/>
              </w:rPr>
              <w:t>审批部门</w:t>
            </w:r>
          </w:p>
        </w:tc>
        <w:tc>
          <w:tcPr>
            <w:tcW w:w="2170" w:type="dxa"/>
            <w:vAlign w:val="center"/>
          </w:tcPr>
          <w:p>
            <w:pPr>
              <w:spacing w:line="360" w:lineRule="auto"/>
              <w:jc w:val="center"/>
              <w:rPr>
                <w:rFonts w:hint="default" w:ascii="Times New Roman" w:hAnsi="Times New Roman" w:eastAsia="宋体" w:cs="Times New Roman"/>
                <w:b/>
                <w:sz w:val="24"/>
                <w:highlight w:val="none"/>
                <w:lang w:eastAsia="zh-CN"/>
              </w:rPr>
            </w:pPr>
            <w:r>
              <w:rPr>
                <w:rFonts w:hint="eastAsia" w:cs="Times New Roman"/>
                <w:sz w:val="24"/>
                <w:highlight w:val="none"/>
                <w:lang w:eastAsia="zh-CN"/>
              </w:rPr>
              <w:t>芜湖市生态环境局</w:t>
            </w:r>
          </w:p>
        </w:tc>
        <w:tc>
          <w:tcPr>
            <w:tcW w:w="2180" w:type="dxa"/>
            <w:vAlign w:val="center"/>
          </w:tcPr>
          <w:p>
            <w:pPr>
              <w:spacing w:line="360" w:lineRule="auto"/>
              <w:jc w:val="center"/>
              <w:rPr>
                <w:rFonts w:hint="default" w:ascii="Times New Roman" w:hAnsi="Times New Roman" w:cs="Times New Roman"/>
                <w:bCs/>
                <w:sz w:val="24"/>
                <w:highlight w:val="none"/>
              </w:rPr>
            </w:pPr>
            <w:r>
              <w:rPr>
                <w:rFonts w:hint="default" w:ascii="Times New Roman" w:hAnsi="Times New Roman" w:cs="Times New Roman"/>
                <w:bCs/>
                <w:sz w:val="24"/>
                <w:highlight w:val="none"/>
              </w:rPr>
              <w:t>环评报告表</w:t>
            </w:r>
          </w:p>
          <w:p>
            <w:pPr>
              <w:spacing w:line="360" w:lineRule="auto"/>
              <w:jc w:val="center"/>
              <w:rPr>
                <w:rFonts w:hint="default" w:ascii="Times New Roman" w:hAnsi="Times New Roman" w:cs="Times New Roman"/>
                <w:b/>
                <w:sz w:val="24"/>
                <w:highlight w:val="yellow"/>
              </w:rPr>
            </w:pPr>
            <w:r>
              <w:rPr>
                <w:rFonts w:hint="default" w:ascii="Times New Roman" w:hAnsi="Times New Roman" w:cs="Times New Roman"/>
                <w:bCs/>
                <w:sz w:val="24"/>
                <w:highlight w:val="none"/>
              </w:rPr>
              <w:t>编制单位</w:t>
            </w:r>
          </w:p>
        </w:tc>
        <w:tc>
          <w:tcPr>
            <w:tcW w:w="3409" w:type="dxa"/>
            <w:gridSpan w:val="3"/>
            <w:vAlign w:val="center"/>
          </w:tcPr>
          <w:p>
            <w:pPr>
              <w:spacing w:line="360" w:lineRule="auto"/>
              <w:jc w:val="center"/>
              <w:rPr>
                <w:rFonts w:hint="default" w:ascii="Times New Roman" w:hAnsi="Times New Roman" w:eastAsia="宋体" w:cs="Times New Roman"/>
                <w:b/>
                <w:sz w:val="24"/>
                <w:highlight w:val="yellow"/>
                <w:lang w:eastAsia="zh-CN"/>
              </w:rPr>
            </w:pPr>
            <w:r>
              <w:rPr>
                <w:rFonts w:hint="eastAsia" w:cs="Times New Roman"/>
                <w:sz w:val="24"/>
                <w:highlight w:val="none"/>
                <w:lang w:eastAsia="zh-CN"/>
              </w:rPr>
              <w:t>苏州科太环境技术有限公司</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113" w:type="dxa"/>
            <w:left w:w="108" w:type="dxa"/>
            <w:bottom w:w="0" w:type="dxa"/>
            <w:right w:w="108" w:type="dxa"/>
          </w:tblCellMar>
        </w:tblPrEx>
        <w:trPr>
          <w:trHeight w:val="572" w:hRule="atLeast"/>
          <w:jc w:val="center"/>
        </w:trPr>
        <w:tc>
          <w:tcPr>
            <w:tcW w:w="1744" w:type="dxa"/>
            <w:vAlign w:val="center"/>
          </w:tcPr>
          <w:p>
            <w:pPr>
              <w:spacing w:line="360" w:lineRule="auto"/>
              <w:jc w:val="center"/>
              <w:rPr>
                <w:rFonts w:hint="default" w:ascii="Times New Roman" w:hAnsi="Times New Roman" w:cs="Times New Roman"/>
                <w:b/>
                <w:sz w:val="24"/>
                <w:highlight w:val="none"/>
              </w:rPr>
            </w:pPr>
            <w:r>
              <w:rPr>
                <w:rFonts w:hint="default" w:ascii="Times New Roman" w:hAnsi="Times New Roman" w:cs="Times New Roman"/>
                <w:bCs/>
                <w:sz w:val="24"/>
                <w:highlight w:val="none"/>
              </w:rPr>
              <w:t>环保设施设计单位</w:t>
            </w:r>
          </w:p>
        </w:tc>
        <w:tc>
          <w:tcPr>
            <w:tcW w:w="2170" w:type="dxa"/>
            <w:vAlign w:val="center"/>
          </w:tcPr>
          <w:p>
            <w:pPr>
              <w:spacing w:line="360" w:lineRule="auto"/>
              <w:jc w:val="center"/>
              <w:rPr>
                <w:rFonts w:hint="default" w:ascii="Times New Roman" w:hAnsi="Times New Roman" w:cs="Times New Roman"/>
                <w:b/>
                <w:sz w:val="24"/>
                <w:highlight w:val="none"/>
              </w:rPr>
            </w:pPr>
            <w:r>
              <w:rPr>
                <w:rFonts w:hint="default" w:ascii="Times New Roman" w:hAnsi="Times New Roman" w:cs="Times New Roman"/>
                <w:sz w:val="24"/>
                <w:highlight w:val="none"/>
              </w:rPr>
              <w:t>/</w:t>
            </w:r>
          </w:p>
        </w:tc>
        <w:tc>
          <w:tcPr>
            <w:tcW w:w="2180" w:type="dxa"/>
            <w:vAlign w:val="center"/>
          </w:tcPr>
          <w:p>
            <w:pPr>
              <w:spacing w:line="360" w:lineRule="auto"/>
              <w:jc w:val="center"/>
              <w:rPr>
                <w:rFonts w:hint="default" w:ascii="Times New Roman" w:hAnsi="Times New Roman" w:cs="Times New Roman"/>
                <w:b/>
                <w:sz w:val="24"/>
                <w:highlight w:val="none"/>
              </w:rPr>
            </w:pPr>
            <w:r>
              <w:rPr>
                <w:rFonts w:hint="default" w:ascii="Times New Roman" w:hAnsi="Times New Roman" w:cs="Times New Roman"/>
                <w:bCs/>
                <w:sz w:val="24"/>
                <w:highlight w:val="none"/>
              </w:rPr>
              <w:t>环保设施施工单位</w:t>
            </w:r>
          </w:p>
        </w:tc>
        <w:tc>
          <w:tcPr>
            <w:tcW w:w="3409" w:type="dxa"/>
            <w:gridSpan w:val="3"/>
            <w:vAlign w:val="center"/>
          </w:tcPr>
          <w:p>
            <w:pPr>
              <w:spacing w:line="360" w:lineRule="auto"/>
              <w:jc w:val="center"/>
              <w:rPr>
                <w:rFonts w:hint="default" w:ascii="Times New Roman" w:hAnsi="Times New Roman" w:cs="Times New Roman"/>
                <w:b/>
                <w:sz w:val="24"/>
                <w:highlight w:val="none"/>
              </w:rPr>
            </w:pPr>
            <w:r>
              <w:rPr>
                <w:rFonts w:hint="default" w:ascii="Times New Roman" w:hAnsi="Times New Roman" w:cs="Times New Roman"/>
                <w:sz w:val="24"/>
                <w:highlight w:val="none"/>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113" w:type="dxa"/>
            <w:left w:w="108" w:type="dxa"/>
            <w:bottom w:w="0" w:type="dxa"/>
            <w:right w:w="108" w:type="dxa"/>
          </w:tblCellMar>
        </w:tblPrEx>
        <w:trPr>
          <w:trHeight w:val="572" w:hRule="atLeast"/>
          <w:jc w:val="center"/>
        </w:trPr>
        <w:tc>
          <w:tcPr>
            <w:tcW w:w="1744" w:type="dxa"/>
            <w:vAlign w:val="center"/>
          </w:tcPr>
          <w:p>
            <w:pPr>
              <w:spacing w:line="360" w:lineRule="auto"/>
              <w:jc w:val="center"/>
              <w:rPr>
                <w:rFonts w:hint="default" w:ascii="Times New Roman" w:hAnsi="Times New Roman" w:cs="Times New Roman"/>
                <w:b/>
                <w:sz w:val="24"/>
                <w:highlight w:val="none"/>
              </w:rPr>
            </w:pPr>
            <w:r>
              <w:rPr>
                <w:rFonts w:hint="default" w:ascii="Times New Roman" w:hAnsi="Times New Roman" w:cs="Times New Roman"/>
                <w:bCs/>
                <w:sz w:val="24"/>
                <w:highlight w:val="none"/>
              </w:rPr>
              <w:t>投资总概算</w:t>
            </w:r>
          </w:p>
        </w:tc>
        <w:tc>
          <w:tcPr>
            <w:tcW w:w="2170" w:type="dxa"/>
            <w:vAlign w:val="center"/>
          </w:tcPr>
          <w:p>
            <w:pPr>
              <w:spacing w:line="360" w:lineRule="auto"/>
              <w:jc w:val="center"/>
              <w:rPr>
                <w:rFonts w:hint="default" w:ascii="Times New Roman" w:hAnsi="Times New Roman" w:cs="Times New Roman"/>
                <w:b/>
                <w:sz w:val="24"/>
                <w:highlight w:val="none"/>
              </w:rPr>
            </w:pPr>
            <w:r>
              <w:rPr>
                <w:rFonts w:hint="eastAsia" w:cs="Times New Roman"/>
                <w:sz w:val="24"/>
                <w:highlight w:val="none"/>
                <w:lang w:val="en-US" w:eastAsia="zh-CN"/>
              </w:rPr>
              <w:t>10647</w:t>
            </w:r>
            <w:r>
              <w:rPr>
                <w:rFonts w:hint="default" w:ascii="Times New Roman" w:hAnsi="Times New Roman" w:cs="Times New Roman"/>
                <w:sz w:val="24"/>
                <w:highlight w:val="none"/>
              </w:rPr>
              <w:t>万元</w:t>
            </w:r>
          </w:p>
        </w:tc>
        <w:tc>
          <w:tcPr>
            <w:tcW w:w="2180" w:type="dxa"/>
            <w:vAlign w:val="center"/>
          </w:tcPr>
          <w:p>
            <w:pPr>
              <w:spacing w:line="360" w:lineRule="auto"/>
              <w:jc w:val="center"/>
              <w:rPr>
                <w:rFonts w:hint="default" w:ascii="Times New Roman" w:hAnsi="Times New Roman" w:cs="Times New Roman"/>
                <w:b/>
                <w:sz w:val="24"/>
                <w:highlight w:val="none"/>
              </w:rPr>
            </w:pPr>
            <w:r>
              <w:rPr>
                <w:rFonts w:hint="default" w:ascii="Times New Roman" w:hAnsi="Times New Roman" w:cs="Times New Roman"/>
                <w:bCs/>
                <w:sz w:val="24"/>
                <w:highlight w:val="none"/>
              </w:rPr>
              <w:t>环保投资总概算</w:t>
            </w:r>
          </w:p>
        </w:tc>
        <w:tc>
          <w:tcPr>
            <w:tcW w:w="1110" w:type="dxa"/>
            <w:vAlign w:val="center"/>
          </w:tcPr>
          <w:p>
            <w:pPr>
              <w:pStyle w:val="94"/>
              <w:jc w:val="center"/>
              <w:rPr>
                <w:rFonts w:hint="default" w:ascii="Times New Roman" w:hAnsi="Times New Roman" w:eastAsia="宋体" w:cs="Times New Roman"/>
                <w:sz w:val="21"/>
                <w:szCs w:val="21"/>
                <w:highlight w:val="none"/>
              </w:rPr>
            </w:pPr>
            <w:r>
              <w:rPr>
                <w:rFonts w:hint="eastAsia" w:ascii="Times New Roman" w:eastAsia="宋体" w:cs="Times New Roman"/>
                <w:sz w:val="21"/>
                <w:szCs w:val="21"/>
                <w:highlight w:val="none"/>
                <w:lang w:val="en-US" w:eastAsia="zh-CN"/>
              </w:rPr>
              <w:t>315</w:t>
            </w:r>
            <w:r>
              <w:rPr>
                <w:rFonts w:hint="default" w:ascii="Times New Roman" w:hAnsi="Times New Roman" w:eastAsia="宋体" w:cs="Times New Roman"/>
                <w:sz w:val="21"/>
                <w:szCs w:val="21"/>
                <w:highlight w:val="none"/>
              </w:rPr>
              <w:t>万</w:t>
            </w:r>
          </w:p>
        </w:tc>
        <w:tc>
          <w:tcPr>
            <w:tcW w:w="952" w:type="dxa"/>
            <w:vAlign w:val="center"/>
          </w:tcPr>
          <w:p>
            <w:pPr>
              <w:spacing w:line="360" w:lineRule="auto"/>
              <w:jc w:val="center"/>
              <w:rPr>
                <w:rFonts w:hint="default" w:ascii="Times New Roman" w:hAnsi="Times New Roman" w:cs="Times New Roman"/>
                <w:b/>
                <w:sz w:val="24"/>
                <w:highlight w:val="none"/>
              </w:rPr>
            </w:pPr>
            <w:r>
              <w:rPr>
                <w:rFonts w:hint="default" w:ascii="Times New Roman" w:hAnsi="Times New Roman" w:cs="Times New Roman"/>
                <w:bCs/>
                <w:sz w:val="24"/>
                <w:highlight w:val="none"/>
              </w:rPr>
              <w:t>比例</w:t>
            </w:r>
          </w:p>
        </w:tc>
        <w:tc>
          <w:tcPr>
            <w:tcW w:w="1347" w:type="dxa"/>
            <w:vAlign w:val="center"/>
          </w:tcPr>
          <w:p>
            <w:pPr>
              <w:spacing w:line="360" w:lineRule="auto"/>
              <w:jc w:val="center"/>
              <w:rPr>
                <w:rFonts w:hint="default" w:ascii="Times New Roman" w:hAnsi="Times New Roman" w:cs="Times New Roman"/>
                <w:b/>
                <w:sz w:val="24"/>
                <w:highlight w:val="none"/>
              </w:rPr>
            </w:pPr>
            <w:r>
              <w:rPr>
                <w:rFonts w:hint="eastAsia" w:cs="Times New Roman"/>
                <w:sz w:val="24"/>
                <w:highlight w:val="none"/>
                <w:lang w:val="en-US" w:eastAsia="zh-CN"/>
              </w:rPr>
              <w:t>2.96</w:t>
            </w:r>
            <w:r>
              <w:rPr>
                <w:rFonts w:hint="default" w:ascii="Times New Roman" w:hAnsi="Times New Roman" w:cs="Times New Roman"/>
                <w:sz w:val="24"/>
                <w:highlight w:val="none"/>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113" w:type="dxa"/>
            <w:left w:w="108" w:type="dxa"/>
            <w:bottom w:w="0" w:type="dxa"/>
            <w:right w:w="108" w:type="dxa"/>
          </w:tblCellMar>
        </w:tblPrEx>
        <w:trPr>
          <w:trHeight w:val="572" w:hRule="atLeast"/>
          <w:jc w:val="center"/>
        </w:trPr>
        <w:tc>
          <w:tcPr>
            <w:tcW w:w="1744" w:type="dxa"/>
            <w:vAlign w:val="center"/>
          </w:tcPr>
          <w:p>
            <w:pPr>
              <w:spacing w:line="360" w:lineRule="auto"/>
              <w:jc w:val="center"/>
              <w:rPr>
                <w:rFonts w:hint="default" w:ascii="Times New Roman" w:hAnsi="Times New Roman" w:cs="Times New Roman"/>
                <w:b/>
                <w:sz w:val="24"/>
                <w:highlight w:val="none"/>
              </w:rPr>
            </w:pPr>
            <w:r>
              <w:rPr>
                <w:rFonts w:hint="default" w:ascii="Times New Roman" w:hAnsi="Times New Roman" w:cs="Times New Roman"/>
                <w:bCs/>
                <w:sz w:val="24"/>
                <w:highlight w:val="none"/>
              </w:rPr>
              <w:t>实际总概算</w:t>
            </w:r>
          </w:p>
        </w:tc>
        <w:tc>
          <w:tcPr>
            <w:tcW w:w="2170" w:type="dxa"/>
            <w:vAlign w:val="center"/>
          </w:tcPr>
          <w:p>
            <w:pPr>
              <w:spacing w:line="360" w:lineRule="auto"/>
              <w:jc w:val="center"/>
              <w:rPr>
                <w:rFonts w:hint="default" w:ascii="Times New Roman" w:hAnsi="Times New Roman" w:cs="Times New Roman"/>
                <w:bCs/>
                <w:sz w:val="24"/>
                <w:highlight w:val="none"/>
              </w:rPr>
            </w:pPr>
            <w:r>
              <w:rPr>
                <w:rFonts w:hint="eastAsia" w:cs="Times New Roman"/>
                <w:bCs/>
                <w:sz w:val="24"/>
                <w:highlight w:val="none"/>
                <w:lang w:val="en-US" w:eastAsia="zh-CN"/>
              </w:rPr>
              <w:t>5191</w:t>
            </w:r>
            <w:r>
              <w:rPr>
                <w:rFonts w:hint="default" w:ascii="Times New Roman" w:hAnsi="Times New Roman" w:cs="Times New Roman"/>
                <w:bCs/>
                <w:sz w:val="24"/>
                <w:highlight w:val="none"/>
              </w:rPr>
              <w:t>万元</w:t>
            </w:r>
          </w:p>
        </w:tc>
        <w:tc>
          <w:tcPr>
            <w:tcW w:w="2180" w:type="dxa"/>
            <w:vAlign w:val="center"/>
          </w:tcPr>
          <w:p>
            <w:pPr>
              <w:spacing w:line="360" w:lineRule="auto"/>
              <w:jc w:val="center"/>
              <w:rPr>
                <w:rFonts w:hint="default" w:ascii="Times New Roman" w:hAnsi="Times New Roman" w:cs="Times New Roman"/>
                <w:b/>
                <w:sz w:val="24"/>
                <w:highlight w:val="none"/>
              </w:rPr>
            </w:pPr>
            <w:r>
              <w:rPr>
                <w:rFonts w:hint="default" w:ascii="Times New Roman" w:hAnsi="Times New Roman" w:cs="Times New Roman"/>
                <w:bCs/>
                <w:sz w:val="24"/>
                <w:highlight w:val="none"/>
              </w:rPr>
              <w:t>环保投资</w:t>
            </w:r>
          </w:p>
        </w:tc>
        <w:tc>
          <w:tcPr>
            <w:tcW w:w="1110" w:type="dxa"/>
            <w:vAlign w:val="center"/>
          </w:tcPr>
          <w:p>
            <w:pPr>
              <w:spacing w:line="360" w:lineRule="auto"/>
              <w:jc w:val="center"/>
              <w:rPr>
                <w:rFonts w:hint="default" w:ascii="Times New Roman" w:hAnsi="Times New Roman" w:cs="Times New Roman"/>
                <w:bCs/>
                <w:sz w:val="24"/>
                <w:highlight w:val="none"/>
              </w:rPr>
            </w:pPr>
            <w:r>
              <w:rPr>
                <w:rFonts w:hint="eastAsia" w:cs="Times New Roman"/>
                <w:szCs w:val="21"/>
                <w:highlight w:val="none"/>
                <w:lang w:val="en-US" w:eastAsia="zh-CN"/>
              </w:rPr>
              <w:t>290</w:t>
            </w:r>
            <w:r>
              <w:rPr>
                <w:rFonts w:hint="default" w:ascii="Times New Roman" w:hAnsi="Times New Roman" w:cs="Times New Roman"/>
                <w:szCs w:val="21"/>
                <w:highlight w:val="none"/>
              </w:rPr>
              <w:t>万</w:t>
            </w:r>
          </w:p>
        </w:tc>
        <w:tc>
          <w:tcPr>
            <w:tcW w:w="952" w:type="dxa"/>
            <w:vAlign w:val="center"/>
          </w:tcPr>
          <w:p>
            <w:pPr>
              <w:spacing w:line="360" w:lineRule="auto"/>
              <w:jc w:val="center"/>
              <w:rPr>
                <w:rFonts w:hint="default" w:ascii="Times New Roman" w:hAnsi="Times New Roman" w:cs="Times New Roman"/>
                <w:b/>
                <w:sz w:val="24"/>
                <w:highlight w:val="none"/>
              </w:rPr>
            </w:pPr>
            <w:r>
              <w:rPr>
                <w:rFonts w:hint="default" w:ascii="Times New Roman" w:hAnsi="Times New Roman" w:cs="Times New Roman"/>
                <w:bCs/>
                <w:sz w:val="24"/>
                <w:highlight w:val="none"/>
              </w:rPr>
              <w:t>比例</w:t>
            </w:r>
          </w:p>
        </w:tc>
        <w:tc>
          <w:tcPr>
            <w:tcW w:w="1347" w:type="dxa"/>
            <w:vAlign w:val="center"/>
          </w:tcPr>
          <w:p>
            <w:pPr>
              <w:spacing w:line="360" w:lineRule="auto"/>
              <w:jc w:val="center"/>
              <w:rPr>
                <w:rFonts w:hint="default" w:ascii="Times New Roman" w:hAnsi="Times New Roman" w:cs="Times New Roman"/>
                <w:bCs/>
                <w:sz w:val="24"/>
                <w:highlight w:val="none"/>
              </w:rPr>
            </w:pPr>
            <w:r>
              <w:rPr>
                <w:rFonts w:hint="eastAsia" w:cs="Times New Roman"/>
                <w:sz w:val="24"/>
                <w:highlight w:val="none"/>
                <w:lang w:val="en-US" w:eastAsia="zh-CN"/>
              </w:rPr>
              <w:t>5.59</w:t>
            </w:r>
            <w:r>
              <w:rPr>
                <w:rFonts w:hint="default" w:ascii="Times New Roman" w:hAnsi="Times New Roman" w:cs="Times New Roman"/>
                <w:sz w:val="24"/>
                <w:highlight w:val="none"/>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113" w:type="dxa"/>
            <w:left w:w="108" w:type="dxa"/>
            <w:bottom w:w="0" w:type="dxa"/>
            <w:right w:w="108" w:type="dxa"/>
          </w:tblCellMar>
        </w:tblPrEx>
        <w:trPr>
          <w:trHeight w:val="2534" w:hRule="atLeast"/>
          <w:jc w:val="center"/>
        </w:trPr>
        <w:tc>
          <w:tcPr>
            <w:tcW w:w="1744" w:type="dxa"/>
            <w:vAlign w:val="center"/>
          </w:tcPr>
          <w:p>
            <w:pPr>
              <w:spacing w:line="360" w:lineRule="auto"/>
              <w:jc w:val="center"/>
              <w:rPr>
                <w:rFonts w:hint="default" w:ascii="Times New Roman" w:hAnsi="Times New Roman" w:cs="Times New Roman"/>
                <w:sz w:val="24"/>
                <w:highlight w:val="yellow"/>
              </w:rPr>
            </w:pPr>
            <w:r>
              <w:rPr>
                <w:rFonts w:hint="default" w:ascii="Times New Roman" w:hAnsi="Times New Roman" w:cs="Times New Roman"/>
                <w:sz w:val="24"/>
                <w:highlight w:val="none"/>
              </w:rPr>
              <w:t>验收监测依据</w:t>
            </w:r>
          </w:p>
        </w:tc>
        <w:tc>
          <w:tcPr>
            <w:tcW w:w="7759" w:type="dxa"/>
            <w:gridSpan w:val="5"/>
            <w:vAlign w:val="center"/>
          </w:tcPr>
          <w:p>
            <w:pPr>
              <w:spacing w:line="360" w:lineRule="auto"/>
              <w:jc w:val="left"/>
              <w:rPr>
                <w:rFonts w:hint="default" w:ascii="Times New Roman" w:hAnsi="Times New Roman" w:cs="Times New Roman"/>
                <w:sz w:val="24"/>
                <w:highlight w:val="none"/>
              </w:rPr>
            </w:pPr>
            <w:r>
              <w:rPr>
                <w:rFonts w:hint="default" w:ascii="Times New Roman" w:hAnsi="Times New Roman" w:cs="Times New Roman"/>
                <w:sz w:val="24"/>
                <w:highlight w:val="none"/>
              </w:rPr>
              <w:t>1、</w:t>
            </w:r>
            <w:r>
              <w:rPr>
                <w:rFonts w:hint="default" w:ascii="Times New Roman" w:hAnsi="Times New Roman" w:cs="Times New Roman"/>
                <w:color w:val="000000"/>
                <w:sz w:val="24"/>
                <w:highlight w:val="none"/>
              </w:rPr>
              <w:t>《中华人民共和国环境保护法》（2015年1月1日施行）；</w:t>
            </w:r>
          </w:p>
          <w:p>
            <w:pPr>
              <w:spacing w:line="360" w:lineRule="auto"/>
              <w:ind w:right="-197" w:rightChars="-94"/>
              <w:jc w:val="left"/>
              <w:rPr>
                <w:rFonts w:hint="default" w:ascii="Times New Roman" w:hAnsi="Times New Roman" w:cs="Times New Roman"/>
                <w:sz w:val="24"/>
                <w:highlight w:val="none"/>
              </w:rPr>
            </w:pPr>
            <w:r>
              <w:rPr>
                <w:rFonts w:hint="default" w:ascii="Times New Roman" w:hAnsi="Times New Roman" w:cs="Times New Roman"/>
                <w:sz w:val="24"/>
                <w:highlight w:val="none"/>
              </w:rPr>
              <w:t>2、</w:t>
            </w:r>
            <w:r>
              <w:rPr>
                <w:rFonts w:hint="default" w:ascii="Times New Roman" w:hAnsi="Times New Roman" w:cs="Times New Roman"/>
                <w:color w:val="000000"/>
                <w:sz w:val="24"/>
                <w:highlight w:val="none"/>
              </w:rPr>
              <w:t>《中华人民共和国水污染防治法》（2018年1月1日施行）</w:t>
            </w:r>
            <w:r>
              <w:rPr>
                <w:rFonts w:hint="default" w:ascii="Times New Roman" w:hAnsi="Times New Roman" w:cs="Times New Roman"/>
                <w:sz w:val="24"/>
                <w:highlight w:val="none"/>
              </w:rPr>
              <w:t>；</w:t>
            </w:r>
          </w:p>
          <w:p>
            <w:pPr>
              <w:spacing w:line="360" w:lineRule="auto"/>
              <w:jc w:val="left"/>
              <w:rPr>
                <w:rFonts w:hint="default" w:ascii="Times New Roman" w:hAnsi="Times New Roman" w:cs="Times New Roman"/>
                <w:sz w:val="24"/>
                <w:highlight w:val="none"/>
              </w:rPr>
            </w:pPr>
            <w:r>
              <w:rPr>
                <w:rFonts w:hint="default" w:ascii="Times New Roman" w:hAnsi="Times New Roman" w:cs="Times New Roman"/>
                <w:sz w:val="24"/>
                <w:highlight w:val="none"/>
              </w:rPr>
              <w:t>3、</w:t>
            </w:r>
            <w:r>
              <w:rPr>
                <w:rFonts w:hint="default" w:ascii="Times New Roman" w:hAnsi="Times New Roman" w:cs="Times New Roman"/>
                <w:bCs/>
                <w:sz w:val="24"/>
                <w:highlight w:val="none"/>
              </w:rPr>
              <w:t>《中华人民共和国大气污染防治法》（2018年修订）</w:t>
            </w:r>
            <w:r>
              <w:rPr>
                <w:rFonts w:hint="default" w:ascii="Times New Roman" w:hAnsi="Times New Roman" w:cs="Times New Roman"/>
                <w:sz w:val="24"/>
                <w:highlight w:val="none"/>
              </w:rPr>
              <w:t>；</w:t>
            </w:r>
          </w:p>
          <w:p>
            <w:pPr>
              <w:spacing w:line="360" w:lineRule="auto"/>
              <w:jc w:val="left"/>
              <w:rPr>
                <w:rFonts w:hint="default" w:ascii="Times New Roman" w:hAnsi="Times New Roman" w:cs="Times New Roman"/>
                <w:bCs/>
                <w:sz w:val="24"/>
                <w:highlight w:val="none"/>
              </w:rPr>
            </w:pPr>
            <w:r>
              <w:rPr>
                <w:rFonts w:hint="default" w:ascii="Times New Roman" w:hAnsi="Times New Roman" w:cs="Times New Roman"/>
                <w:sz w:val="24"/>
                <w:highlight w:val="none"/>
              </w:rPr>
              <w:t>4、</w:t>
            </w:r>
            <w:r>
              <w:rPr>
                <w:rFonts w:hint="default" w:ascii="Times New Roman" w:hAnsi="Times New Roman" w:cs="Times New Roman"/>
                <w:bCs/>
                <w:sz w:val="24"/>
                <w:highlight w:val="none"/>
              </w:rPr>
              <w:t>《中华人民共和国环境噪声污染防治法》（2018年12月29日修订）</w:t>
            </w:r>
            <w:r>
              <w:rPr>
                <w:rFonts w:hint="default" w:ascii="Times New Roman" w:hAnsi="Times New Roman" w:cs="Times New Roman"/>
                <w:sz w:val="24"/>
                <w:highlight w:val="none"/>
              </w:rPr>
              <w:t>；</w:t>
            </w:r>
          </w:p>
          <w:p>
            <w:pPr>
              <w:spacing w:line="360" w:lineRule="auto"/>
              <w:jc w:val="left"/>
              <w:rPr>
                <w:rFonts w:hint="default" w:ascii="Times New Roman" w:hAnsi="Times New Roman" w:cs="Times New Roman"/>
                <w:sz w:val="24"/>
                <w:highlight w:val="none"/>
              </w:rPr>
            </w:pPr>
            <w:r>
              <w:rPr>
                <w:rFonts w:hint="default" w:ascii="Times New Roman" w:hAnsi="Times New Roman" w:cs="Times New Roman"/>
                <w:sz w:val="24"/>
                <w:highlight w:val="none"/>
              </w:rPr>
              <w:t>5、</w:t>
            </w:r>
            <w:r>
              <w:rPr>
                <w:rFonts w:hint="default" w:ascii="Times New Roman" w:hAnsi="Times New Roman" w:cs="Times New Roman"/>
                <w:color w:val="000000"/>
                <w:sz w:val="24"/>
                <w:highlight w:val="none"/>
              </w:rPr>
              <w:t>《中华人民共和国固体废物污染</w:t>
            </w:r>
            <w:r>
              <w:rPr>
                <w:rFonts w:hint="default" w:ascii="Times New Roman" w:hAnsi="Times New Roman" w:cs="Times New Roman"/>
                <w:bCs/>
                <w:sz w:val="24"/>
                <w:highlight w:val="none"/>
              </w:rPr>
              <w:t>环境防治法》（2016年11月7日第四次修订）</w:t>
            </w:r>
            <w:r>
              <w:rPr>
                <w:rFonts w:hint="default" w:ascii="Times New Roman" w:hAnsi="Times New Roman" w:cs="Times New Roman"/>
                <w:sz w:val="24"/>
                <w:highlight w:val="none"/>
              </w:rPr>
              <w:t>；</w:t>
            </w:r>
          </w:p>
          <w:p>
            <w:pPr>
              <w:spacing w:line="360" w:lineRule="auto"/>
              <w:ind w:right="-197" w:rightChars="-94"/>
              <w:jc w:val="left"/>
              <w:rPr>
                <w:rFonts w:hint="default" w:ascii="Times New Roman" w:hAnsi="Times New Roman" w:cs="Times New Roman"/>
                <w:sz w:val="24"/>
                <w:highlight w:val="none"/>
              </w:rPr>
            </w:pPr>
            <w:r>
              <w:rPr>
                <w:rFonts w:hint="default" w:ascii="Times New Roman" w:hAnsi="Times New Roman" w:cs="Times New Roman"/>
                <w:sz w:val="24"/>
                <w:highlight w:val="none"/>
              </w:rPr>
              <w:t>6、</w:t>
            </w:r>
            <w:r>
              <w:rPr>
                <w:rFonts w:hint="default" w:ascii="Times New Roman" w:hAnsi="Times New Roman" w:cs="Times New Roman"/>
                <w:bCs/>
                <w:sz w:val="24"/>
                <w:highlight w:val="none"/>
              </w:rPr>
              <w:t>《建设项目环境保护管理条例》（2017年10月1日起施行）；</w:t>
            </w:r>
          </w:p>
          <w:p>
            <w:pPr>
              <w:spacing w:line="360" w:lineRule="auto"/>
              <w:jc w:val="left"/>
              <w:rPr>
                <w:rFonts w:hint="default" w:ascii="Times New Roman" w:hAnsi="Times New Roman" w:cs="Times New Roman"/>
                <w:sz w:val="24"/>
                <w:highlight w:val="none"/>
              </w:rPr>
            </w:pPr>
            <w:r>
              <w:rPr>
                <w:rFonts w:hint="default" w:ascii="Times New Roman" w:hAnsi="Times New Roman" w:cs="Times New Roman"/>
                <w:sz w:val="24"/>
                <w:highlight w:val="none"/>
              </w:rPr>
              <w:t>7、</w:t>
            </w:r>
            <w:r>
              <w:rPr>
                <w:rFonts w:hint="default" w:ascii="Times New Roman" w:hAnsi="Times New Roman" w:cs="Times New Roman"/>
                <w:bCs/>
                <w:sz w:val="24"/>
                <w:highlight w:val="none"/>
              </w:rPr>
              <w:t>《建设项目竣工环境保护验收暂行办法》（2017年11月22日发布实施）；</w:t>
            </w:r>
          </w:p>
          <w:p>
            <w:pPr>
              <w:spacing w:line="360" w:lineRule="auto"/>
              <w:ind w:right="225" w:rightChars="107"/>
              <w:jc w:val="left"/>
              <w:rPr>
                <w:rFonts w:hint="default" w:ascii="Times New Roman" w:hAnsi="Times New Roman" w:cs="Times New Roman"/>
                <w:sz w:val="24"/>
                <w:highlight w:val="none"/>
              </w:rPr>
            </w:pPr>
            <w:r>
              <w:rPr>
                <w:rFonts w:hint="default" w:ascii="Times New Roman" w:hAnsi="Times New Roman" w:cs="Times New Roman"/>
                <w:sz w:val="24"/>
                <w:highlight w:val="none"/>
              </w:rPr>
              <w:t>8、</w:t>
            </w:r>
            <w:r>
              <w:rPr>
                <w:rFonts w:hint="default" w:ascii="Times New Roman" w:hAnsi="Times New Roman" w:cs="Times New Roman"/>
                <w:bCs/>
                <w:sz w:val="24"/>
                <w:highlight w:val="none"/>
              </w:rPr>
              <w:t>《建</w:t>
            </w:r>
            <w:r>
              <w:rPr>
                <w:rFonts w:hint="default" w:ascii="Times New Roman" w:hAnsi="Times New Roman" w:cs="Times New Roman"/>
                <w:color w:val="000000"/>
                <w:sz w:val="24"/>
                <w:highlight w:val="none"/>
              </w:rPr>
              <w:t>设项目竣工环境保护验收技术指南 污染影响类》（2018年5月16日发布）；</w:t>
            </w:r>
          </w:p>
          <w:p>
            <w:pPr>
              <w:spacing w:line="360" w:lineRule="auto"/>
              <w:ind w:left="480" w:right="225" w:rightChars="107" w:hanging="480" w:hangingChars="200"/>
              <w:jc w:val="left"/>
              <w:rPr>
                <w:rFonts w:hint="default" w:ascii="Times New Roman" w:hAnsi="Times New Roman" w:cs="Times New Roman"/>
                <w:sz w:val="24"/>
                <w:highlight w:val="none"/>
              </w:rPr>
            </w:pPr>
            <w:r>
              <w:rPr>
                <w:rFonts w:hint="default" w:ascii="Times New Roman" w:hAnsi="Times New Roman" w:cs="Times New Roman"/>
                <w:sz w:val="24"/>
                <w:highlight w:val="none"/>
              </w:rPr>
              <w:t>9、《关于</w:t>
            </w:r>
            <w:r>
              <w:rPr>
                <w:rFonts w:hint="eastAsia" w:cs="Times New Roman"/>
                <w:sz w:val="24"/>
                <w:highlight w:val="none"/>
                <w:lang w:eastAsia="zh-CN"/>
              </w:rPr>
              <w:t>芜湖永达科技有限公司压铸缸体技术改造升级项目</w:t>
            </w:r>
            <w:r>
              <w:rPr>
                <w:rFonts w:hint="default" w:ascii="Times New Roman" w:hAnsi="Times New Roman" w:cs="Times New Roman"/>
                <w:sz w:val="24"/>
                <w:highlight w:val="none"/>
              </w:rPr>
              <w:t>环境影响报告表批复》（</w:t>
            </w:r>
            <w:r>
              <w:rPr>
                <w:rFonts w:hint="eastAsia" w:cs="Times New Roman"/>
                <w:sz w:val="24"/>
                <w:highlight w:val="none"/>
                <w:lang w:val="en-US" w:eastAsia="zh-CN"/>
              </w:rPr>
              <w:t>芜</w:t>
            </w:r>
            <w:r>
              <w:rPr>
                <w:rFonts w:hint="default" w:ascii="Times New Roman" w:hAnsi="Times New Roman" w:cs="Times New Roman"/>
                <w:sz w:val="24"/>
                <w:highlight w:val="none"/>
                <w:lang w:val="en-US" w:eastAsia="zh-CN"/>
              </w:rPr>
              <w:t>环</w:t>
            </w:r>
            <w:r>
              <w:rPr>
                <w:rFonts w:hint="eastAsia" w:cs="Times New Roman"/>
                <w:sz w:val="24"/>
                <w:highlight w:val="none"/>
                <w:lang w:val="en-US" w:eastAsia="zh-CN"/>
              </w:rPr>
              <w:t>评审</w:t>
            </w:r>
            <w:r>
              <w:rPr>
                <w:rFonts w:hint="default" w:ascii="Times New Roman" w:hAnsi="Times New Roman" w:cs="Times New Roman"/>
                <w:sz w:val="24"/>
                <w:highlight w:val="none"/>
                <w:lang w:val="en-US" w:eastAsia="zh-CN"/>
              </w:rPr>
              <w:t>[201</w:t>
            </w:r>
            <w:r>
              <w:rPr>
                <w:rFonts w:hint="eastAsia" w:cs="Times New Roman"/>
                <w:sz w:val="24"/>
                <w:highlight w:val="none"/>
                <w:lang w:val="en-US" w:eastAsia="zh-CN"/>
              </w:rPr>
              <w:t>9</w:t>
            </w:r>
            <w:r>
              <w:rPr>
                <w:rFonts w:hint="default" w:ascii="Times New Roman" w:hAnsi="Times New Roman" w:cs="Times New Roman"/>
                <w:sz w:val="24"/>
                <w:highlight w:val="none"/>
                <w:lang w:val="en-US" w:eastAsia="zh-CN"/>
              </w:rPr>
              <w:t>]</w:t>
            </w:r>
            <w:r>
              <w:rPr>
                <w:rFonts w:hint="eastAsia" w:cs="Times New Roman"/>
                <w:sz w:val="24"/>
                <w:highlight w:val="none"/>
                <w:lang w:val="en-US" w:eastAsia="zh-CN"/>
              </w:rPr>
              <w:t>277</w:t>
            </w:r>
            <w:r>
              <w:rPr>
                <w:rFonts w:hint="default" w:ascii="Times New Roman" w:hAnsi="Times New Roman" w:cs="Times New Roman"/>
                <w:sz w:val="24"/>
                <w:highlight w:val="none"/>
                <w:lang w:val="en-US" w:eastAsia="zh-CN"/>
              </w:rPr>
              <w:t>号</w:t>
            </w:r>
            <w:r>
              <w:rPr>
                <w:rFonts w:hint="default" w:ascii="Times New Roman" w:hAnsi="Times New Roman" w:cs="Times New Roman"/>
                <w:sz w:val="24"/>
                <w:highlight w:val="none"/>
              </w:rPr>
              <w:t>，</w:t>
            </w:r>
            <w:r>
              <w:rPr>
                <w:rFonts w:hint="eastAsia" w:cs="Times New Roman"/>
                <w:sz w:val="24"/>
                <w:highlight w:val="none"/>
                <w:lang w:eastAsia="zh-CN"/>
              </w:rPr>
              <w:t>芜湖市生态环境局</w:t>
            </w:r>
            <w:r>
              <w:rPr>
                <w:rFonts w:hint="default" w:ascii="Times New Roman" w:hAnsi="Times New Roman" w:cs="Times New Roman"/>
                <w:sz w:val="24"/>
                <w:highlight w:val="none"/>
              </w:rPr>
              <w:t>，</w:t>
            </w:r>
            <w:r>
              <w:rPr>
                <w:rFonts w:hint="eastAsia" w:cs="Times New Roman"/>
                <w:sz w:val="24"/>
                <w:highlight w:val="none"/>
                <w:lang w:val="en-US" w:eastAsia="zh-CN"/>
              </w:rPr>
              <w:t>2019</w:t>
            </w:r>
            <w:r>
              <w:rPr>
                <w:rFonts w:hint="default" w:ascii="Times New Roman" w:hAnsi="Times New Roman" w:cs="Times New Roman"/>
                <w:sz w:val="24"/>
                <w:highlight w:val="none"/>
              </w:rPr>
              <w:t>年</w:t>
            </w:r>
            <w:r>
              <w:rPr>
                <w:rFonts w:hint="eastAsia" w:cs="Times New Roman"/>
                <w:sz w:val="24"/>
                <w:highlight w:val="none"/>
                <w:lang w:val="en-US" w:eastAsia="zh-CN"/>
              </w:rPr>
              <w:t>6</w:t>
            </w:r>
            <w:r>
              <w:rPr>
                <w:rFonts w:hint="default" w:ascii="Times New Roman" w:hAnsi="Times New Roman" w:cs="Times New Roman"/>
                <w:sz w:val="24"/>
                <w:highlight w:val="none"/>
              </w:rPr>
              <w:t>月</w:t>
            </w:r>
            <w:r>
              <w:rPr>
                <w:rFonts w:hint="default" w:ascii="Times New Roman" w:hAnsi="Times New Roman" w:cs="Times New Roman"/>
                <w:sz w:val="24"/>
                <w:highlight w:val="none"/>
                <w:lang w:val="en-US" w:eastAsia="zh-CN"/>
              </w:rPr>
              <w:t>24</w:t>
            </w:r>
            <w:r>
              <w:rPr>
                <w:rFonts w:hint="default" w:ascii="Times New Roman" w:hAnsi="Times New Roman" w:cs="Times New Roman"/>
                <w:sz w:val="24"/>
                <w:highlight w:val="none"/>
              </w:rPr>
              <w:t>日）；</w:t>
            </w:r>
          </w:p>
          <w:p>
            <w:pPr>
              <w:spacing w:line="360" w:lineRule="auto"/>
              <w:ind w:left="480" w:right="225" w:rightChars="107" w:hanging="480" w:hangingChars="200"/>
              <w:jc w:val="left"/>
              <w:rPr>
                <w:rFonts w:hint="default" w:ascii="Times New Roman" w:hAnsi="Times New Roman" w:cs="Times New Roman"/>
                <w:sz w:val="24"/>
                <w:highlight w:val="none"/>
              </w:rPr>
            </w:pPr>
            <w:r>
              <w:rPr>
                <w:rFonts w:hint="default" w:ascii="Times New Roman" w:hAnsi="Times New Roman" w:cs="Times New Roman"/>
                <w:sz w:val="24"/>
                <w:highlight w:val="none"/>
              </w:rPr>
              <w:t>10、</w:t>
            </w:r>
            <w:r>
              <w:rPr>
                <w:rFonts w:hint="eastAsia" w:cs="Times New Roman"/>
                <w:sz w:val="24"/>
                <w:highlight w:val="none"/>
                <w:lang w:eastAsia="zh-CN"/>
              </w:rPr>
              <w:t>苏州科太环境技术有限公司</w:t>
            </w:r>
            <w:r>
              <w:rPr>
                <w:rFonts w:hint="default" w:ascii="Times New Roman" w:hAnsi="Times New Roman" w:cs="Times New Roman"/>
                <w:sz w:val="24"/>
                <w:highlight w:val="none"/>
              </w:rPr>
              <w:t>编制的《</w:t>
            </w:r>
            <w:r>
              <w:rPr>
                <w:rFonts w:hint="eastAsia" w:cs="Times New Roman"/>
                <w:sz w:val="24"/>
                <w:highlight w:val="none"/>
                <w:lang w:eastAsia="zh-CN"/>
              </w:rPr>
              <w:t>压铸缸体技术改造升级项目</w:t>
            </w:r>
            <w:r>
              <w:rPr>
                <w:rFonts w:hint="default" w:ascii="Times New Roman" w:hAnsi="Times New Roman" w:cs="Times New Roman"/>
                <w:sz w:val="24"/>
                <w:highlight w:val="none"/>
              </w:rPr>
              <w:t>环境影响报告表》（20</w:t>
            </w:r>
            <w:r>
              <w:rPr>
                <w:rFonts w:hint="default" w:ascii="Times New Roman" w:hAnsi="Times New Roman" w:cs="Times New Roman"/>
                <w:sz w:val="24"/>
                <w:highlight w:val="none"/>
                <w:lang w:val="en-US" w:eastAsia="zh-CN"/>
              </w:rPr>
              <w:t>1</w:t>
            </w:r>
            <w:r>
              <w:rPr>
                <w:rFonts w:hint="eastAsia" w:cs="Times New Roman"/>
                <w:sz w:val="24"/>
                <w:highlight w:val="none"/>
                <w:lang w:val="en-US" w:eastAsia="zh-CN"/>
              </w:rPr>
              <w:t>9</w:t>
            </w:r>
            <w:r>
              <w:rPr>
                <w:rFonts w:hint="default" w:ascii="Times New Roman" w:hAnsi="Times New Roman" w:cs="Times New Roman"/>
                <w:sz w:val="24"/>
                <w:highlight w:val="none"/>
              </w:rPr>
              <w:t>年</w:t>
            </w:r>
            <w:r>
              <w:rPr>
                <w:rFonts w:hint="default" w:ascii="Times New Roman" w:hAnsi="Times New Roman" w:cs="Times New Roman"/>
                <w:sz w:val="24"/>
                <w:highlight w:val="none"/>
                <w:lang w:val="en-US" w:eastAsia="zh-CN"/>
              </w:rPr>
              <w:t>5</w:t>
            </w:r>
            <w:r>
              <w:rPr>
                <w:rFonts w:hint="default" w:ascii="Times New Roman" w:hAnsi="Times New Roman" w:cs="Times New Roman"/>
                <w:sz w:val="24"/>
                <w:highlight w:val="none"/>
              </w:rPr>
              <w:t>月）。</w:t>
            </w:r>
          </w:p>
          <w:p>
            <w:pPr>
              <w:spacing w:line="360" w:lineRule="auto"/>
              <w:ind w:left="480" w:right="225" w:rightChars="107" w:hanging="480" w:hangingChars="200"/>
              <w:jc w:val="left"/>
              <w:rPr>
                <w:rFonts w:hint="default" w:ascii="Times New Roman" w:hAnsi="Times New Roman" w:cs="Times New Roman"/>
                <w:sz w:val="24"/>
                <w:highlight w:val="yellow"/>
              </w:rPr>
            </w:pPr>
          </w:p>
          <w:p>
            <w:pPr>
              <w:spacing w:line="360" w:lineRule="auto"/>
              <w:ind w:left="480" w:right="225" w:rightChars="107" w:hanging="480" w:hangingChars="200"/>
              <w:jc w:val="left"/>
              <w:rPr>
                <w:rFonts w:hint="default" w:ascii="Times New Roman" w:hAnsi="Times New Roman" w:cs="Times New Roman"/>
                <w:sz w:val="24"/>
                <w:highlight w:val="yellow"/>
              </w:rPr>
            </w:pPr>
          </w:p>
          <w:p>
            <w:pPr>
              <w:spacing w:line="360" w:lineRule="auto"/>
              <w:ind w:left="480" w:right="225" w:rightChars="107" w:hanging="480" w:hangingChars="200"/>
              <w:jc w:val="left"/>
              <w:rPr>
                <w:rFonts w:hint="default" w:ascii="Times New Roman" w:hAnsi="Times New Roman" w:cs="Times New Roman"/>
                <w:sz w:val="24"/>
                <w:highlight w:val="yellow"/>
              </w:rPr>
            </w:pPr>
          </w:p>
          <w:p>
            <w:pPr>
              <w:spacing w:line="360" w:lineRule="auto"/>
              <w:ind w:left="480" w:right="225" w:rightChars="107" w:hanging="480" w:hangingChars="200"/>
              <w:jc w:val="left"/>
              <w:rPr>
                <w:rFonts w:hint="default" w:ascii="Times New Roman" w:hAnsi="Times New Roman" w:cs="Times New Roman"/>
                <w:sz w:val="24"/>
                <w:highlight w:val="yellow"/>
              </w:rPr>
            </w:pPr>
          </w:p>
          <w:p>
            <w:pPr>
              <w:spacing w:line="360" w:lineRule="auto"/>
              <w:ind w:left="480" w:right="225" w:rightChars="107" w:hanging="480" w:hangingChars="200"/>
              <w:jc w:val="left"/>
              <w:rPr>
                <w:rFonts w:hint="default" w:ascii="Times New Roman" w:hAnsi="Times New Roman" w:cs="Times New Roman"/>
                <w:sz w:val="24"/>
                <w:highlight w:val="yellow"/>
              </w:rPr>
            </w:pPr>
          </w:p>
          <w:p>
            <w:pPr>
              <w:spacing w:line="360" w:lineRule="auto"/>
              <w:ind w:left="480" w:right="225" w:rightChars="107" w:hanging="480" w:hangingChars="200"/>
              <w:jc w:val="left"/>
              <w:rPr>
                <w:rFonts w:hint="default" w:ascii="Times New Roman" w:hAnsi="Times New Roman" w:cs="Times New Roman"/>
                <w:sz w:val="24"/>
                <w:highlight w:val="yellow"/>
              </w:rPr>
            </w:pPr>
          </w:p>
          <w:p>
            <w:pPr>
              <w:spacing w:line="360" w:lineRule="auto"/>
              <w:ind w:left="480" w:right="225" w:rightChars="107" w:hanging="480" w:hangingChars="200"/>
              <w:jc w:val="left"/>
              <w:rPr>
                <w:rFonts w:hint="default" w:ascii="Times New Roman" w:hAnsi="Times New Roman" w:cs="Times New Roman"/>
                <w:sz w:val="24"/>
                <w:highlight w:val="yellow"/>
              </w:rPr>
            </w:pPr>
          </w:p>
          <w:p>
            <w:pPr>
              <w:spacing w:line="360" w:lineRule="auto"/>
              <w:ind w:left="480" w:right="225" w:rightChars="107" w:hanging="480" w:hangingChars="200"/>
              <w:jc w:val="left"/>
              <w:rPr>
                <w:rFonts w:hint="default" w:ascii="Times New Roman" w:hAnsi="Times New Roman" w:cs="Times New Roman"/>
                <w:sz w:val="24"/>
                <w:highlight w:val="yellow"/>
              </w:rPr>
            </w:pPr>
          </w:p>
          <w:p>
            <w:pPr>
              <w:spacing w:line="360" w:lineRule="auto"/>
              <w:ind w:left="480" w:right="225" w:rightChars="107" w:hanging="480" w:hangingChars="200"/>
              <w:jc w:val="left"/>
              <w:rPr>
                <w:rFonts w:hint="default" w:ascii="Times New Roman" w:hAnsi="Times New Roman" w:cs="Times New Roman"/>
                <w:sz w:val="24"/>
                <w:highlight w:val="yellow"/>
              </w:rPr>
            </w:pPr>
          </w:p>
          <w:p>
            <w:pPr>
              <w:spacing w:line="360" w:lineRule="auto"/>
              <w:ind w:left="480" w:right="225" w:rightChars="107" w:hanging="480" w:hangingChars="200"/>
              <w:jc w:val="left"/>
              <w:rPr>
                <w:rFonts w:hint="default" w:ascii="Times New Roman" w:hAnsi="Times New Roman" w:cs="Times New Roman"/>
                <w:sz w:val="24"/>
                <w:highlight w:val="yellow"/>
              </w:rPr>
            </w:pPr>
          </w:p>
          <w:p>
            <w:pPr>
              <w:spacing w:line="360" w:lineRule="auto"/>
              <w:ind w:left="480" w:right="225" w:rightChars="107" w:hanging="480" w:hangingChars="200"/>
              <w:jc w:val="left"/>
              <w:rPr>
                <w:rFonts w:hint="default" w:ascii="Times New Roman" w:hAnsi="Times New Roman" w:cs="Times New Roman"/>
                <w:sz w:val="24"/>
                <w:highlight w:val="yellow"/>
              </w:rPr>
            </w:pPr>
          </w:p>
          <w:p>
            <w:pPr>
              <w:spacing w:line="360" w:lineRule="auto"/>
              <w:ind w:left="480" w:right="225" w:rightChars="107" w:hanging="480" w:hangingChars="200"/>
              <w:jc w:val="left"/>
              <w:rPr>
                <w:rFonts w:hint="default" w:ascii="Times New Roman" w:hAnsi="Times New Roman" w:cs="Times New Roman"/>
                <w:sz w:val="24"/>
                <w:highlight w:val="yellow"/>
              </w:rPr>
            </w:pPr>
          </w:p>
          <w:p>
            <w:pPr>
              <w:spacing w:line="360" w:lineRule="auto"/>
              <w:ind w:left="480" w:right="225" w:rightChars="107" w:hanging="480" w:hangingChars="200"/>
              <w:jc w:val="left"/>
              <w:rPr>
                <w:rFonts w:hint="default" w:ascii="Times New Roman" w:hAnsi="Times New Roman" w:cs="Times New Roman"/>
                <w:sz w:val="24"/>
                <w:highlight w:val="yellow"/>
              </w:rPr>
            </w:pPr>
          </w:p>
          <w:p>
            <w:pPr>
              <w:spacing w:line="360" w:lineRule="auto"/>
              <w:ind w:left="480" w:right="225" w:rightChars="107" w:hanging="480" w:hangingChars="200"/>
              <w:jc w:val="left"/>
              <w:rPr>
                <w:rFonts w:hint="default" w:ascii="Times New Roman" w:hAnsi="Times New Roman" w:cs="Times New Roman"/>
                <w:sz w:val="24"/>
                <w:highlight w:val="yellow"/>
              </w:rPr>
            </w:pPr>
          </w:p>
          <w:p>
            <w:pPr>
              <w:spacing w:line="360" w:lineRule="auto"/>
              <w:ind w:left="480" w:right="225" w:rightChars="107" w:hanging="480" w:hangingChars="200"/>
              <w:jc w:val="left"/>
              <w:rPr>
                <w:rFonts w:hint="default" w:ascii="Times New Roman" w:hAnsi="Times New Roman" w:cs="Times New Roman"/>
                <w:sz w:val="24"/>
                <w:highlight w:val="yellow"/>
              </w:rPr>
            </w:pPr>
          </w:p>
          <w:p>
            <w:pPr>
              <w:spacing w:line="360" w:lineRule="auto"/>
              <w:ind w:right="225" w:rightChars="107"/>
              <w:jc w:val="left"/>
              <w:rPr>
                <w:rFonts w:hint="default" w:ascii="Times New Roman" w:hAnsi="Times New Roman" w:cs="Times New Roman"/>
                <w:sz w:val="24"/>
                <w:highlight w:val="yellow"/>
              </w:rPr>
            </w:pPr>
          </w:p>
          <w:p>
            <w:pPr>
              <w:spacing w:line="360" w:lineRule="auto"/>
              <w:ind w:right="225" w:rightChars="107"/>
              <w:jc w:val="left"/>
              <w:rPr>
                <w:rFonts w:hint="default" w:ascii="Times New Roman" w:hAnsi="Times New Roman" w:cs="Times New Roman"/>
                <w:sz w:val="24"/>
                <w:highlight w:val="yellow"/>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113" w:type="dxa"/>
            <w:left w:w="108" w:type="dxa"/>
            <w:bottom w:w="0" w:type="dxa"/>
            <w:right w:w="108" w:type="dxa"/>
          </w:tblCellMar>
        </w:tblPrEx>
        <w:trPr>
          <w:trHeight w:val="12315" w:hRule="atLeast"/>
          <w:jc w:val="center"/>
        </w:trPr>
        <w:tc>
          <w:tcPr>
            <w:tcW w:w="1744" w:type="dxa"/>
            <w:vAlign w:val="center"/>
          </w:tcPr>
          <w:p>
            <w:pPr>
              <w:spacing w:line="360" w:lineRule="auto"/>
              <w:jc w:val="center"/>
              <w:rPr>
                <w:rFonts w:hint="default" w:ascii="Times New Roman" w:hAnsi="Times New Roman" w:cs="Times New Roman"/>
                <w:sz w:val="24"/>
              </w:rPr>
            </w:pPr>
            <w:r>
              <w:rPr>
                <w:rFonts w:hint="default" w:ascii="Times New Roman" w:hAnsi="Times New Roman" w:cs="Times New Roman"/>
                <w:sz w:val="24"/>
              </w:rPr>
              <w:t>验收监测评价</w:t>
            </w:r>
          </w:p>
          <w:p>
            <w:pPr>
              <w:spacing w:line="360" w:lineRule="auto"/>
              <w:jc w:val="center"/>
              <w:rPr>
                <w:rFonts w:hint="default" w:ascii="Times New Roman" w:hAnsi="Times New Roman" w:cs="Times New Roman"/>
                <w:sz w:val="24"/>
              </w:rPr>
            </w:pPr>
            <w:r>
              <w:rPr>
                <w:rFonts w:hint="default" w:ascii="Times New Roman" w:hAnsi="Times New Roman" w:cs="Times New Roman"/>
                <w:sz w:val="24"/>
              </w:rPr>
              <w:t>标准、标号、</w:t>
            </w:r>
          </w:p>
          <w:p>
            <w:pPr>
              <w:spacing w:line="360" w:lineRule="auto"/>
              <w:jc w:val="center"/>
              <w:rPr>
                <w:rFonts w:hint="default" w:ascii="Times New Roman" w:hAnsi="Times New Roman" w:cs="Times New Roman"/>
                <w:sz w:val="24"/>
              </w:rPr>
            </w:pPr>
            <w:r>
              <w:rPr>
                <w:rFonts w:hint="default" w:ascii="Times New Roman" w:hAnsi="Times New Roman" w:cs="Times New Roman"/>
                <w:sz w:val="24"/>
              </w:rPr>
              <w:t>级别、限值：</w:t>
            </w:r>
          </w:p>
        </w:tc>
        <w:tc>
          <w:tcPr>
            <w:tcW w:w="7759" w:type="dxa"/>
            <w:gridSpan w:val="5"/>
            <w:vAlign w:val="top"/>
          </w:tcPr>
          <w:p>
            <w:pPr>
              <w:pStyle w:val="4"/>
              <w:adjustRightInd w:val="0"/>
              <w:rPr>
                <w:rFonts w:hint="default" w:ascii="Times New Roman" w:hAnsi="Times New Roman" w:eastAsia="宋体" w:cs="Times New Roman"/>
                <w:sz w:val="24"/>
                <w:szCs w:val="24"/>
              </w:rPr>
            </w:pPr>
            <w:r>
              <w:rPr>
                <w:rFonts w:hint="default" w:ascii="Times New Roman" w:hAnsi="Times New Roman" w:eastAsia="宋体" w:cs="Times New Roman"/>
                <w:sz w:val="24"/>
                <w:szCs w:val="24"/>
              </w:rPr>
              <w:t>1、水污染物排放标准</w:t>
            </w:r>
          </w:p>
          <w:p>
            <w:pPr>
              <w:adjustRightInd w:val="0"/>
              <w:snapToGrid w:val="0"/>
              <w:spacing w:line="360" w:lineRule="auto"/>
              <w:ind w:firstLine="480" w:firstLineChars="200"/>
              <w:rPr>
                <w:rFonts w:hint="default" w:ascii="Times New Roman" w:hAnsi="Times New Roman" w:eastAsia="宋体" w:cs="Times New Roman"/>
                <w:bCs/>
                <w:kern w:val="0"/>
                <w:sz w:val="24"/>
                <w:lang w:eastAsia="zh-CN"/>
              </w:rPr>
            </w:pPr>
            <w:r>
              <w:rPr>
                <w:rFonts w:hint="default" w:ascii="Times New Roman" w:hAnsi="Times New Roman" w:cs="Times New Roman"/>
                <w:kern w:val="0"/>
                <w:sz w:val="24"/>
                <w:lang w:val="en-US" w:eastAsia="zh-CN"/>
              </w:rPr>
              <w:t>项目生产及生活污水经厂区化粪池、隔油池预处理后，接芜湖经济开发区朱家桥污水处理厂。项目废水排放执行《污水综合排放标准》（GB8978-1996）</w:t>
            </w:r>
            <w:r>
              <w:rPr>
                <w:rFonts w:hint="eastAsia" w:cs="Times New Roman"/>
                <w:kern w:val="0"/>
                <w:sz w:val="24"/>
                <w:lang w:val="en-US" w:eastAsia="zh-CN"/>
              </w:rPr>
              <w:t>表4中</w:t>
            </w:r>
            <w:r>
              <w:rPr>
                <w:rFonts w:hint="default" w:ascii="Times New Roman" w:hAnsi="Times New Roman" w:cs="Times New Roman"/>
                <w:kern w:val="0"/>
                <w:sz w:val="24"/>
                <w:lang w:val="en-US" w:eastAsia="zh-CN"/>
              </w:rPr>
              <w:t>三级标准。</w:t>
            </w:r>
          </w:p>
          <w:p>
            <w:pPr>
              <w:spacing w:line="360" w:lineRule="auto"/>
              <w:jc w:val="center"/>
              <w:rPr>
                <w:rFonts w:hint="default" w:ascii="Times New Roman" w:hAnsi="Times New Roman" w:eastAsia="宋体" w:cs="Times New Roman"/>
                <w:b/>
                <w:sz w:val="24"/>
                <w:lang w:val="en-US" w:eastAsia="zh-CN"/>
              </w:rPr>
            </w:pPr>
            <w:r>
              <w:rPr>
                <w:rFonts w:hint="default" w:ascii="Times New Roman" w:hAnsi="Times New Roman" w:cs="Times New Roman"/>
                <w:b/>
                <w:sz w:val="24"/>
              </w:rPr>
              <w:t xml:space="preserve">表1-1     </w:t>
            </w:r>
            <w:r>
              <w:rPr>
                <w:rFonts w:hint="default" w:ascii="Times New Roman" w:hAnsi="Times New Roman" w:cs="Times New Roman"/>
                <w:b/>
                <w:bCs/>
                <w:sz w:val="24"/>
              </w:rPr>
              <w:t>本项目废水排放标准</w:t>
            </w:r>
            <w:r>
              <w:rPr>
                <w:rFonts w:hint="default" w:ascii="Times New Roman" w:hAnsi="Times New Roman" w:cs="Times New Roman"/>
                <w:b/>
                <w:bCs/>
              </w:rPr>
              <w:t xml:space="preserve">     </w:t>
            </w:r>
            <w:r>
              <w:rPr>
                <w:rFonts w:hint="default" w:ascii="Times New Roman" w:hAnsi="Times New Roman" w:cs="Times New Roman"/>
                <w:b/>
                <w:sz w:val="24"/>
              </w:rPr>
              <w:t>单位：mg/L</w:t>
            </w:r>
            <w:r>
              <w:rPr>
                <w:rFonts w:hint="default" w:ascii="Times New Roman" w:hAnsi="Times New Roman" w:cs="Times New Roman"/>
                <w:b/>
                <w:sz w:val="24"/>
                <w:lang w:val="en-US" w:eastAsia="zh-CN"/>
              </w:rPr>
              <w:t xml:space="preserve"> </w:t>
            </w:r>
            <w:r>
              <w:rPr>
                <w:rFonts w:hint="default" w:ascii="Times New Roman" w:hAnsi="Times New Roman" w:cs="Times New Roman"/>
                <w:b/>
                <w:sz w:val="24"/>
              </w:rPr>
              <w:t>pH</w:t>
            </w:r>
            <w:r>
              <w:rPr>
                <w:rFonts w:hint="default" w:ascii="Times New Roman" w:hAnsi="Times New Roman" w:cs="Times New Roman"/>
                <w:b/>
                <w:sz w:val="24"/>
                <w:lang w:val="en-US" w:eastAsia="zh-CN"/>
              </w:rPr>
              <w:t>为无量纲</w:t>
            </w:r>
          </w:p>
          <w:tbl>
            <w:tblPr>
              <w:tblStyle w:val="33"/>
              <w:tblW w:w="7348"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0" w:type="dxa"/>
                <w:bottom w:w="0" w:type="dxa"/>
                <w:right w:w="0" w:type="dxa"/>
              </w:tblCellMar>
            </w:tblPr>
            <w:tblGrid>
              <w:gridCol w:w="1524"/>
              <w:gridCol w:w="740"/>
              <w:gridCol w:w="914"/>
              <w:gridCol w:w="810"/>
              <w:gridCol w:w="705"/>
              <w:gridCol w:w="945"/>
              <w:gridCol w:w="735"/>
              <w:gridCol w:w="975"/>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47" w:hRule="atLeast"/>
                <w:jc w:val="center"/>
              </w:trPr>
              <w:tc>
                <w:tcPr>
                  <w:tcW w:w="1524" w:type="dxa"/>
                  <w:vAlign w:val="center"/>
                </w:tcPr>
                <w:p>
                  <w:pPr>
                    <w:jc w:val="center"/>
                    <w:rPr>
                      <w:rFonts w:hint="default" w:ascii="Times New Roman" w:hAnsi="Times New Roman" w:cs="Times New Roman"/>
                      <w:szCs w:val="21"/>
                    </w:rPr>
                  </w:pPr>
                  <w:r>
                    <w:rPr>
                      <w:rFonts w:hint="default" w:ascii="Times New Roman" w:hAnsi="Times New Roman" w:cs="Times New Roman"/>
                      <w:szCs w:val="21"/>
                    </w:rPr>
                    <w:t>污染物名称</w:t>
                  </w:r>
                </w:p>
              </w:tc>
              <w:tc>
                <w:tcPr>
                  <w:tcW w:w="740" w:type="dxa"/>
                  <w:vAlign w:val="center"/>
                </w:tcPr>
                <w:p>
                  <w:pPr>
                    <w:jc w:val="center"/>
                    <w:rPr>
                      <w:rFonts w:hint="default" w:ascii="Times New Roman" w:hAnsi="Times New Roman" w:cs="Times New Roman"/>
                      <w:szCs w:val="21"/>
                    </w:rPr>
                  </w:pPr>
                  <w:r>
                    <w:rPr>
                      <w:rFonts w:hint="default" w:ascii="Times New Roman" w:hAnsi="Times New Roman" w:cs="Times New Roman"/>
                      <w:szCs w:val="21"/>
                    </w:rPr>
                    <w:t>pH</w:t>
                  </w:r>
                </w:p>
              </w:tc>
              <w:tc>
                <w:tcPr>
                  <w:tcW w:w="914" w:type="dxa"/>
                  <w:vAlign w:val="center"/>
                </w:tcPr>
                <w:p>
                  <w:pPr>
                    <w:jc w:val="center"/>
                    <w:rPr>
                      <w:rFonts w:hint="default" w:ascii="Times New Roman" w:hAnsi="Times New Roman" w:cs="Times New Roman"/>
                      <w:szCs w:val="21"/>
                    </w:rPr>
                  </w:pPr>
                  <w:r>
                    <w:rPr>
                      <w:rFonts w:hint="default" w:ascii="Times New Roman" w:hAnsi="Times New Roman" w:cs="Times New Roman"/>
                      <w:szCs w:val="21"/>
                    </w:rPr>
                    <w:t>C</w:t>
                  </w:r>
                  <w:r>
                    <w:rPr>
                      <w:rFonts w:hint="default" w:ascii="Times New Roman" w:hAnsi="Times New Roman" w:cs="Times New Roman"/>
                      <w:spacing w:val="-2"/>
                      <w:szCs w:val="21"/>
                    </w:rPr>
                    <w:t>O</w:t>
                  </w:r>
                  <w:r>
                    <w:rPr>
                      <w:rFonts w:hint="default" w:ascii="Times New Roman" w:hAnsi="Times New Roman" w:cs="Times New Roman"/>
                      <w:szCs w:val="21"/>
                    </w:rPr>
                    <w:t>D</w:t>
                  </w:r>
                </w:p>
              </w:tc>
              <w:tc>
                <w:tcPr>
                  <w:tcW w:w="810" w:type="dxa"/>
                  <w:vAlign w:val="center"/>
                </w:tcPr>
                <w:p>
                  <w:pPr>
                    <w:jc w:val="center"/>
                    <w:rPr>
                      <w:rFonts w:hint="default" w:ascii="Times New Roman" w:hAnsi="Times New Roman" w:cs="Times New Roman"/>
                      <w:szCs w:val="21"/>
                    </w:rPr>
                  </w:pPr>
                  <w:r>
                    <w:rPr>
                      <w:rFonts w:hint="default" w:ascii="Times New Roman" w:hAnsi="Times New Roman" w:cs="Times New Roman"/>
                      <w:szCs w:val="21"/>
                    </w:rPr>
                    <w:t>BOD</w:t>
                  </w:r>
                  <w:r>
                    <w:rPr>
                      <w:rFonts w:hint="default" w:ascii="Times New Roman" w:hAnsi="Times New Roman" w:cs="Times New Roman"/>
                      <w:szCs w:val="21"/>
                      <w:vertAlign w:val="subscript"/>
                    </w:rPr>
                    <w:t>5</w:t>
                  </w:r>
                </w:p>
              </w:tc>
              <w:tc>
                <w:tcPr>
                  <w:tcW w:w="705" w:type="dxa"/>
                  <w:vAlign w:val="center"/>
                </w:tcPr>
                <w:p>
                  <w:pPr>
                    <w:jc w:val="center"/>
                    <w:rPr>
                      <w:rFonts w:hint="default" w:ascii="Times New Roman" w:hAnsi="Times New Roman" w:cs="Times New Roman"/>
                      <w:szCs w:val="21"/>
                    </w:rPr>
                  </w:pPr>
                  <w:r>
                    <w:rPr>
                      <w:rFonts w:hint="default" w:ascii="Times New Roman" w:hAnsi="Times New Roman" w:cs="Times New Roman"/>
                      <w:szCs w:val="21"/>
                    </w:rPr>
                    <w:t>SS</w:t>
                  </w:r>
                </w:p>
              </w:tc>
              <w:tc>
                <w:tcPr>
                  <w:tcW w:w="945" w:type="dxa"/>
                  <w:vAlign w:val="center"/>
                </w:tcPr>
                <w:p>
                  <w:pPr>
                    <w:jc w:val="center"/>
                    <w:rPr>
                      <w:rFonts w:hint="default" w:ascii="Times New Roman" w:hAnsi="Times New Roman" w:eastAsia="宋体" w:cs="Times New Roman"/>
                      <w:szCs w:val="21"/>
                      <w:lang w:val="en-US" w:eastAsia="zh-CN"/>
                    </w:rPr>
                  </w:pPr>
                  <w:r>
                    <w:rPr>
                      <w:rFonts w:hint="default" w:ascii="Times New Roman" w:hAnsi="Times New Roman" w:cs="Times New Roman"/>
                      <w:szCs w:val="21"/>
                      <w:lang w:val="en-US" w:eastAsia="zh-CN"/>
                    </w:rPr>
                    <w:t>动植物油</w:t>
                  </w:r>
                </w:p>
              </w:tc>
              <w:tc>
                <w:tcPr>
                  <w:tcW w:w="735" w:type="dxa"/>
                  <w:vAlign w:val="center"/>
                </w:tcPr>
                <w:p>
                  <w:pPr>
                    <w:jc w:val="center"/>
                    <w:rPr>
                      <w:rFonts w:hint="default" w:ascii="Times New Roman" w:hAnsi="Times New Roman" w:cs="Times New Roman"/>
                      <w:szCs w:val="21"/>
                    </w:rPr>
                  </w:pPr>
                  <w:r>
                    <w:rPr>
                      <w:rFonts w:hint="default" w:ascii="Times New Roman" w:hAnsi="Times New Roman" w:cs="Times New Roman"/>
                      <w:szCs w:val="21"/>
                    </w:rPr>
                    <w:t>氨氮</w:t>
                  </w:r>
                </w:p>
              </w:tc>
              <w:tc>
                <w:tcPr>
                  <w:tcW w:w="975" w:type="dxa"/>
                  <w:vAlign w:val="center"/>
                </w:tcPr>
                <w:p>
                  <w:pPr>
                    <w:jc w:val="center"/>
                    <w:rPr>
                      <w:rFonts w:hint="default" w:ascii="Times New Roman" w:hAnsi="Times New Roman" w:cs="Times New Roman"/>
                      <w:szCs w:val="21"/>
                    </w:rPr>
                  </w:pPr>
                  <w:r>
                    <w:rPr>
                      <w:rFonts w:hint="default" w:ascii="Times New Roman" w:hAnsi="Times New Roman" w:cs="Times New Roman"/>
                      <w:szCs w:val="21"/>
                    </w:rPr>
                    <w:t>石油类</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57" w:hRule="atLeast"/>
                <w:jc w:val="center"/>
              </w:trPr>
              <w:tc>
                <w:tcPr>
                  <w:tcW w:w="1524" w:type="dxa"/>
                  <w:vAlign w:val="center"/>
                </w:tcPr>
                <w:p>
                  <w:pPr>
                    <w:jc w:val="center"/>
                    <w:rPr>
                      <w:rFonts w:hint="default" w:ascii="Times New Roman" w:hAnsi="Times New Roman" w:cs="Times New Roman"/>
                      <w:szCs w:val="21"/>
                    </w:rPr>
                  </w:pPr>
                  <w:r>
                    <w:rPr>
                      <w:rFonts w:hint="default" w:ascii="Times New Roman" w:hAnsi="Times New Roman" w:cs="Times New Roman"/>
                      <w:kern w:val="0"/>
                      <w:szCs w:val="21"/>
                    </w:rPr>
                    <w:t>（GB 8978-1996）</w:t>
                  </w:r>
                </w:p>
              </w:tc>
              <w:tc>
                <w:tcPr>
                  <w:tcW w:w="740" w:type="dxa"/>
                  <w:vAlign w:val="center"/>
                </w:tcPr>
                <w:p>
                  <w:pPr>
                    <w:jc w:val="center"/>
                    <w:rPr>
                      <w:rFonts w:hint="default" w:ascii="Times New Roman" w:hAnsi="Times New Roman" w:cs="Times New Roman"/>
                      <w:szCs w:val="21"/>
                    </w:rPr>
                  </w:pPr>
                  <w:r>
                    <w:rPr>
                      <w:rFonts w:hint="default" w:ascii="Times New Roman" w:hAnsi="Times New Roman" w:cs="Times New Roman"/>
                      <w:color w:val="000000"/>
                    </w:rPr>
                    <w:t>6-9</w:t>
                  </w:r>
                </w:p>
              </w:tc>
              <w:tc>
                <w:tcPr>
                  <w:tcW w:w="914" w:type="dxa"/>
                  <w:vAlign w:val="center"/>
                </w:tcPr>
                <w:p>
                  <w:pPr>
                    <w:jc w:val="center"/>
                    <w:rPr>
                      <w:rFonts w:hint="default" w:ascii="Times New Roman" w:hAnsi="Times New Roman" w:eastAsia="宋体" w:cs="Times New Roman"/>
                      <w:szCs w:val="21"/>
                      <w:lang w:val="en-US" w:eastAsia="zh-CN"/>
                    </w:rPr>
                  </w:pPr>
                  <w:r>
                    <w:rPr>
                      <w:rFonts w:hint="eastAsia" w:cs="Times New Roman"/>
                      <w:color w:val="000000"/>
                      <w:lang w:val="en-US" w:eastAsia="zh-CN"/>
                    </w:rPr>
                    <w:t>≤</w:t>
                  </w:r>
                  <w:r>
                    <w:rPr>
                      <w:rFonts w:hint="default" w:ascii="Times New Roman" w:hAnsi="Times New Roman" w:cs="Times New Roman"/>
                      <w:color w:val="000000"/>
                      <w:lang w:val="en-US" w:eastAsia="zh-CN"/>
                    </w:rPr>
                    <w:t>500</w:t>
                  </w:r>
                </w:p>
              </w:tc>
              <w:tc>
                <w:tcPr>
                  <w:tcW w:w="810" w:type="dxa"/>
                  <w:vAlign w:val="center"/>
                </w:tcPr>
                <w:p>
                  <w:pPr>
                    <w:jc w:val="center"/>
                    <w:rPr>
                      <w:rFonts w:hint="default" w:ascii="Times New Roman" w:hAnsi="Times New Roman" w:eastAsia="宋体" w:cs="Times New Roman"/>
                      <w:szCs w:val="21"/>
                      <w:lang w:val="en-US" w:eastAsia="zh-CN"/>
                    </w:rPr>
                  </w:pPr>
                  <w:r>
                    <w:rPr>
                      <w:rFonts w:hint="eastAsia" w:cs="Times New Roman"/>
                      <w:color w:val="000000"/>
                      <w:lang w:val="en-US" w:eastAsia="zh-CN"/>
                    </w:rPr>
                    <w:t>≤</w:t>
                  </w:r>
                  <w:r>
                    <w:rPr>
                      <w:rFonts w:hint="default" w:ascii="Times New Roman" w:hAnsi="Times New Roman" w:cs="Times New Roman"/>
                      <w:color w:val="000000"/>
                      <w:lang w:val="en-US" w:eastAsia="zh-CN"/>
                    </w:rPr>
                    <w:t>300</w:t>
                  </w:r>
                </w:p>
              </w:tc>
              <w:tc>
                <w:tcPr>
                  <w:tcW w:w="705" w:type="dxa"/>
                  <w:vAlign w:val="center"/>
                </w:tcPr>
                <w:p>
                  <w:pPr>
                    <w:jc w:val="center"/>
                    <w:rPr>
                      <w:rFonts w:hint="default" w:ascii="Times New Roman" w:hAnsi="Times New Roman" w:eastAsia="宋体" w:cs="Times New Roman"/>
                      <w:szCs w:val="21"/>
                      <w:lang w:val="en-US" w:eastAsia="zh-CN"/>
                    </w:rPr>
                  </w:pPr>
                  <w:r>
                    <w:rPr>
                      <w:rFonts w:hint="eastAsia" w:cs="Times New Roman"/>
                      <w:color w:val="000000"/>
                      <w:lang w:val="en-US" w:eastAsia="zh-CN"/>
                    </w:rPr>
                    <w:t>≤</w:t>
                  </w:r>
                  <w:r>
                    <w:rPr>
                      <w:rFonts w:hint="default" w:ascii="Times New Roman" w:hAnsi="Times New Roman" w:cs="Times New Roman"/>
                      <w:color w:val="000000"/>
                      <w:lang w:val="en-US" w:eastAsia="zh-CN"/>
                    </w:rPr>
                    <w:t>400</w:t>
                  </w:r>
                </w:p>
              </w:tc>
              <w:tc>
                <w:tcPr>
                  <w:tcW w:w="945" w:type="dxa"/>
                  <w:vAlign w:val="center"/>
                </w:tcPr>
                <w:p>
                  <w:pPr>
                    <w:jc w:val="center"/>
                    <w:rPr>
                      <w:rFonts w:hint="default" w:ascii="Times New Roman" w:hAnsi="Times New Roman" w:cs="Times New Roman"/>
                      <w:szCs w:val="21"/>
                      <w:lang w:val="en-US" w:eastAsia="zh-CN"/>
                    </w:rPr>
                  </w:pPr>
                  <w:r>
                    <w:rPr>
                      <w:rFonts w:hint="eastAsia" w:cs="Times New Roman"/>
                      <w:color w:val="000000"/>
                      <w:lang w:val="en-US" w:eastAsia="zh-CN"/>
                    </w:rPr>
                    <w:t>≤</w:t>
                  </w:r>
                  <w:r>
                    <w:rPr>
                      <w:rFonts w:hint="default" w:ascii="Times New Roman" w:hAnsi="Times New Roman" w:cs="Times New Roman"/>
                      <w:szCs w:val="21"/>
                      <w:lang w:val="en-US" w:eastAsia="zh-CN"/>
                    </w:rPr>
                    <w:t>100</w:t>
                  </w:r>
                </w:p>
              </w:tc>
              <w:tc>
                <w:tcPr>
                  <w:tcW w:w="735" w:type="dxa"/>
                  <w:vAlign w:val="center"/>
                </w:tcPr>
                <w:p>
                  <w:pPr>
                    <w:jc w:val="center"/>
                    <w:rPr>
                      <w:rFonts w:hint="default" w:ascii="Times New Roman" w:hAnsi="Times New Roman" w:eastAsia="宋体" w:cs="Times New Roman"/>
                      <w:szCs w:val="21"/>
                      <w:lang w:val="en-US" w:eastAsia="zh-CN"/>
                    </w:rPr>
                  </w:pPr>
                  <w:r>
                    <w:rPr>
                      <w:rFonts w:hint="default" w:ascii="Times New Roman" w:hAnsi="Times New Roman" w:cs="Times New Roman"/>
                      <w:szCs w:val="21"/>
                      <w:lang w:val="en-US" w:eastAsia="zh-CN"/>
                    </w:rPr>
                    <w:t>--</w:t>
                  </w:r>
                </w:p>
              </w:tc>
              <w:tc>
                <w:tcPr>
                  <w:tcW w:w="975" w:type="dxa"/>
                  <w:vAlign w:val="center"/>
                </w:tcPr>
                <w:p>
                  <w:pPr>
                    <w:jc w:val="center"/>
                    <w:rPr>
                      <w:rFonts w:hint="default" w:ascii="Times New Roman" w:hAnsi="Times New Roman" w:cs="Times New Roman"/>
                      <w:szCs w:val="21"/>
                      <w:lang w:val="en-US" w:eastAsia="zh-CN"/>
                    </w:rPr>
                  </w:pPr>
                  <w:r>
                    <w:rPr>
                      <w:rFonts w:hint="eastAsia" w:cs="Times New Roman"/>
                      <w:color w:val="000000"/>
                      <w:lang w:val="en-US" w:eastAsia="zh-CN"/>
                    </w:rPr>
                    <w:t>≤20</w:t>
                  </w:r>
                </w:p>
              </w:tc>
            </w:tr>
          </w:tbl>
          <w:p>
            <w:pPr>
              <w:pStyle w:val="4"/>
              <w:adjustRightInd w:val="0"/>
              <w:rPr>
                <w:rFonts w:hint="default" w:ascii="Times New Roman" w:hAnsi="Times New Roman" w:cs="Times New Roman"/>
                <w:bCs/>
                <w:sz w:val="24"/>
              </w:rPr>
            </w:pPr>
            <w:r>
              <w:rPr>
                <w:rFonts w:hint="default" w:ascii="Times New Roman" w:hAnsi="Times New Roman" w:eastAsia="宋体" w:cs="Times New Roman"/>
                <w:sz w:val="24"/>
                <w:szCs w:val="24"/>
              </w:rPr>
              <w:t>2、大气污染物排放标准</w:t>
            </w:r>
          </w:p>
          <w:p>
            <w:pPr>
              <w:spacing w:line="360" w:lineRule="auto"/>
              <w:ind w:firstLine="480" w:firstLineChars="200"/>
              <w:rPr>
                <w:rFonts w:hint="default" w:ascii="Times New Roman" w:hAnsi="Times New Roman" w:cs="Times New Roman"/>
                <w:bCs/>
                <w:sz w:val="24"/>
              </w:rPr>
            </w:pPr>
            <w:r>
              <w:rPr>
                <w:rFonts w:hint="default" w:ascii="Times New Roman" w:hAnsi="Times New Roman" w:cs="Times New Roman"/>
                <w:bCs/>
                <w:sz w:val="24"/>
                <w:lang w:val="en-US" w:eastAsia="zh-CN"/>
              </w:rPr>
              <w:t>本项目废气主要是压铸设备使用的脱模剂受热蒸发产生的有机废气，以非甲烷总烃</w:t>
            </w:r>
            <w:r>
              <w:rPr>
                <w:rFonts w:hint="eastAsia" w:cs="Times New Roman"/>
                <w:bCs/>
                <w:sz w:val="24"/>
                <w:lang w:val="en-US" w:eastAsia="zh-CN"/>
              </w:rPr>
              <w:t>计</w:t>
            </w:r>
            <w:r>
              <w:rPr>
                <w:rFonts w:hint="default" w:ascii="Times New Roman" w:hAnsi="Times New Roman" w:cs="Times New Roman"/>
                <w:bCs/>
                <w:sz w:val="24"/>
                <w:lang w:val="en-US" w:eastAsia="zh-CN"/>
              </w:rPr>
              <w:t>。</w:t>
            </w:r>
          </w:p>
          <w:p>
            <w:pPr>
              <w:spacing w:line="360" w:lineRule="auto"/>
              <w:ind w:firstLine="480" w:firstLineChars="200"/>
              <w:rPr>
                <w:rFonts w:hint="default" w:ascii="Times New Roman" w:hAnsi="Times New Roman" w:cs="Times New Roman"/>
                <w:bCs/>
                <w:sz w:val="24"/>
                <w:lang w:eastAsia="zh-CN"/>
              </w:rPr>
            </w:pPr>
            <w:r>
              <w:rPr>
                <w:rFonts w:hint="default" w:ascii="Times New Roman" w:hAnsi="Times New Roman" w:cs="Times New Roman"/>
                <w:bCs/>
                <w:sz w:val="24"/>
              </w:rPr>
              <w:t>项目</w:t>
            </w:r>
            <w:r>
              <w:rPr>
                <w:rFonts w:hint="default" w:ascii="Times New Roman" w:hAnsi="Times New Roman" w:cs="Times New Roman"/>
                <w:bCs/>
                <w:sz w:val="24"/>
                <w:lang w:val="en-US" w:eastAsia="zh-CN"/>
              </w:rPr>
              <w:t>非甲烷总烃参照执行《工业企业挥发性有机物排放控制标准》（DB13/2322—2016）中的标准</w:t>
            </w:r>
            <w:r>
              <w:rPr>
                <w:rFonts w:hint="default" w:ascii="Times New Roman" w:hAnsi="Times New Roman" w:cs="Times New Roman"/>
                <w:bCs/>
                <w:sz w:val="24"/>
                <w:lang w:eastAsia="zh-CN"/>
              </w:rPr>
              <w:t>。</w:t>
            </w:r>
          </w:p>
          <w:p>
            <w:pPr>
              <w:widowControl w:val="0"/>
              <w:bidi w:val="0"/>
              <w:spacing w:line="320" w:lineRule="exact"/>
              <w:ind w:firstLine="0" w:firstLineChars="0"/>
              <w:jc w:val="center"/>
              <w:rPr>
                <w:rFonts w:hint="default" w:ascii="Times New Roman" w:hAnsi="Times New Roman" w:eastAsia="宋体" w:cs="Times New Roman"/>
                <w:b/>
                <w:kern w:val="0"/>
                <w:sz w:val="21"/>
                <w:szCs w:val="24"/>
                <w:highlight w:val="none"/>
                <w:lang w:val="en-US" w:eastAsia="zh-CN" w:bidi="ar-SA"/>
              </w:rPr>
            </w:pPr>
            <w:r>
              <w:rPr>
                <w:rFonts w:hint="default" w:ascii="Times New Roman" w:hAnsi="Times New Roman" w:eastAsia="宋体" w:cs="Times New Roman"/>
                <w:b/>
                <w:kern w:val="0"/>
                <w:sz w:val="21"/>
                <w:szCs w:val="24"/>
                <w:highlight w:val="none"/>
                <w:lang w:val="en-US" w:eastAsia="zh-CN" w:bidi="ar-SA"/>
              </w:rPr>
              <w:t>表</w:t>
            </w:r>
            <w:r>
              <w:rPr>
                <w:rFonts w:hint="eastAsia" w:ascii="Times New Roman" w:hAnsi="Times New Roman" w:eastAsia="宋体" w:cs="Times New Roman"/>
                <w:b/>
                <w:kern w:val="0"/>
                <w:sz w:val="21"/>
                <w:szCs w:val="24"/>
                <w:highlight w:val="none"/>
                <w:lang w:val="en-US" w:eastAsia="zh-CN" w:bidi="ar-SA"/>
              </w:rPr>
              <w:t>1-</w:t>
            </w:r>
            <w:r>
              <w:rPr>
                <w:rFonts w:hint="eastAsia" w:cs="Times New Roman"/>
                <w:b/>
                <w:kern w:val="0"/>
                <w:sz w:val="21"/>
                <w:szCs w:val="24"/>
                <w:highlight w:val="none"/>
                <w:lang w:val="en-US" w:eastAsia="zh-CN" w:bidi="ar-SA"/>
              </w:rPr>
              <w:t>2</w:t>
            </w:r>
            <w:r>
              <w:rPr>
                <w:rFonts w:hint="default" w:ascii="Times New Roman" w:hAnsi="Times New Roman" w:eastAsia="宋体" w:cs="Times New Roman"/>
                <w:b/>
                <w:kern w:val="0"/>
                <w:sz w:val="21"/>
                <w:szCs w:val="24"/>
                <w:highlight w:val="none"/>
                <w:lang w:val="en-US" w:eastAsia="zh-CN" w:bidi="ar-SA"/>
              </w:rPr>
              <w:t xml:space="preserve"> 河北省《工业企业挥发性有机物排放控制标准》（DB13/2322 -2016）</w:t>
            </w:r>
          </w:p>
          <w:tbl>
            <w:tblPr>
              <w:tblStyle w:val="32"/>
              <w:tblW w:w="6938"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2237"/>
              <w:gridCol w:w="2392"/>
              <w:gridCol w:w="2309"/>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25" w:hRule="atLeast"/>
                <w:jc w:val="center"/>
              </w:trPr>
              <w:tc>
                <w:tcPr>
                  <w:tcW w:w="2237" w:type="dxa"/>
                  <w:tcBorders>
                    <w:tl2br w:val="nil"/>
                    <w:tr2bl w:val="nil"/>
                  </w:tcBorders>
                  <w:noWrap w:val="0"/>
                  <w:vAlign w:val="center"/>
                </w:tcPr>
                <w:p>
                  <w:pPr>
                    <w:widowControl w:val="0"/>
                    <w:bidi w:val="0"/>
                    <w:spacing w:line="240" w:lineRule="auto"/>
                    <w:ind w:firstLine="0" w:firstLineChars="0"/>
                    <w:jc w:val="center"/>
                    <w:rPr>
                      <w:rFonts w:hint="default" w:ascii="Times New Roman" w:hAnsi="Times New Roman" w:eastAsia="宋体" w:cs="Times New Roman"/>
                      <w:kern w:val="24"/>
                      <w:sz w:val="21"/>
                      <w:szCs w:val="18"/>
                      <w:highlight w:val="none"/>
                      <w:lang w:val="en-US" w:eastAsia="zh-CN" w:bidi="ar-SA"/>
                    </w:rPr>
                  </w:pPr>
                  <w:r>
                    <w:rPr>
                      <w:rFonts w:hint="default" w:ascii="Times New Roman" w:hAnsi="Times New Roman" w:eastAsia="宋体" w:cs="Times New Roman"/>
                      <w:kern w:val="24"/>
                      <w:sz w:val="21"/>
                      <w:szCs w:val="18"/>
                      <w:highlight w:val="none"/>
                      <w:lang w:val="en-US" w:eastAsia="zh-CN" w:bidi="ar-SA"/>
                    </w:rPr>
                    <w:t>污染物</w:t>
                  </w:r>
                </w:p>
              </w:tc>
              <w:tc>
                <w:tcPr>
                  <w:tcW w:w="2392" w:type="dxa"/>
                  <w:tcBorders>
                    <w:tl2br w:val="nil"/>
                    <w:tr2bl w:val="nil"/>
                  </w:tcBorders>
                  <w:noWrap w:val="0"/>
                  <w:vAlign w:val="center"/>
                </w:tcPr>
                <w:p>
                  <w:pPr>
                    <w:widowControl w:val="0"/>
                    <w:bidi w:val="0"/>
                    <w:spacing w:line="240" w:lineRule="auto"/>
                    <w:ind w:firstLine="0" w:firstLineChars="0"/>
                    <w:jc w:val="center"/>
                    <w:rPr>
                      <w:rFonts w:hint="default" w:ascii="Times New Roman" w:hAnsi="Times New Roman" w:eastAsia="宋体" w:cs="Times New Roman"/>
                      <w:kern w:val="24"/>
                      <w:sz w:val="21"/>
                      <w:szCs w:val="18"/>
                      <w:highlight w:val="none"/>
                      <w:lang w:val="en-US" w:eastAsia="zh-CN" w:bidi="ar-SA"/>
                    </w:rPr>
                  </w:pPr>
                  <w:r>
                    <w:rPr>
                      <w:rFonts w:hint="default" w:ascii="Times New Roman" w:hAnsi="Times New Roman" w:eastAsia="宋体" w:cs="Times New Roman"/>
                      <w:kern w:val="24"/>
                      <w:sz w:val="21"/>
                      <w:szCs w:val="18"/>
                      <w:highlight w:val="none"/>
                      <w:lang w:val="en-US" w:eastAsia="zh-CN" w:bidi="ar-SA"/>
                    </w:rPr>
                    <w:t>最高允许排放浓度（mg/m</w:t>
                  </w:r>
                  <w:r>
                    <w:rPr>
                      <w:rFonts w:hint="default" w:ascii="Times New Roman" w:hAnsi="Times New Roman" w:eastAsia="宋体" w:cs="Times New Roman"/>
                      <w:kern w:val="24"/>
                      <w:sz w:val="21"/>
                      <w:szCs w:val="18"/>
                      <w:highlight w:val="none"/>
                      <w:vertAlign w:val="superscript"/>
                      <w:lang w:val="en-US" w:eastAsia="zh-CN" w:bidi="ar-SA"/>
                    </w:rPr>
                    <w:t>3</w:t>
                  </w:r>
                  <w:r>
                    <w:rPr>
                      <w:rFonts w:hint="default" w:ascii="Times New Roman" w:hAnsi="Times New Roman" w:eastAsia="宋体" w:cs="Times New Roman"/>
                      <w:kern w:val="24"/>
                      <w:sz w:val="21"/>
                      <w:szCs w:val="18"/>
                      <w:highlight w:val="none"/>
                      <w:lang w:val="en-US" w:eastAsia="zh-CN" w:bidi="ar-SA"/>
                    </w:rPr>
                    <w:t>）</w:t>
                  </w:r>
                </w:p>
              </w:tc>
              <w:tc>
                <w:tcPr>
                  <w:tcW w:w="2309" w:type="dxa"/>
                  <w:tcBorders>
                    <w:tl2br w:val="nil"/>
                    <w:tr2bl w:val="nil"/>
                  </w:tcBorders>
                  <w:noWrap w:val="0"/>
                  <w:vAlign w:val="center"/>
                </w:tcPr>
                <w:p>
                  <w:pPr>
                    <w:widowControl w:val="0"/>
                    <w:bidi w:val="0"/>
                    <w:spacing w:line="240" w:lineRule="auto"/>
                    <w:ind w:firstLine="0" w:firstLineChars="0"/>
                    <w:jc w:val="center"/>
                    <w:rPr>
                      <w:rFonts w:hint="default" w:ascii="Times New Roman" w:hAnsi="Times New Roman" w:eastAsia="宋体" w:cs="Times New Roman"/>
                      <w:kern w:val="24"/>
                      <w:sz w:val="21"/>
                      <w:szCs w:val="18"/>
                      <w:highlight w:val="none"/>
                      <w:lang w:val="en-US" w:eastAsia="zh-CN" w:bidi="ar-SA"/>
                    </w:rPr>
                  </w:pPr>
                  <w:r>
                    <w:rPr>
                      <w:rFonts w:hint="default" w:ascii="Times New Roman" w:hAnsi="Times New Roman" w:eastAsia="宋体" w:cs="Times New Roman"/>
                      <w:kern w:val="24"/>
                      <w:sz w:val="21"/>
                      <w:szCs w:val="18"/>
                      <w:highlight w:val="none"/>
                      <w:lang w:val="en-US" w:eastAsia="zh-CN" w:bidi="ar-SA"/>
                    </w:rPr>
                    <w:t>无组织排放监控浓度限值（mg/m</w:t>
                  </w:r>
                  <w:r>
                    <w:rPr>
                      <w:rFonts w:hint="default" w:ascii="Times New Roman" w:hAnsi="Times New Roman" w:eastAsia="宋体" w:cs="Times New Roman"/>
                      <w:kern w:val="24"/>
                      <w:sz w:val="21"/>
                      <w:szCs w:val="18"/>
                      <w:highlight w:val="none"/>
                      <w:vertAlign w:val="superscript"/>
                      <w:lang w:val="en-US" w:eastAsia="zh-CN" w:bidi="ar-SA"/>
                    </w:rPr>
                    <w:t>3</w:t>
                  </w:r>
                  <w:r>
                    <w:rPr>
                      <w:rFonts w:hint="default" w:ascii="Times New Roman" w:hAnsi="Times New Roman" w:eastAsia="宋体" w:cs="Times New Roman"/>
                      <w:kern w:val="24"/>
                      <w:sz w:val="21"/>
                      <w:szCs w:val="18"/>
                      <w:highlight w:val="none"/>
                      <w:lang w:val="en-US" w:eastAsia="zh-CN" w:bidi="ar-SA"/>
                    </w:rPr>
                    <w:t xml:space="preserve">） </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45" w:hRule="atLeast"/>
                <w:jc w:val="center"/>
              </w:trPr>
              <w:tc>
                <w:tcPr>
                  <w:tcW w:w="2237" w:type="dxa"/>
                  <w:tcBorders>
                    <w:tl2br w:val="nil"/>
                    <w:tr2bl w:val="nil"/>
                  </w:tcBorders>
                  <w:noWrap w:val="0"/>
                  <w:vAlign w:val="center"/>
                </w:tcPr>
                <w:p>
                  <w:pPr>
                    <w:widowControl w:val="0"/>
                    <w:bidi w:val="0"/>
                    <w:spacing w:line="240" w:lineRule="auto"/>
                    <w:ind w:firstLine="0" w:firstLineChars="0"/>
                    <w:jc w:val="center"/>
                    <w:rPr>
                      <w:rFonts w:hint="default" w:ascii="Times New Roman" w:hAnsi="Times New Roman" w:eastAsia="宋体" w:cs="Times New Roman"/>
                      <w:kern w:val="24"/>
                      <w:sz w:val="21"/>
                      <w:szCs w:val="18"/>
                      <w:highlight w:val="none"/>
                      <w:lang w:val="en-US" w:eastAsia="zh-CN" w:bidi="ar-SA"/>
                    </w:rPr>
                  </w:pPr>
                  <w:r>
                    <w:rPr>
                      <w:rFonts w:hint="default" w:ascii="Times New Roman" w:hAnsi="Times New Roman" w:eastAsia="宋体" w:cs="Times New Roman"/>
                      <w:kern w:val="24"/>
                      <w:sz w:val="21"/>
                      <w:szCs w:val="18"/>
                      <w:highlight w:val="none"/>
                      <w:lang w:val="en-US" w:eastAsia="zh-CN" w:bidi="ar-SA"/>
                    </w:rPr>
                    <w:t>非甲烷总烃</w:t>
                  </w:r>
                </w:p>
              </w:tc>
              <w:tc>
                <w:tcPr>
                  <w:tcW w:w="2392" w:type="dxa"/>
                  <w:tcBorders>
                    <w:tl2br w:val="nil"/>
                    <w:tr2bl w:val="nil"/>
                  </w:tcBorders>
                  <w:noWrap w:val="0"/>
                  <w:vAlign w:val="center"/>
                </w:tcPr>
                <w:p>
                  <w:pPr>
                    <w:widowControl w:val="0"/>
                    <w:bidi w:val="0"/>
                    <w:spacing w:line="240" w:lineRule="auto"/>
                    <w:ind w:firstLine="0" w:firstLineChars="0"/>
                    <w:jc w:val="center"/>
                    <w:rPr>
                      <w:rFonts w:hint="default" w:ascii="Times New Roman" w:hAnsi="Times New Roman" w:eastAsia="宋体" w:cs="Times New Roman"/>
                      <w:kern w:val="24"/>
                      <w:sz w:val="21"/>
                      <w:szCs w:val="18"/>
                      <w:highlight w:val="none"/>
                      <w:lang w:val="en-US" w:eastAsia="zh-CN" w:bidi="ar-SA"/>
                    </w:rPr>
                  </w:pPr>
                  <w:r>
                    <w:rPr>
                      <w:rFonts w:hint="eastAsia" w:cs="Times New Roman"/>
                      <w:kern w:val="24"/>
                      <w:sz w:val="21"/>
                      <w:szCs w:val="18"/>
                      <w:highlight w:val="none"/>
                      <w:lang w:val="en-US" w:eastAsia="zh-CN" w:bidi="ar-SA"/>
                    </w:rPr>
                    <w:t>80</w:t>
                  </w:r>
                </w:p>
              </w:tc>
              <w:tc>
                <w:tcPr>
                  <w:tcW w:w="2309" w:type="dxa"/>
                  <w:tcBorders>
                    <w:tl2br w:val="nil"/>
                    <w:tr2bl w:val="nil"/>
                  </w:tcBorders>
                  <w:noWrap w:val="0"/>
                  <w:vAlign w:val="center"/>
                </w:tcPr>
                <w:p>
                  <w:pPr>
                    <w:widowControl w:val="0"/>
                    <w:bidi w:val="0"/>
                    <w:spacing w:line="240" w:lineRule="auto"/>
                    <w:ind w:firstLine="0" w:firstLineChars="0"/>
                    <w:jc w:val="center"/>
                    <w:rPr>
                      <w:rFonts w:hint="default" w:ascii="Times New Roman" w:hAnsi="Times New Roman" w:eastAsia="宋体" w:cs="Times New Roman"/>
                      <w:kern w:val="24"/>
                      <w:sz w:val="21"/>
                      <w:szCs w:val="18"/>
                      <w:highlight w:val="none"/>
                      <w:lang w:val="en-US" w:eastAsia="zh-CN" w:bidi="ar-SA"/>
                    </w:rPr>
                  </w:pPr>
                  <w:r>
                    <w:rPr>
                      <w:rFonts w:hint="eastAsia" w:cs="Times New Roman"/>
                      <w:kern w:val="24"/>
                      <w:sz w:val="21"/>
                      <w:szCs w:val="18"/>
                      <w:highlight w:val="none"/>
                      <w:lang w:val="en-US" w:eastAsia="zh-CN" w:bidi="ar-SA"/>
                    </w:rPr>
                    <w:t>2.0</w:t>
                  </w:r>
                </w:p>
              </w:tc>
            </w:tr>
          </w:tbl>
          <w:p>
            <w:pPr>
              <w:pStyle w:val="4"/>
              <w:adjustRightInd w:val="0"/>
              <w:rPr>
                <w:rFonts w:hint="default" w:ascii="Times New Roman" w:hAnsi="Times New Roman" w:eastAsia="宋体" w:cs="Times New Roman"/>
                <w:sz w:val="24"/>
                <w:szCs w:val="24"/>
              </w:rPr>
            </w:pPr>
            <w:r>
              <w:rPr>
                <w:rFonts w:hint="default" w:ascii="Times New Roman" w:hAnsi="Times New Roman" w:eastAsia="宋体" w:cs="Times New Roman"/>
                <w:sz w:val="24"/>
                <w:szCs w:val="24"/>
              </w:rPr>
              <w:t>3、噪声排放标准</w:t>
            </w:r>
          </w:p>
          <w:p>
            <w:pPr>
              <w:spacing w:line="360" w:lineRule="auto"/>
              <w:ind w:firstLine="480" w:firstLineChars="200"/>
              <w:rPr>
                <w:rFonts w:hint="default" w:ascii="Times New Roman" w:hAnsi="Times New Roman" w:cs="Times New Roman"/>
                <w:sz w:val="24"/>
              </w:rPr>
            </w:pPr>
            <w:r>
              <w:rPr>
                <w:rFonts w:hint="default" w:ascii="Times New Roman" w:hAnsi="Times New Roman" w:cs="Times New Roman"/>
                <w:sz w:val="24"/>
              </w:rPr>
              <w:t>该项目噪声排放标准执行《工业企业厂界环境噪声排放标准》(GB 12348-2008)中</w:t>
            </w:r>
            <w:r>
              <w:rPr>
                <w:rFonts w:hint="default" w:ascii="Times New Roman" w:hAnsi="Times New Roman" w:cs="Times New Roman"/>
                <w:sz w:val="24"/>
                <w:lang w:val="en-US" w:eastAsia="zh-CN"/>
              </w:rPr>
              <w:t>3</w:t>
            </w:r>
            <w:r>
              <w:rPr>
                <w:rFonts w:hint="default" w:ascii="Times New Roman" w:hAnsi="Times New Roman" w:cs="Times New Roman"/>
                <w:sz w:val="24"/>
              </w:rPr>
              <w:t>类标准。</w:t>
            </w:r>
          </w:p>
          <w:p>
            <w:pPr>
              <w:spacing w:line="360" w:lineRule="auto"/>
              <w:ind w:firstLine="482" w:firstLineChars="200"/>
              <w:rPr>
                <w:rFonts w:hint="default" w:ascii="Times New Roman" w:hAnsi="Times New Roman" w:cs="Times New Roman"/>
                <w:b/>
                <w:sz w:val="24"/>
              </w:rPr>
            </w:pPr>
            <w:r>
              <w:rPr>
                <w:rFonts w:hint="default" w:ascii="Times New Roman" w:hAnsi="Times New Roman" w:cs="Times New Roman"/>
                <w:b/>
                <w:sz w:val="24"/>
              </w:rPr>
              <w:t>表1-</w:t>
            </w:r>
            <w:r>
              <w:rPr>
                <w:rFonts w:hint="eastAsia" w:cs="Times New Roman"/>
                <w:b/>
                <w:sz w:val="24"/>
                <w:lang w:val="en-US" w:eastAsia="zh-CN"/>
              </w:rPr>
              <w:t>3</w:t>
            </w:r>
            <w:r>
              <w:rPr>
                <w:rFonts w:hint="default" w:ascii="Times New Roman" w:hAnsi="Times New Roman" w:cs="Times New Roman"/>
                <w:b/>
                <w:sz w:val="24"/>
              </w:rPr>
              <w:t>《工业企业厂界环境噪声排放标准》(GB 12348-2008)</w:t>
            </w:r>
          </w:p>
          <w:tbl>
            <w:tblPr>
              <w:tblStyle w:val="33"/>
              <w:tblW w:w="0" w:type="auto"/>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3777"/>
              <w:gridCol w:w="1391"/>
              <w:gridCol w:w="1891"/>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3777" w:type="dxa"/>
                  <w:vAlign w:val="center"/>
                </w:tcPr>
                <w:p>
                  <w:pPr>
                    <w:spacing w:line="360" w:lineRule="auto"/>
                    <w:jc w:val="center"/>
                    <w:rPr>
                      <w:rFonts w:hint="default" w:ascii="Times New Roman" w:hAnsi="Times New Roman" w:cs="Times New Roman"/>
                      <w:sz w:val="24"/>
                    </w:rPr>
                  </w:pPr>
                  <w:r>
                    <w:rPr>
                      <w:rFonts w:hint="default" w:ascii="Times New Roman" w:hAnsi="Times New Roman" w:cs="Times New Roman"/>
                      <w:sz w:val="24"/>
                    </w:rPr>
                    <w:t>类 别</w:t>
                  </w:r>
                </w:p>
              </w:tc>
              <w:tc>
                <w:tcPr>
                  <w:tcW w:w="1391" w:type="dxa"/>
                  <w:vAlign w:val="center"/>
                </w:tcPr>
                <w:p>
                  <w:pPr>
                    <w:spacing w:line="360" w:lineRule="auto"/>
                    <w:jc w:val="center"/>
                    <w:rPr>
                      <w:rFonts w:hint="default" w:ascii="Times New Roman" w:hAnsi="Times New Roman" w:cs="Times New Roman"/>
                      <w:sz w:val="24"/>
                    </w:rPr>
                  </w:pPr>
                  <w:r>
                    <w:rPr>
                      <w:rFonts w:hint="default" w:ascii="Times New Roman" w:hAnsi="Times New Roman" w:cs="Times New Roman"/>
                      <w:sz w:val="24"/>
                    </w:rPr>
                    <w:t>昼间</w:t>
                  </w:r>
                </w:p>
              </w:tc>
              <w:tc>
                <w:tcPr>
                  <w:tcW w:w="1891" w:type="dxa"/>
                  <w:vAlign w:val="center"/>
                </w:tcPr>
                <w:p>
                  <w:pPr>
                    <w:spacing w:line="360" w:lineRule="auto"/>
                    <w:jc w:val="center"/>
                    <w:rPr>
                      <w:rFonts w:hint="default" w:ascii="Times New Roman" w:hAnsi="Times New Roman" w:cs="Times New Roman"/>
                      <w:sz w:val="24"/>
                    </w:rPr>
                  </w:pPr>
                  <w:r>
                    <w:rPr>
                      <w:rFonts w:hint="default" w:ascii="Times New Roman" w:hAnsi="Times New Roman" w:cs="Times New Roman"/>
                      <w:sz w:val="24"/>
                    </w:rPr>
                    <w:t>夜间</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3777" w:type="dxa"/>
                  <w:vAlign w:val="center"/>
                </w:tcPr>
                <w:p>
                  <w:pPr>
                    <w:spacing w:line="360" w:lineRule="auto"/>
                    <w:jc w:val="center"/>
                    <w:rPr>
                      <w:rFonts w:hint="default" w:ascii="Times New Roman" w:hAnsi="Times New Roman" w:cs="Times New Roman"/>
                      <w:sz w:val="24"/>
                    </w:rPr>
                  </w:pPr>
                  <w:r>
                    <w:rPr>
                      <w:rFonts w:hint="default" w:ascii="Times New Roman" w:hAnsi="Times New Roman" w:cs="Times New Roman"/>
                      <w:sz w:val="24"/>
                    </w:rPr>
                    <w:t>（</w:t>
                  </w:r>
                  <w:r>
                    <w:rPr>
                      <w:rFonts w:hint="default" w:ascii="Times New Roman" w:hAnsi="Times New Roman" w:cs="Times New Roman"/>
                      <w:spacing w:val="-2"/>
                      <w:sz w:val="24"/>
                    </w:rPr>
                    <w:t>G</w:t>
                  </w:r>
                  <w:r>
                    <w:rPr>
                      <w:rFonts w:hint="default" w:ascii="Times New Roman" w:hAnsi="Times New Roman" w:cs="Times New Roman"/>
                      <w:sz w:val="24"/>
                    </w:rPr>
                    <w:t>B 1</w:t>
                  </w:r>
                  <w:r>
                    <w:rPr>
                      <w:rFonts w:hint="default" w:ascii="Times New Roman" w:hAnsi="Times New Roman" w:cs="Times New Roman"/>
                      <w:spacing w:val="-3"/>
                      <w:sz w:val="24"/>
                    </w:rPr>
                    <w:t>2</w:t>
                  </w:r>
                  <w:r>
                    <w:rPr>
                      <w:rFonts w:hint="default" w:ascii="Times New Roman" w:hAnsi="Times New Roman" w:cs="Times New Roman"/>
                      <w:sz w:val="24"/>
                    </w:rPr>
                    <w:t>348</w:t>
                  </w:r>
                  <w:r>
                    <w:rPr>
                      <w:rFonts w:hint="default" w:ascii="Times New Roman" w:hAnsi="Times New Roman" w:cs="Times New Roman"/>
                      <w:spacing w:val="-4"/>
                      <w:sz w:val="24"/>
                    </w:rPr>
                    <w:t>-</w:t>
                  </w:r>
                  <w:r>
                    <w:rPr>
                      <w:rFonts w:hint="default" w:ascii="Times New Roman" w:hAnsi="Times New Roman" w:cs="Times New Roman"/>
                      <w:sz w:val="24"/>
                    </w:rPr>
                    <w:t>200</w:t>
                  </w:r>
                  <w:r>
                    <w:rPr>
                      <w:rFonts w:hint="default" w:ascii="Times New Roman" w:hAnsi="Times New Roman" w:cs="Times New Roman"/>
                      <w:spacing w:val="-3"/>
                      <w:sz w:val="24"/>
                    </w:rPr>
                    <w:t>8</w:t>
                  </w:r>
                  <w:r>
                    <w:rPr>
                      <w:rFonts w:hint="default" w:ascii="Times New Roman" w:hAnsi="Times New Roman" w:cs="Times New Roman"/>
                      <w:sz w:val="24"/>
                    </w:rPr>
                    <w:t>）中</w:t>
                  </w:r>
                  <w:r>
                    <w:rPr>
                      <w:rFonts w:hint="default" w:ascii="Times New Roman" w:hAnsi="Times New Roman" w:cs="Times New Roman"/>
                      <w:sz w:val="24"/>
                      <w:lang w:val="en-US" w:eastAsia="zh-CN"/>
                    </w:rPr>
                    <w:t>3</w:t>
                  </w:r>
                  <w:r>
                    <w:rPr>
                      <w:rFonts w:hint="default" w:ascii="Times New Roman" w:hAnsi="Times New Roman" w:cs="Times New Roman"/>
                      <w:spacing w:val="-3"/>
                      <w:sz w:val="24"/>
                    </w:rPr>
                    <w:t>类</w:t>
                  </w:r>
                  <w:r>
                    <w:rPr>
                      <w:rFonts w:hint="default" w:ascii="Times New Roman" w:hAnsi="Times New Roman" w:cs="Times New Roman"/>
                      <w:sz w:val="24"/>
                    </w:rPr>
                    <w:t>标准</w:t>
                  </w:r>
                </w:p>
              </w:tc>
              <w:tc>
                <w:tcPr>
                  <w:tcW w:w="1391" w:type="dxa"/>
                  <w:vAlign w:val="center"/>
                </w:tcPr>
                <w:p>
                  <w:pPr>
                    <w:spacing w:line="360" w:lineRule="auto"/>
                    <w:jc w:val="center"/>
                    <w:rPr>
                      <w:rFonts w:hint="default" w:ascii="Times New Roman" w:hAnsi="Times New Roman" w:eastAsia="宋体" w:cs="Times New Roman"/>
                      <w:sz w:val="24"/>
                      <w:lang w:val="en-US" w:eastAsia="zh-CN"/>
                    </w:rPr>
                  </w:pPr>
                  <w:r>
                    <w:rPr>
                      <w:rFonts w:hint="default" w:ascii="Times New Roman" w:hAnsi="Times New Roman" w:cs="Times New Roman"/>
                      <w:sz w:val="24"/>
                      <w:lang w:val="en-US" w:eastAsia="zh-CN"/>
                    </w:rPr>
                    <w:t>65</w:t>
                  </w:r>
                </w:p>
              </w:tc>
              <w:tc>
                <w:tcPr>
                  <w:tcW w:w="1891" w:type="dxa"/>
                  <w:vAlign w:val="center"/>
                </w:tcPr>
                <w:p>
                  <w:pPr>
                    <w:spacing w:line="360" w:lineRule="auto"/>
                    <w:jc w:val="center"/>
                    <w:rPr>
                      <w:rFonts w:hint="default" w:ascii="Times New Roman" w:hAnsi="Times New Roman" w:eastAsia="宋体" w:cs="Times New Roman"/>
                      <w:sz w:val="24"/>
                      <w:lang w:val="en-US" w:eastAsia="zh-CN"/>
                    </w:rPr>
                  </w:pPr>
                  <w:r>
                    <w:rPr>
                      <w:rFonts w:hint="default" w:ascii="Times New Roman" w:hAnsi="Times New Roman" w:cs="Times New Roman"/>
                      <w:sz w:val="24"/>
                      <w:lang w:val="en-US" w:eastAsia="zh-CN"/>
                    </w:rPr>
                    <w:t>55</w:t>
                  </w:r>
                </w:p>
              </w:tc>
            </w:tr>
          </w:tbl>
          <w:p>
            <w:pPr>
              <w:pStyle w:val="4"/>
              <w:adjustRightInd w:val="0"/>
              <w:rPr>
                <w:rFonts w:hint="default" w:ascii="Times New Roman" w:hAnsi="Times New Roman" w:eastAsia="宋体" w:cs="Times New Roman"/>
                <w:sz w:val="24"/>
                <w:szCs w:val="24"/>
              </w:rPr>
            </w:pPr>
            <w:r>
              <w:rPr>
                <w:rFonts w:hint="default" w:ascii="Times New Roman" w:hAnsi="Times New Roman" w:eastAsia="宋体" w:cs="Times New Roman"/>
                <w:sz w:val="24"/>
                <w:szCs w:val="24"/>
              </w:rPr>
              <w:t>4、固体废物</w:t>
            </w:r>
          </w:p>
          <w:p>
            <w:pPr>
              <w:spacing w:line="360" w:lineRule="auto"/>
              <w:ind w:firstLine="480" w:firstLineChars="200"/>
              <w:jc w:val="left"/>
              <w:rPr>
                <w:rFonts w:hint="default" w:ascii="Times New Roman" w:hAnsi="Times New Roman" w:cs="Times New Roman"/>
                <w:color w:val="auto"/>
                <w:kern w:val="0"/>
                <w:sz w:val="24"/>
                <w:highlight w:val="none"/>
              </w:rPr>
            </w:pPr>
            <w:r>
              <w:rPr>
                <w:rFonts w:hint="default" w:ascii="Times New Roman" w:hAnsi="Times New Roman" w:cs="Times New Roman"/>
                <w:sz w:val="24"/>
                <w:lang w:val="en-US" w:eastAsia="zh-CN"/>
              </w:rPr>
              <w:t>一般工业固体废物执行《一般工业固体废物贮存、处置场污染控制标准》（GB18599-2001）及2013年修改单中的要求。危险废物厂内暂存执行《危险废物24贮存污染控制标准》（GB18597-2001）及 2013 年修改单中的要求。</w:t>
            </w:r>
          </w:p>
          <w:p>
            <w:pPr>
              <w:spacing w:line="360" w:lineRule="auto"/>
              <w:rPr>
                <w:rFonts w:hint="default" w:ascii="Times New Roman" w:hAnsi="Times New Roman" w:cs="Times New Roman"/>
                <w:b/>
                <w:sz w:val="24"/>
              </w:rPr>
            </w:pPr>
            <w:r>
              <w:rPr>
                <w:rFonts w:hint="default" w:ascii="Times New Roman" w:hAnsi="Times New Roman" w:cs="Times New Roman"/>
                <w:b/>
                <w:sz w:val="24"/>
              </w:rPr>
              <w:t>5、总量控制指标</w:t>
            </w:r>
          </w:p>
          <w:p>
            <w:pPr>
              <w:spacing w:line="360" w:lineRule="auto"/>
              <w:ind w:firstLine="480" w:firstLineChars="200"/>
              <w:rPr>
                <w:rFonts w:hint="default" w:ascii="Times New Roman" w:hAnsi="Times New Roman" w:cs="Times New Roman"/>
                <w:bCs/>
                <w:color w:val="000000"/>
                <w:sz w:val="24"/>
                <w:highlight w:val="none"/>
              </w:rPr>
            </w:pPr>
            <w:r>
              <w:rPr>
                <w:rFonts w:hint="default" w:ascii="Times New Roman" w:hAnsi="Times New Roman" w:cs="Times New Roman"/>
                <w:bCs/>
                <w:color w:val="000000"/>
                <w:sz w:val="24"/>
                <w:highlight w:val="none"/>
              </w:rPr>
              <w:t>（1）废气</w:t>
            </w:r>
          </w:p>
          <w:p>
            <w:pPr>
              <w:spacing w:line="360" w:lineRule="auto"/>
              <w:ind w:firstLine="480" w:firstLineChars="200"/>
              <w:jc w:val="left"/>
              <w:rPr>
                <w:rFonts w:hint="default" w:ascii="Times New Roman" w:hAnsi="Times New Roman" w:eastAsia="宋体" w:cs="Times New Roman"/>
                <w:bCs/>
                <w:color w:val="000000"/>
                <w:sz w:val="24"/>
                <w:highlight w:val="none"/>
                <w:lang w:val="en-US" w:eastAsia="zh-CN"/>
              </w:rPr>
            </w:pPr>
            <w:r>
              <w:rPr>
                <w:color w:val="000000"/>
                <w:sz w:val="24"/>
                <w:highlight w:val="none"/>
              </w:rPr>
              <w:t xml:space="preserve">大气污染物排放总量控制指标为有组织VOC </w:t>
            </w:r>
            <w:r>
              <w:rPr>
                <w:rFonts w:hint="eastAsia"/>
                <w:color w:val="000000"/>
                <w:sz w:val="24"/>
                <w:highlight w:val="none"/>
              </w:rPr>
              <w:t>1.17</w:t>
            </w:r>
            <w:r>
              <w:rPr>
                <w:color w:val="000000"/>
                <w:sz w:val="24"/>
                <w:highlight w:val="none"/>
              </w:rPr>
              <w:t xml:space="preserve">t/a，无组织VOC </w:t>
            </w:r>
            <w:r>
              <w:rPr>
                <w:rFonts w:hint="eastAsia"/>
                <w:color w:val="000000"/>
                <w:sz w:val="24"/>
                <w:highlight w:val="none"/>
              </w:rPr>
              <w:t>0.65</w:t>
            </w:r>
            <w:r>
              <w:rPr>
                <w:color w:val="000000"/>
                <w:sz w:val="24"/>
                <w:highlight w:val="none"/>
              </w:rPr>
              <w:t>t/a。</w:t>
            </w:r>
          </w:p>
          <w:p>
            <w:pPr>
              <w:spacing w:line="360" w:lineRule="auto"/>
              <w:ind w:firstLine="480" w:firstLineChars="200"/>
              <w:rPr>
                <w:rFonts w:hint="default" w:ascii="Times New Roman" w:hAnsi="Times New Roman" w:cs="Times New Roman"/>
                <w:bCs/>
                <w:color w:val="000000"/>
                <w:sz w:val="24"/>
                <w:highlight w:val="none"/>
              </w:rPr>
            </w:pPr>
            <w:r>
              <w:rPr>
                <w:rFonts w:hint="default" w:ascii="Times New Roman" w:hAnsi="Times New Roman" w:cs="Times New Roman"/>
                <w:bCs/>
                <w:color w:val="000000"/>
                <w:sz w:val="24"/>
                <w:highlight w:val="none"/>
              </w:rPr>
              <w:t>（2）废水</w:t>
            </w:r>
          </w:p>
          <w:p>
            <w:pPr>
              <w:spacing w:line="360" w:lineRule="auto"/>
              <w:ind w:firstLine="480" w:firstLineChars="200"/>
              <w:rPr>
                <w:rFonts w:hint="default" w:ascii="Times New Roman" w:hAnsi="Times New Roman" w:cs="Times New Roman"/>
                <w:sz w:val="24"/>
              </w:rPr>
            </w:pPr>
            <w:r>
              <w:rPr>
                <w:rFonts w:hint="eastAsia" w:cs="Times New Roman"/>
                <w:sz w:val="24"/>
                <w:highlight w:val="none"/>
                <w:lang w:val="en-US" w:eastAsia="zh-CN"/>
              </w:rPr>
              <w:t>项目</w:t>
            </w:r>
            <w:r>
              <w:rPr>
                <w:rFonts w:hint="default" w:ascii="Times New Roman" w:hAnsi="Times New Roman" w:cs="Times New Roman"/>
                <w:sz w:val="24"/>
                <w:highlight w:val="none"/>
                <w:lang w:val="en-US" w:eastAsia="zh-CN"/>
              </w:rPr>
              <w:t>水污染物总量控制指标：COD 0.0430t/a，NH</w:t>
            </w:r>
            <w:r>
              <w:rPr>
                <w:rFonts w:hint="default" w:ascii="Times New Roman" w:hAnsi="Times New Roman" w:cs="Times New Roman"/>
                <w:sz w:val="24"/>
                <w:highlight w:val="none"/>
                <w:vertAlign w:val="subscript"/>
                <w:lang w:val="en-US" w:eastAsia="zh-CN"/>
              </w:rPr>
              <w:t>3</w:t>
            </w:r>
            <w:r>
              <w:rPr>
                <w:rFonts w:hint="default" w:ascii="Times New Roman" w:hAnsi="Times New Roman" w:cs="Times New Roman"/>
                <w:sz w:val="24"/>
                <w:highlight w:val="none"/>
                <w:lang w:val="en-US" w:eastAsia="zh-CN"/>
              </w:rPr>
              <w:t>-N 0.0043t/a</w:t>
            </w:r>
            <w:r>
              <w:rPr>
                <w:rFonts w:hint="default" w:ascii="Times New Roman" w:hAnsi="Times New Roman" w:cs="Times New Roman"/>
                <w:sz w:val="24"/>
                <w:highlight w:val="none"/>
              </w:rPr>
              <w:t>。</w:t>
            </w:r>
          </w:p>
        </w:tc>
      </w:tr>
    </w:tbl>
    <w:p>
      <w:pPr>
        <w:rPr>
          <w:b/>
          <w:sz w:val="28"/>
          <w:szCs w:val="28"/>
        </w:rPr>
        <w:sectPr>
          <w:footerReference r:id="rId6" w:type="default"/>
          <w:pgSz w:w="11906" w:h="16838"/>
          <w:pgMar w:top="1588" w:right="1418" w:bottom="1418" w:left="1418" w:header="851" w:footer="992" w:gutter="0"/>
          <w:pgBorders>
            <w:top w:val="none" w:sz="0" w:space="0"/>
            <w:left w:val="none" w:sz="0" w:space="0"/>
            <w:bottom w:val="none" w:sz="0" w:space="0"/>
            <w:right w:val="none" w:sz="0" w:space="0"/>
          </w:pgBorders>
          <w:pgNumType w:start="1"/>
          <w:cols w:space="425" w:num="1"/>
          <w:docGrid w:type="lines" w:linePitch="312" w:charSpace="0"/>
        </w:sectPr>
      </w:pPr>
    </w:p>
    <w:p>
      <w:pPr>
        <w:rPr>
          <w:b/>
          <w:sz w:val="28"/>
          <w:szCs w:val="28"/>
          <w:highlight w:val="none"/>
        </w:rPr>
      </w:pPr>
      <w:r>
        <w:rPr>
          <w:rFonts w:hint="eastAsia"/>
          <w:b/>
          <w:sz w:val="28"/>
          <w:szCs w:val="28"/>
          <w:highlight w:val="none"/>
        </w:rPr>
        <w:t>表二</w:t>
      </w:r>
    </w:p>
    <w:tbl>
      <w:tblPr>
        <w:tblStyle w:val="33"/>
        <w:tblW w:w="9503"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9852"/>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0" w:hRule="atLeast"/>
          <w:jc w:val="center"/>
        </w:trPr>
        <w:tc>
          <w:tcPr>
            <w:tcW w:w="9503" w:type="dxa"/>
            <w:vAlign w:val="center"/>
          </w:tcPr>
          <w:p>
            <w:pPr>
              <w:spacing w:line="360" w:lineRule="auto"/>
              <w:jc w:val="left"/>
              <w:rPr>
                <w:rFonts w:hint="eastAsia" w:ascii="宋体" w:hAnsi="宋体"/>
                <w:b/>
                <w:sz w:val="28"/>
                <w:szCs w:val="28"/>
                <w:highlight w:val="none"/>
              </w:rPr>
            </w:pPr>
            <w:bookmarkStart w:id="1" w:name="_Hlk8392378"/>
            <w:r>
              <w:rPr>
                <w:rFonts w:hint="eastAsia" w:ascii="宋体" w:hAnsi="宋体"/>
                <w:b/>
                <w:sz w:val="28"/>
                <w:szCs w:val="28"/>
                <w:highlight w:val="none"/>
              </w:rPr>
              <w:t>工程建设内容：</w:t>
            </w:r>
          </w:p>
          <w:p>
            <w:pPr>
              <w:spacing w:line="360" w:lineRule="auto"/>
              <w:ind w:firstLine="480" w:firstLineChars="200"/>
              <w:rPr>
                <w:rFonts w:hint="default" w:ascii="Times New Roman" w:hAnsi="Times New Roman" w:eastAsia="宋体" w:cs="Times New Roman"/>
                <w:bCs/>
                <w:color w:val="000000"/>
                <w:sz w:val="24"/>
                <w:lang w:val="en-US" w:eastAsia="zh-CN"/>
              </w:rPr>
            </w:pPr>
            <w:r>
              <w:rPr>
                <w:rFonts w:hint="eastAsia" w:ascii="Times New Roman" w:hAnsi="Times New Roman" w:eastAsia="宋体" w:cs="Times New Roman"/>
                <w:bCs/>
                <w:color w:val="000000"/>
                <w:sz w:val="24"/>
              </w:rPr>
              <w:t>芜湖永达科技有限公司铸铝厂</w:t>
            </w:r>
            <w:r>
              <w:rPr>
                <w:rFonts w:hint="eastAsia" w:cs="Times New Roman"/>
                <w:bCs/>
                <w:color w:val="000000"/>
                <w:sz w:val="24"/>
                <w:lang w:val="en-US" w:eastAsia="zh-CN"/>
              </w:rPr>
              <w:t>原</w:t>
            </w:r>
            <w:r>
              <w:rPr>
                <w:rFonts w:hint="eastAsia" w:ascii="Times New Roman" w:hAnsi="Times New Roman" w:eastAsia="宋体" w:cs="Times New Roman"/>
                <w:bCs/>
                <w:color w:val="000000"/>
                <w:sz w:val="24"/>
              </w:rPr>
              <w:t>有汽车有色铸件项目和铝合金熔炼项目。汽车有色铸件项目已于2003年3月通过芜湖市环保局审批，并于2007年7月取得开整验收【2007】17号文；铝合金熔炼项目，于2018年7月通过芜湖市环保局审批（芜环评审【2018】166号）</w:t>
            </w:r>
            <w:r>
              <w:rPr>
                <w:rFonts w:hint="eastAsia" w:ascii="Times New Roman" w:hAnsi="Times New Roman" w:eastAsia="宋体" w:cs="Times New Roman"/>
                <w:bCs/>
                <w:color w:val="000000"/>
                <w:sz w:val="24"/>
                <w:lang w:eastAsia="zh-CN"/>
              </w:rPr>
              <w:t>，</w:t>
            </w:r>
            <w:r>
              <w:rPr>
                <w:rFonts w:hint="eastAsia" w:ascii="Times New Roman" w:hAnsi="Times New Roman" w:eastAsia="宋体" w:cs="Times New Roman"/>
                <w:bCs/>
                <w:color w:val="000000"/>
                <w:sz w:val="24"/>
                <w:highlight w:val="none"/>
                <w:lang w:val="en-US" w:eastAsia="zh-CN"/>
              </w:rPr>
              <w:t>并于2019年5月通过自主验收</w:t>
            </w:r>
            <w:r>
              <w:rPr>
                <w:rFonts w:hint="eastAsia" w:cs="Times New Roman"/>
                <w:bCs/>
                <w:color w:val="000000"/>
                <w:sz w:val="24"/>
                <w:highlight w:val="none"/>
                <w:lang w:val="en-US" w:eastAsia="zh-CN"/>
              </w:rPr>
              <w:t>。本项目环评中提出，建议增加重力铸造浇铸生产线有机废气处理措施，减少有机废气对周边环境的影响，企业于2019年11月重新编制了缸盖浇注线工艺升级改造项目环境影响评价，在此项目中增加了的浇铸有机废气处理措施，此项目暂未验收，待项目技改完成后会逐渐开展验收工作。</w:t>
            </w:r>
          </w:p>
          <w:p>
            <w:pPr>
              <w:spacing w:line="360" w:lineRule="auto"/>
              <w:ind w:firstLine="480" w:firstLineChars="200"/>
              <w:rPr>
                <w:b/>
                <w:bCs/>
              </w:rPr>
            </w:pPr>
            <w:r>
              <w:rPr>
                <w:rFonts w:hint="eastAsia" w:ascii="Times New Roman" w:hAnsi="Times New Roman" w:eastAsia="宋体" w:cs="Times New Roman"/>
                <w:bCs/>
                <w:color w:val="000000"/>
                <w:sz w:val="24"/>
                <w:lang w:val="en-US" w:eastAsia="zh-CN"/>
              </w:rPr>
              <w:t>为了抓住市场机遇，提高公司竞争力，企业</w:t>
            </w:r>
            <w:r>
              <w:rPr>
                <w:rFonts w:hint="eastAsia" w:ascii="Times New Roman" w:hAnsi="Times New Roman" w:eastAsia="宋体" w:cs="Times New Roman"/>
                <w:bCs/>
                <w:color w:val="000000"/>
                <w:sz w:val="24"/>
                <w:highlight w:val="none"/>
                <w:lang w:val="en-US" w:eastAsia="zh-CN"/>
              </w:rPr>
              <w:t>投资</w:t>
            </w:r>
            <w:r>
              <w:rPr>
                <w:rFonts w:hint="eastAsia" w:cs="Times New Roman"/>
                <w:bCs/>
                <w:color w:val="000000"/>
                <w:sz w:val="24"/>
                <w:highlight w:val="none"/>
                <w:lang w:val="en-US" w:eastAsia="zh-CN"/>
              </w:rPr>
              <w:t>5191</w:t>
            </w:r>
            <w:r>
              <w:rPr>
                <w:rFonts w:hint="eastAsia" w:ascii="Times New Roman" w:hAnsi="Times New Roman" w:eastAsia="宋体" w:cs="Times New Roman"/>
                <w:bCs/>
                <w:color w:val="000000"/>
                <w:sz w:val="24"/>
                <w:highlight w:val="none"/>
                <w:lang w:val="en-US" w:eastAsia="zh-CN"/>
              </w:rPr>
              <w:t>万元</w:t>
            </w:r>
            <w:r>
              <w:rPr>
                <w:rFonts w:hint="eastAsia" w:ascii="Times New Roman" w:hAnsi="Times New Roman" w:eastAsia="宋体" w:cs="Times New Roman"/>
                <w:bCs/>
                <w:color w:val="000000"/>
                <w:sz w:val="24"/>
                <w:lang w:val="en-US" w:eastAsia="zh-CN"/>
              </w:rPr>
              <w:t>建设“压铸缸体技术改造升级项目”。芜湖经济技术开发区管理委员会于2018年8月7日以开备【2018】289号对该项目进行了备案。2019年5月企业委托苏州科太环境技术有限公司编制了本次技改项目《压铸缸体技术改造升级项目环境影响报告表》，并于2019年6月通过芜湖市生态环境局审批，芜环评审[2019]277号。</w:t>
            </w:r>
          </w:p>
          <w:p>
            <w:pPr>
              <w:spacing w:line="360" w:lineRule="auto"/>
              <w:jc w:val="left"/>
              <w:rPr>
                <w:rFonts w:hint="default" w:ascii="Times New Roman" w:hAnsi="Times New Roman" w:cs="Times New Roman"/>
                <w:b/>
                <w:sz w:val="28"/>
                <w:szCs w:val="28"/>
                <w:highlight w:val="none"/>
              </w:rPr>
            </w:pPr>
            <w:r>
              <w:rPr>
                <w:rFonts w:hint="eastAsia" w:ascii="宋体" w:hAnsi="宋体"/>
                <w:b/>
                <w:sz w:val="28"/>
                <w:szCs w:val="28"/>
                <w:highlight w:val="none"/>
              </w:rPr>
              <w:t>1</w:t>
            </w:r>
            <w:r>
              <w:rPr>
                <w:rFonts w:hint="default" w:ascii="Times New Roman" w:hAnsi="Times New Roman" w:cs="Times New Roman"/>
                <w:b/>
                <w:sz w:val="28"/>
                <w:szCs w:val="28"/>
                <w:highlight w:val="none"/>
              </w:rPr>
              <w:t>、工程基本情况</w:t>
            </w:r>
          </w:p>
          <w:p>
            <w:pPr>
              <w:spacing w:line="360" w:lineRule="auto"/>
              <w:ind w:firstLine="480" w:firstLineChars="200"/>
              <w:jc w:val="left"/>
              <w:rPr>
                <w:rFonts w:hint="eastAsia" w:cs="Times New Roman"/>
                <w:sz w:val="24"/>
                <w:szCs w:val="24"/>
                <w:highlight w:val="none"/>
                <w:lang w:val="en-US" w:eastAsia="zh-CN"/>
              </w:rPr>
            </w:pPr>
            <w:r>
              <w:rPr>
                <w:rFonts w:hint="eastAsia" w:cs="Times New Roman"/>
                <w:sz w:val="24"/>
                <w:szCs w:val="24"/>
                <w:highlight w:val="none"/>
                <w:lang w:eastAsia="zh-CN"/>
              </w:rPr>
              <w:t>芜湖永达科技有限公司</w:t>
            </w:r>
            <w:r>
              <w:rPr>
                <w:rFonts w:hint="default" w:ascii="Times New Roman" w:hAnsi="Times New Roman" w:cs="Times New Roman"/>
                <w:sz w:val="24"/>
                <w:szCs w:val="24"/>
                <w:highlight w:val="none"/>
              </w:rPr>
              <w:t>是专业从事汽车黑色、有色金加工铸造</w:t>
            </w:r>
            <w:r>
              <w:rPr>
                <w:rFonts w:hint="eastAsia" w:cs="Times New Roman"/>
                <w:sz w:val="24"/>
                <w:szCs w:val="24"/>
                <w:highlight w:val="none"/>
                <w:lang w:val="en-US" w:eastAsia="zh-CN"/>
              </w:rPr>
              <w:t>的</w:t>
            </w:r>
            <w:r>
              <w:rPr>
                <w:rFonts w:hint="default" w:ascii="Times New Roman" w:hAnsi="Times New Roman" w:cs="Times New Roman"/>
                <w:sz w:val="24"/>
                <w:szCs w:val="24"/>
                <w:highlight w:val="none"/>
              </w:rPr>
              <w:t>加工企业。公司成立于2002年9月，下设铸铝厂和铸铁厂，主要产品是轿车发动机上下缸体、缸盖、进气管、</w:t>
            </w:r>
            <w:r>
              <w:rPr>
                <w:rFonts w:hint="eastAsia" w:cs="Times New Roman"/>
                <w:sz w:val="24"/>
                <w:szCs w:val="24"/>
                <w:highlight w:val="none"/>
                <w:lang w:val="en-US" w:eastAsia="zh-CN"/>
              </w:rPr>
              <w:t>压铸件</w:t>
            </w:r>
            <w:r>
              <w:rPr>
                <w:rFonts w:hint="default" w:ascii="Times New Roman" w:hAnsi="Times New Roman" w:cs="Times New Roman"/>
                <w:sz w:val="24"/>
                <w:szCs w:val="24"/>
                <w:highlight w:val="none"/>
              </w:rPr>
              <w:t>等。</w:t>
            </w:r>
            <w:r>
              <w:rPr>
                <w:rFonts w:hint="eastAsia" w:cs="Times New Roman"/>
                <w:sz w:val="24"/>
                <w:szCs w:val="24"/>
                <w:highlight w:val="none"/>
                <w:lang w:val="en-US" w:eastAsia="zh-CN"/>
              </w:rPr>
              <w:t>本次项目主要是针对现有铸铝厂厂房内的压铸生产线进行改造，减少现有压铸生产线的生产能力，新增新型压铸生产线，进行产品的升级。</w:t>
            </w:r>
          </w:p>
          <w:p>
            <w:pPr>
              <w:spacing w:line="360" w:lineRule="auto"/>
              <w:ind w:firstLine="480" w:firstLineChars="200"/>
              <w:jc w:val="left"/>
              <w:rPr>
                <w:rFonts w:hint="eastAsia" w:cs="Times New Roman"/>
                <w:sz w:val="24"/>
                <w:szCs w:val="24"/>
                <w:highlight w:val="none"/>
                <w:lang w:val="en-US" w:eastAsia="zh-CN"/>
              </w:rPr>
            </w:pPr>
            <w:r>
              <w:rPr>
                <w:rFonts w:hint="eastAsia" w:cs="Times New Roman"/>
                <w:sz w:val="24"/>
                <w:szCs w:val="24"/>
                <w:highlight w:val="none"/>
                <w:lang w:val="en-US" w:eastAsia="zh-CN"/>
              </w:rPr>
              <w:t>项目原计划淘汰1台400T压铸单元并减少其他压铸单元的生产量，减轻现有设备压力，同时增加2台3000T压铸机单元，使总体产能保持不变。</w:t>
            </w:r>
          </w:p>
          <w:p>
            <w:pPr>
              <w:spacing w:line="360" w:lineRule="auto"/>
              <w:ind w:firstLine="480" w:firstLineChars="200"/>
              <w:jc w:val="left"/>
              <w:rPr>
                <w:rFonts w:hint="default" w:cs="Times New Roman"/>
                <w:sz w:val="24"/>
                <w:szCs w:val="24"/>
                <w:highlight w:val="none"/>
                <w:lang w:val="en-US" w:eastAsia="zh-CN"/>
              </w:rPr>
            </w:pPr>
            <w:r>
              <w:rPr>
                <w:rFonts w:hint="eastAsia" w:cs="Times New Roman"/>
                <w:sz w:val="24"/>
                <w:szCs w:val="24"/>
                <w:highlight w:val="none"/>
                <w:lang w:val="en-US" w:eastAsia="zh-CN"/>
              </w:rPr>
              <w:t>现阶段实际淘汰了1台400T压铸单元，增加了一台3050T压铸机单元，另一台3050T压铸机单元暂未增加。</w:t>
            </w:r>
            <w:r>
              <w:rPr>
                <w:rFonts w:hint="eastAsia" w:cs="Times New Roman"/>
                <w:b/>
                <w:bCs/>
                <w:sz w:val="24"/>
                <w:szCs w:val="24"/>
                <w:highlight w:val="none"/>
                <w:lang w:val="en-US" w:eastAsia="zh-CN"/>
              </w:rPr>
              <w:t>本次技改项目的主要验收内容为新增的1台3050T压铸设备及其配套环保设施的阶段性验收。</w:t>
            </w:r>
          </w:p>
          <w:p>
            <w:pPr>
              <w:spacing w:line="360" w:lineRule="auto"/>
              <w:ind w:firstLine="480" w:firstLineChars="200"/>
              <w:jc w:val="left"/>
              <w:rPr>
                <w:rFonts w:hint="default" w:ascii="Times New Roman" w:hAnsi="Times New Roman" w:cs="Times New Roman"/>
                <w:sz w:val="24"/>
                <w:szCs w:val="24"/>
                <w:highlight w:val="none"/>
                <w:lang w:val="en-US" w:eastAsia="zh-CN"/>
              </w:rPr>
            </w:pPr>
            <w:r>
              <w:rPr>
                <w:rFonts w:hint="eastAsia" w:cs="Times New Roman"/>
                <w:sz w:val="24"/>
                <w:szCs w:val="24"/>
                <w:highlight w:val="none"/>
                <w:lang w:val="en-US" w:eastAsia="zh-CN"/>
              </w:rPr>
              <w:t>技改后压铸线中压铸件</w:t>
            </w:r>
            <w:r>
              <w:rPr>
                <w:rFonts w:hint="eastAsia" w:cs="Times New Roman"/>
                <w:sz w:val="24"/>
                <w:szCs w:val="24"/>
                <w:highlight w:val="none"/>
                <w:lang w:val="en-US" w:eastAsia="zh-CN"/>
              </w:rPr>
              <w:t>的生产量减少，缸体的生产能力增加。技改</w:t>
            </w:r>
            <w:r>
              <w:rPr>
                <w:rFonts w:hint="default" w:ascii="Times New Roman" w:hAnsi="Times New Roman" w:cs="Times New Roman"/>
                <w:sz w:val="24"/>
                <w:szCs w:val="24"/>
                <w:highlight w:val="none"/>
                <w:lang w:val="en-US" w:eastAsia="zh-CN"/>
              </w:rPr>
              <w:t>项目现有年产</w:t>
            </w:r>
            <w:r>
              <w:rPr>
                <w:rFonts w:hint="eastAsia" w:cs="Times New Roman"/>
                <w:sz w:val="24"/>
                <w:szCs w:val="24"/>
                <w:highlight w:val="none"/>
                <w:lang w:val="en-US" w:eastAsia="zh-CN"/>
              </w:rPr>
              <w:t>14万件</w:t>
            </w:r>
            <w:r>
              <w:rPr>
                <w:rFonts w:hint="default" w:ascii="Times New Roman" w:hAnsi="Times New Roman" w:cs="Times New Roman"/>
                <w:sz w:val="24"/>
                <w:szCs w:val="24"/>
                <w:highlight w:val="none"/>
                <w:lang w:val="en-US" w:eastAsia="zh-CN"/>
              </w:rPr>
              <w:t>缸体的生产能力，具体产品方案见表2-1</w:t>
            </w:r>
            <w:r>
              <w:rPr>
                <w:rFonts w:hint="eastAsia" w:cs="Times New Roman"/>
                <w:sz w:val="24"/>
                <w:szCs w:val="24"/>
                <w:highlight w:val="none"/>
                <w:lang w:val="en-US" w:eastAsia="zh-CN"/>
              </w:rPr>
              <w:t>。</w:t>
            </w:r>
          </w:p>
          <w:p>
            <w:pPr>
              <w:pStyle w:val="2"/>
              <w:spacing w:line="360" w:lineRule="auto"/>
              <w:jc w:val="center"/>
              <w:rPr>
                <w:rFonts w:hint="default" w:ascii="Times New Roman" w:hAnsi="Times New Roman" w:eastAsia="宋体" w:cs="Times New Roman"/>
                <w:b/>
                <w:bCs/>
                <w:sz w:val="24"/>
                <w:szCs w:val="24"/>
                <w:lang w:val="en-US" w:eastAsia="zh-CN"/>
              </w:rPr>
            </w:pPr>
            <w:r>
              <w:rPr>
                <w:rFonts w:hint="default" w:ascii="Times New Roman" w:hAnsi="Times New Roman" w:eastAsia="宋体" w:cs="Times New Roman"/>
                <w:b/>
                <w:bCs/>
                <w:sz w:val="24"/>
                <w:szCs w:val="24"/>
                <w:lang w:val="en-US" w:eastAsia="zh-CN"/>
              </w:rPr>
              <w:t>表2-1项目产品方案及生产规模</w:t>
            </w:r>
          </w:p>
          <w:tbl>
            <w:tblPr>
              <w:tblStyle w:val="33"/>
              <w:tblW w:w="9318"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396"/>
              <w:gridCol w:w="989"/>
              <w:gridCol w:w="994"/>
              <w:gridCol w:w="1308"/>
              <w:gridCol w:w="1195"/>
              <w:gridCol w:w="1085"/>
              <w:gridCol w:w="1285"/>
              <w:gridCol w:w="1066"/>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71" w:hRule="atLeast"/>
                <w:jc w:val="center"/>
              </w:trPr>
              <w:tc>
                <w:tcPr>
                  <w:tcW w:w="1396" w:type="dxa"/>
                  <w:vMerge w:val="restart"/>
                  <w:vAlign w:val="center"/>
                </w:tcPr>
                <w:p>
                  <w:pPr>
                    <w:widowControl/>
                    <w:jc w:val="center"/>
                    <w:rPr>
                      <w:rFonts w:hint="default" w:ascii="Times New Roman" w:hAnsi="Times New Roman" w:eastAsia="宋体" w:cs="Times New Roman"/>
                      <w:b/>
                      <w:color w:val="000000" w:themeColor="text1"/>
                      <w:sz w:val="24"/>
                      <w:szCs w:val="24"/>
                      <w14:textFill>
                        <w14:solidFill>
                          <w14:schemeClr w14:val="tx1"/>
                        </w14:solidFill>
                      </w14:textFill>
                    </w:rPr>
                  </w:pPr>
                  <w:r>
                    <w:rPr>
                      <w:rFonts w:hint="default" w:ascii="Times New Roman" w:hAnsi="Times New Roman" w:eastAsia="宋体" w:cs="Times New Roman"/>
                      <w:b/>
                      <w:color w:val="000000" w:themeColor="text1"/>
                      <w:sz w:val="24"/>
                      <w:szCs w:val="24"/>
                      <w14:textFill>
                        <w14:solidFill>
                          <w14:schemeClr w14:val="tx1"/>
                        </w14:solidFill>
                      </w14:textFill>
                    </w:rPr>
                    <w:t>产品名称</w:t>
                  </w:r>
                </w:p>
              </w:tc>
              <w:tc>
                <w:tcPr>
                  <w:tcW w:w="1983" w:type="dxa"/>
                  <w:gridSpan w:val="2"/>
                  <w:vAlign w:val="center"/>
                </w:tcPr>
                <w:p>
                  <w:pPr>
                    <w:widowControl/>
                    <w:jc w:val="center"/>
                    <w:rPr>
                      <w:rFonts w:hint="default" w:ascii="Times New Roman" w:hAnsi="Times New Roman" w:eastAsia="宋体" w:cs="Times New Roman"/>
                      <w:b/>
                      <w:color w:val="000000" w:themeColor="text1"/>
                      <w:sz w:val="24"/>
                      <w:szCs w:val="24"/>
                      <w14:textFill>
                        <w14:solidFill>
                          <w14:schemeClr w14:val="tx1"/>
                        </w14:solidFill>
                      </w14:textFill>
                    </w:rPr>
                  </w:pPr>
                  <w:r>
                    <w:rPr>
                      <w:rFonts w:hint="default" w:ascii="Times New Roman" w:hAnsi="Times New Roman" w:eastAsia="宋体" w:cs="Times New Roman"/>
                      <w:b/>
                      <w:color w:val="000000" w:themeColor="text1"/>
                      <w:sz w:val="24"/>
                      <w:szCs w:val="24"/>
                      <w:lang w:val="en-US" w:eastAsia="zh-CN"/>
                      <w14:textFill>
                        <w14:solidFill>
                          <w14:schemeClr w14:val="tx1"/>
                        </w14:solidFill>
                      </w14:textFill>
                    </w:rPr>
                    <w:t>原有项目</w:t>
                  </w:r>
                  <w:r>
                    <w:rPr>
                      <w:rFonts w:hint="default" w:ascii="Times New Roman" w:hAnsi="Times New Roman" w:eastAsia="宋体" w:cs="Times New Roman"/>
                      <w:b/>
                      <w:color w:val="000000" w:themeColor="text1"/>
                      <w:sz w:val="24"/>
                      <w:szCs w:val="24"/>
                      <w14:textFill>
                        <w14:solidFill>
                          <w14:schemeClr w14:val="tx1"/>
                        </w14:solidFill>
                      </w14:textFill>
                    </w:rPr>
                    <w:t>产能</w:t>
                  </w:r>
                </w:p>
              </w:tc>
              <w:tc>
                <w:tcPr>
                  <w:tcW w:w="2503" w:type="dxa"/>
                  <w:gridSpan w:val="2"/>
                  <w:vAlign w:val="center"/>
                </w:tcPr>
                <w:p>
                  <w:pPr>
                    <w:widowControl/>
                    <w:jc w:val="center"/>
                    <w:rPr>
                      <w:rFonts w:hint="default" w:ascii="Times New Roman" w:hAnsi="Times New Roman" w:eastAsia="宋体" w:cs="Times New Roman"/>
                      <w:b/>
                      <w:color w:val="000000" w:themeColor="text1"/>
                      <w:sz w:val="24"/>
                      <w:szCs w:val="24"/>
                      <w14:textFill>
                        <w14:solidFill>
                          <w14:schemeClr w14:val="tx1"/>
                        </w14:solidFill>
                      </w14:textFill>
                    </w:rPr>
                  </w:pPr>
                  <w:r>
                    <w:rPr>
                      <w:rFonts w:hint="default" w:ascii="Times New Roman" w:hAnsi="Times New Roman" w:eastAsia="宋体" w:cs="Times New Roman"/>
                      <w:b/>
                      <w:color w:val="000000" w:themeColor="text1"/>
                      <w:sz w:val="24"/>
                      <w:szCs w:val="24"/>
                      <w14:textFill>
                        <w14:solidFill>
                          <w14:schemeClr w14:val="tx1"/>
                        </w14:solidFill>
                      </w14:textFill>
                    </w:rPr>
                    <w:t>技改后</w:t>
                  </w:r>
                  <w:r>
                    <w:rPr>
                      <w:rFonts w:hint="default" w:ascii="Times New Roman" w:hAnsi="Times New Roman" w:eastAsia="宋体" w:cs="Times New Roman"/>
                      <w:b/>
                      <w:color w:val="000000" w:themeColor="text1"/>
                      <w:sz w:val="24"/>
                      <w:szCs w:val="24"/>
                      <w:lang w:val="en-US" w:eastAsia="zh-CN"/>
                      <w14:textFill>
                        <w14:solidFill>
                          <w14:schemeClr w14:val="tx1"/>
                        </w14:solidFill>
                      </w14:textFill>
                    </w:rPr>
                    <w:t>环评</w:t>
                  </w:r>
                  <w:r>
                    <w:rPr>
                      <w:rFonts w:hint="default" w:ascii="Times New Roman" w:hAnsi="Times New Roman" w:eastAsia="宋体" w:cs="Times New Roman"/>
                      <w:b/>
                      <w:color w:val="000000" w:themeColor="text1"/>
                      <w:sz w:val="24"/>
                      <w:szCs w:val="24"/>
                      <w14:textFill>
                        <w14:solidFill>
                          <w14:schemeClr w14:val="tx1"/>
                        </w14:solidFill>
                      </w14:textFill>
                    </w:rPr>
                    <w:t>设计产能</w:t>
                  </w:r>
                </w:p>
              </w:tc>
              <w:tc>
                <w:tcPr>
                  <w:tcW w:w="2370" w:type="dxa"/>
                  <w:gridSpan w:val="2"/>
                  <w:vAlign w:val="center"/>
                </w:tcPr>
                <w:p>
                  <w:pPr>
                    <w:widowControl/>
                    <w:jc w:val="center"/>
                    <w:rPr>
                      <w:rFonts w:hint="default" w:ascii="Times New Roman" w:hAnsi="Times New Roman" w:eastAsia="宋体" w:cs="Times New Roman"/>
                      <w:b/>
                      <w:color w:val="000000" w:themeColor="text1"/>
                      <w:sz w:val="24"/>
                      <w:szCs w:val="24"/>
                      <w:lang w:val="en-US" w:eastAsia="zh-CN"/>
                      <w14:textFill>
                        <w14:solidFill>
                          <w14:schemeClr w14:val="tx1"/>
                        </w14:solidFill>
                      </w14:textFill>
                    </w:rPr>
                  </w:pPr>
                  <w:r>
                    <w:rPr>
                      <w:rFonts w:hint="default" w:ascii="Times New Roman" w:hAnsi="Times New Roman" w:eastAsia="宋体" w:cs="Times New Roman"/>
                      <w:b/>
                      <w:color w:val="000000" w:themeColor="text1"/>
                      <w:sz w:val="24"/>
                      <w:szCs w:val="24"/>
                      <w:lang w:val="en-US" w:eastAsia="zh-CN"/>
                      <w14:textFill>
                        <w14:solidFill>
                          <w14:schemeClr w14:val="tx1"/>
                        </w14:solidFill>
                      </w14:textFill>
                    </w:rPr>
                    <w:t>本技改项目实际产能</w:t>
                  </w:r>
                </w:p>
              </w:tc>
              <w:tc>
                <w:tcPr>
                  <w:tcW w:w="1066" w:type="dxa"/>
                  <w:vAlign w:val="center"/>
                </w:tcPr>
                <w:p>
                  <w:pPr>
                    <w:widowControl/>
                    <w:jc w:val="center"/>
                    <w:rPr>
                      <w:rFonts w:hint="default" w:ascii="Times New Roman" w:hAnsi="Times New Roman" w:eastAsia="宋体" w:cs="Times New Roman"/>
                      <w:b/>
                      <w:color w:val="000000" w:themeColor="text1"/>
                      <w:sz w:val="24"/>
                      <w:szCs w:val="24"/>
                      <w:lang w:val="en-US" w:eastAsia="zh-CN"/>
                      <w14:textFill>
                        <w14:solidFill>
                          <w14:schemeClr w14:val="tx1"/>
                        </w14:solidFill>
                      </w14:textFill>
                    </w:rPr>
                  </w:pPr>
                  <w:r>
                    <w:rPr>
                      <w:rFonts w:hint="default" w:ascii="Times New Roman" w:hAnsi="Times New Roman" w:eastAsia="宋体" w:cs="Times New Roman"/>
                      <w:b/>
                      <w:color w:val="000000" w:themeColor="text1"/>
                      <w:sz w:val="24"/>
                      <w:szCs w:val="24"/>
                      <w:lang w:val="en-US" w:eastAsia="zh-CN"/>
                      <w14:textFill>
                        <w14:solidFill>
                          <w14:schemeClr w14:val="tx1"/>
                        </w14:solidFill>
                      </w14:textFill>
                    </w:rPr>
                    <w:t>备注</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05" w:hRule="atLeast"/>
                <w:jc w:val="center"/>
              </w:trPr>
              <w:tc>
                <w:tcPr>
                  <w:tcW w:w="1396" w:type="dxa"/>
                  <w:vMerge w:val="continue"/>
                  <w:vAlign w:val="center"/>
                </w:tcPr>
                <w:p>
                  <w:pPr>
                    <w:widowControl/>
                    <w:jc w:val="center"/>
                    <w:rPr>
                      <w:rFonts w:hint="default" w:ascii="Times New Roman" w:hAnsi="Times New Roman" w:eastAsia="宋体" w:cs="Times New Roman"/>
                      <w:b/>
                      <w:color w:val="000000" w:themeColor="text1"/>
                      <w:sz w:val="24"/>
                      <w:szCs w:val="24"/>
                      <w14:textFill>
                        <w14:solidFill>
                          <w14:schemeClr w14:val="tx1"/>
                        </w14:solidFill>
                      </w14:textFill>
                    </w:rPr>
                  </w:pPr>
                </w:p>
              </w:tc>
              <w:tc>
                <w:tcPr>
                  <w:tcW w:w="989" w:type="dxa"/>
                  <w:vAlign w:val="center"/>
                </w:tcPr>
                <w:p>
                  <w:pPr>
                    <w:widowControl/>
                    <w:jc w:val="center"/>
                    <w:rPr>
                      <w:rFonts w:hint="default" w:ascii="Times New Roman" w:hAnsi="Times New Roman" w:eastAsia="宋体" w:cs="Times New Roman"/>
                      <w:b/>
                      <w:color w:val="000000" w:themeColor="text1"/>
                      <w:sz w:val="24"/>
                      <w:szCs w:val="24"/>
                      <w14:textFill>
                        <w14:solidFill>
                          <w14:schemeClr w14:val="tx1"/>
                        </w14:solidFill>
                      </w14:textFill>
                    </w:rPr>
                  </w:pPr>
                  <w:r>
                    <w:rPr>
                      <w:rFonts w:hint="default" w:ascii="Times New Roman" w:hAnsi="Times New Roman" w:eastAsia="宋体" w:cs="Times New Roman"/>
                      <w:b/>
                      <w:color w:val="000000" w:themeColor="text1"/>
                      <w:sz w:val="24"/>
                      <w:szCs w:val="24"/>
                      <w14:textFill>
                        <w14:solidFill>
                          <w14:schemeClr w14:val="tx1"/>
                        </w14:solidFill>
                      </w14:textFill>
                    </w:rPr>
                    <w:t>万件/a</w:t>
                  </w:r>
                </w:p>
              </w:tc>
              <w:tc>
                <w:tcPr>
                  <w:tcW w:w="994" w:type="dxa"/>
                  <w:vAlign w:val="center"/>
                </w:tcPr>
                <w:p>
                  <w:pPr>
                    <w:widowControl/>
                    <w:jc w:val="center"/>
                    <w:rPr>
                      <w:rFonts w:hint="default" w:ascii="Times New Roman" w:hAnsi="Times New Roman" w:eastAsia="宋体" w:cs="Times New Roman"/>
                      <w:b/>
                      <w:color w:val="000000" w:themeColor="text1"/>
                      <w:sz w:val="24"/>
                      <w:szCs w:val="24"/>
                      <w14:textFill>
                        <w14:solidFill>
                          <w14:schemeClr w14:val="tx1"/>
                        </w14:solidFill>
                      </w14:textFill>
                    </w:rPr>
                  </w:pPr>
                  <w:r>
                    <w:rPr>
                      <w:rFonts w:hint="default" w:ascii="Times New Roman" w:hAnsi="Times New Roman" w:eastAsia="宋体" w:cs="Times New Roman"/>
                      <w:b/>
                      <w:color w:val="000000" w:themeColor="text1"/>
                      <w:sz w:val="24"/>
                      <w:szCs w:val="24"/>
                      <w14:textFill>
                        <w14:solidFill>
                          <w14:schemeClr w14:val="tx1"/>
                        </w14:solidFill>
                      </w14:textFill>
                    </w:rPr>
                    <w:t>t/a</w:t>
                  </w:r>
                </w:p>
              </w:tc>
              <w:tc>
                <w:tcPr>
                  <w:tcW w:w="1308" w:type="dxa"/>
                  <w:vAlign w:val="center"/>
                </w:tcPr>
                <w:p>
                  <w:pPr>
                    <w:widowControl/>
                    <w:jc w:val="center"/>
                    <w:rPr>
                      <w:rFonts w:hint="default" w:ascii="Times New Roman" w:hAnsi="Times New Roman" w:eastAsia="宋体" w:cs="Times New Roman"/>
                      <w:b/>
                      <w:color w:val="000000" w:themeColor="text1"/>
                      <w:sz w:val="24"/>
                      <w:szCs w:val="24"/>
                      <w14:textFill>
                        <w14:solidFill>
                          <w14:schemeClr w14:val="tx1"/>
                        </w14:solidFill>
                      </w14:textFill>
                    </w:rPr>
                  </w:pPr>
                  <w:r>
                    <w:rPr>
                      <w:rFonts w:hint="default" w:ascii="Times New Roman" w:hAnsi="Times New Roman" w:eastAsia="宋体" w:cs="Times New Roman"/>
                      <w:b/>
                      <w:color w:val="000000" w:themeColor="text1"/>
                      <w:sz w:val="24"/>
                      <w:szCs w:val="24"/>
                      <w14:textFill>
                        <w14:solidFill>
                          <w14:schemeClr w14:val="tx1"/>
                        </w14:solidFill>
                      </w14:textFill>
                    </w:rPr>
                    <w:t>万件/a</w:t>
                  </w:r>
                </w:p>
              </w:tc>
              <w:tc>
                <w:tcPr>
                  <w:tcW w:w="1195" w:type="dxa"/>
                  <w:vAlign w:val="center"/>
                </w:tcPr>
                <w:p>
                  <w:pPr>
                    <w:widowControl/>
                    <w:jc w:val="center"/>
                    <w:rPr>
                      <w:rFonts w:hint="default" w:ascii="Times New Roman" w:hAnsi="Times New Roman" w:eastAsia="宋体" w:cs="Times New Roman"/>
                      <w:b/>
                      <w:color w:val="000000" w:themeColor="text1"/>
                      <w:sz w:val="24"/>
                      <w:szCs w:val="24"/>
                      <w14:textFill>
                        <w14:solidFill>
                          <w14:schemeClr w14:val="tx1"/>
                        </w14:solidFill>
                      </w14:textFill>
                    </w:rPr>
                  </w:pPr>
                  <w:r>
                    <w:rPr>
                      <w:rFonts w:hint="default" w:ascii="Times New Roman" w:hAnsi="Times New Roman" w:eastAsia="宋体" w:cs="Times New Roman"/>
                      <w:b/>
                      <w:color w:val="000000" w:themeColor="text1"/>
                      <w:sz w:val="24"/>
                      <w:szCs w:val="24"/>
                      <w14:textFill>
                        <w14:solidFill>
                          <w14:schemeClr w14:val="tx1"/>
                        </w14:solidFill>
                      </w14:textFill>
                    </w:rPr>
                    <w:t>t/a</w:t>
                  </w:r>
                </w:p>
              </w:tc>
              <w:tc>
                <w:tcPr>
                  <w:tcW w:w="1085" w:type="dxa"/>
                  <w:vAlign w:val="center"/>
                </w:tcPr>
                <w:p>
                  <w:pPr>
                    <w:widowControl/>
                    <w:jc w:val="center"/>
                    <w:rPr>
                      <w:rFonts w:hint="default" w:ascii="Times New Roman" w:hAnsi="Times New Roman" w:eastAsia="宋体" w:cs="Times New Roman"/>
                      <w:b/>
                      <w:color w:val="000000" w:themeColor="text1"/>
                      <w:kern w:val="2"/>
                      <w:sz w:val="24"/>
                      <w:szCs w:val="24"/>
                      <w:lang w:val="en-US" w:eastAsia="zh-CN" w:bidi="ar-SA"/>
                      <w14:textFill>
                        <w14:solidFill>
                          <w14:schemeClr w14:val="tx1"/>
                        </w14:solidFill>
                      </w14:textFill>
                    </w:rPr>
                  </w:pPr>
                  <w:r>
                    <w:rPr>
                      <w:rFonts w:hint="default" w:ascii="Times New Roman" w:hAnsi="Times New Roman" w:eastAsia="宋体" w:cs="Times New Roman"/>
                      <w:b/>
                      <w:color w:val="000000" w:themeColor="text1"/>
                      <w:sz w:val="24"/>
                      <w:szCs w:val="24"/>
                      <w14:textFill>
                        <w14:solidFill>
                          <w14:schemeClr w14:val="tx1"/>
                        </w14:solidFill>
                      </w14:textFill>
                    </w:rPr>
                    <w:t>万件/a</w:t>
                  </w:r>
                </w:p>
              </w:tc>
              <w:tc>
                <w:tcPr>
                  <w:tcW w:w="1285" w:type="dxa"/>
                  <w:vAlign w:val="center"/>
                </w:tcPr>
                <w:p>
                  <w:pPr>
                    <w:widowControl/>
                    <w:jc w:val="center"/>
                    <w:rPr>
                      <w:rFonts w:hint="default" w:ascii="Times New Roman" w:hAnsi="Times New Roman" w:eastAsia="宋体" w:cs="Times New Roman"/>
                      <w:b/>
                      <w:color w:val="000000" w:themeColor="text1"/>
                      <w:kern w:val="2"/>
                      <w:sz w:val="24"/>
                      <w:szCs w:val="24"/>
                      <w:lang w:val="en-US" w:eastAsia="zh-CN" w:bidi="ar-SA"/>
                      <w14:textFill>
                        <w14:solidFill>
                          <w14:schemeClr w14:val="tx1"/>
                        </w14:solidFill>
                      </w14:textFill>
                    </w:rPr>
                  </w:pPr>
                  <w:r>
                    <w:rPr>
                      <w:rFonts w:hint="default" w:ascii="Times New Roman" w:hAnsi="Times New Roman" w:eastAsia="宋体" w:cs="Times New Roman"/>
                      <w:b/>
                      <w:color w:val="000000" w:themeColor="text1"/>
                      <w:sz w:val="24"/>
                      <w:szCs w:val="24"/>
                      <w14:textFill>
                        <w14:solidFill>
                          <w14:schemeClr w14:val="tx1"/>
                        </w14:solidFill>
                      </w14:textFill>
                    </w:rPr>
                    <w:t>t/a</w:t>
                  </w:r>
                </w:p>
              </w:tc>
              <w:tc>
                <w:tcPr>
                  <w:tcW w:w="1066" w:type="dxa"/>
                  <w:vAlign w:val="center"/>
                </w:tcPr>
                <w:p>
                  <w:pPr>
                    <w:widowControl/>
                    <w:jc w:val="center"/>
                    <w:rPr>
                      <w:rFonts w:hint="default" w:ascii="Times New Roman" w:hAnsi="Times New Roman" w:eastAsia="宋体" w:cs="Times New Roman"/>
                      <w:b/>
                      <w:color w:val="000000" w:themeColor="text1"/>
                      <w:sz w:val="24"/>
                      <w:szCs w:val="24"/>
                      <w:lang w:val="en-US" w:eastAsia="zh-CN"/>
                      <w14:textFill>
                        <w14:solidFill>
                          <w14:schemeClr w14:val="tx1"/>
                        </w14:solidFill>
                      </w14:textFill>
                    </w:rPr>
                  </w:pPr>
                  <w:r>
                    <w:rPr>
                      <w:rFonts w:hint="default" w:ascii="Times New Roman" w:hAnsi="Times New Roman" w:eastAsia="宋体" w:cs="Times New Roman"/>
                      <w:b/>
                      <w:color w:val="000000" w:themeColor="text1"/>
                      <w:sz w:val="24"/>
                      <w:szCs w:val="24"/>
                      <w:lang w:val="en-US" w:eastAsia="zh-CN"/>
                      <w14:textFill>
                        <w14:solidFill>
                          <w14:schemeClr w14:val="tx1"/>
                        </w14:solidFill>
                      </w14:textFill>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05" w:hRule="atLeast"/>
                <w:jc w:val="center"/>
              </w:trPr>
              <w:tc>
                <w:tcPr>
                  <w:tcW w:w="1396" w:type="dxa"/>
                  <w:vAlign w:val="center"/>
                </w:tcPr>
                <w:p>
                  <w:pPr>
                    <w:widowControl/>
                    <w:jc w:val="center"/>
                    <w:rPr>
                      <w:rFonts w:hint="default" w:ascii="Times New Roman" w:hAnsi="Times New Roman" w:eastAsia="宋体" w:cs="Times New Roman"/>
                      <w:color w:val="000000" w:themeColor="text1"/>
                      <w:sz w:val="24"/>
                      <w:szCs w:val="24"/>
                      <w14:textFill>
                        <w14:solidFill>
                          <w14:schemeClr w14:val="tx1"/>
                        </w14:solidFill>
                      </w14:textFill>
                    </w:rPr>
                  </w:pPr>
                  <w:r>
                    <w:rPr>
                      <w:rFonts w:hint="default" w:ascii="Times New Roman" w:hAnsi="Times New Roman" w:eastAsia="宋体" w:cs="Times New Roman"/>
                      <w:color w:val="000000" w:themeColor="text1"/>
                      <w:sz w:val="24"/>
                      <w:szCs w:val="24"/>
                      <w14:textFill>
                        <w14:solidFill>
                          <w14:schemeClr w14:val="tx1"/>
                        </w14:solidFill>
                      </w14:textFill>
                    </w:rPr>
                    <w:t>缸盖</w:t>
                  </w:r>
                </w:p>
              </w:tc>
              <w:tc>
                <w:tcPr>
                  <w:tcW w:w="989" w:type="dxa"/>
                  <w:vAlign w:val="center"/>
                </w:tcPr>
                <w:p>
                  <w:pPr>
                    <w:widowControl/>
                    <w:jc w:val="center"/>
                    <w:rPr>
                      <w:rFonts w:hint="default" w:ascii="Times New Roman" w:hAnsi="Times New Roman" w:eastAsia="宋体" w:cs="Times New Roman"/>
                      <w:color w:val="000000" w:themeColor="text1"/>
                      <w:sz w:val="24"/>
                      <w:szCs w:val="24"/>
                      <w14:textFill>
                        <w14:solidFill>
                          <w14:schemeClr w14:val="tx1"/>
                        </w14:solidFill>
                      </w14:textFill>
                    </w:rPr>
                  </w:pPr>
                  <w:r>
                    <w:rPr>
                      <w:rFonts w:hint="default" w:ascii="Times New Roman" w:hAnsi="Times New Roman" w:eastAsia="宋体" w:cs="Times New Roman"/>
                      <w:color w:val="000000" w:themeColor="text1"/>
                      <w:sz w:val="24"/>
                      <w:szCs w:val="24"/>
                      <w14:textFill>
                        <w14:solidFill>
                          <w14:schemeClr w14:val="tx1"/>
                        </w14:solidFill>
                      </w14:textFill>
                    </w:rPr>
                    <w:t>60</w:t>
                  </w:r>
                </w:p>
              </w:tc>
              <w:tc>
                <w:tcPr>
                  <w:tcW w:w="994" w:type="dxa"/>
                  <w:vAlign w:val="center"/>
                </w:tcPr>
                <w:p>
                  <w:pPr>
                    <w:jc w:val="center"/>
                    <w:rPr>
                      <w:rFonts w:hint="default" w:ascii="Times New Roman" w:hAnsi="Times New Roman" w:eastAsia="宋体" w:cs="Times New Roman"/>
                      <w:color w:val="000000" w:themeColor="text1"/>
                      <w:sz w:val="24"/>
                      <w:szCs w:val="24"/>
                      <w14:textFill>
                        <w14:solidFill>
                          <w14:schemeClr w14:val="tx1"/>
                        </w14:solidFill>
                      </w14:textFill>
                    </w:rPr>
                  </w:pPr>
                  <w:r>
                    <w:rPr>
                      <w:rFonts w:hint="default" w:ascii="Times New Roman" w:hAnsi="Times New Roman" w:eastAsia="宋体" w:cs="Times New Roman"/>
                      <w:color w:val="000000" w:themeColor="text1"/>
                      <w:sz w:val="24"/>
                      <w:szCs w:val="24"/>
                      <w14:textFill>
                        <w14:solidFill>
                          <w14:schemeClr w14:val="tx1"/>
                        </w14:solidFill>
                      </w14:textFill>
                    </w:rPr>
                    <w:t>9000</w:t>
                  </w:r>
                </w:p>
              </w:tc>
              <w:tc>
                <w:tcPr>
                  <w:tcW w:w="1308" w:type="dxa"/>
                  <w:vAlign w:val="center"/>
                </w:tcPr>
                <w:p>
                  <w:pPr>
                    <w:jc w:val="center"/>
                    <w:rPr>
                      <w:rFonts w:hint="default" w:ascii="Times New Roman" w:hAnsi="Times New Roman" w:eastAsia="宋体" w:cs="Times New Roman"/>
                      <w:color w:val="000000" w:themeColor="text1"/>
                      <w:sz w:val="24"/>
                      <w:szCs w:val="24"/>
                      <w14:textFill>
                        <w14:solidFill>
                          <w14:schemeClr w14:val="tx1"/>
                        </w14:solidFill>
                      </w14:textFill>
                    </w:rPr>
                  </w:pPr>
                  <w:r>
                    <w:rPr>
                      <w:rFonts w:hint="default" w:ascii="Times New Roman" w:hAnsi="Times New Roman" w:eastAsia="宋体" w:cs="Times New Roman"/>
                      <w:color w:val="000000" w:themeColor="text1"/>
                      <w:sz w:val="24"/>
                      <w:szCs w:val="24"/>
                      <w14:textFill>
                        <w14:solidFill>
                          <w14:schemeClr w14:val="tx1"/>
                        </w14:solidFill>
                      </w14:textFill>
                    </w:rPr>
                    <w:t>60</w:t>
                  </w:r>
                </w:p>
              </w:tc>
              <w:tc>
                <w:tcPr>
                  <w:tcW w:w="1195" w:type="dxa"/>
                  <w:vAlign w:val="center"/>
                </w:tcPr>
                <w:p>
                  <w:pPr>
                    <w:jc w:val="center"/>
                    <w:rPr>
                      <w:rFonts w:hint="default" w:ascii="Times New Roman" w:hAnsi="Times New Roman" w:eastAsia="宋体" w:cs="Times New Roman"/>
                      <w:color w:val="000000" w:themeColor="text1"/>
                      <w:sz w:val="24"/>
                      <w:szCs w:val="24"/>
                      <w14:textFill>
                        <w14:solidFill>
                          <w14:schemeClr w14:val="tx1"/>
                        </w14:solidFill>
                      </w14:textFill>
                    </w:rPr>
                  </w:pPr>
                  <w:r>
                    <w:rPr>
                      <w:rFonts w:hint="default" w:ascii="Times New Roman" w:hAnsi="Times New Roman" w:eastAsia="宋体" w:cs="Times New Roman"/>
                      <w:color w:val="000000" w:themeColor="text1"/>
                      <w:sz w:val="24"/>
                      <w:szCs w:val="24"/>
                      <w14:textFill>
                        <w14:solidFill>
                          <w14:schemeClr w14:val="tx1"/>
                        </w14:solidFill>
                      </w14:textFill>
                    </w:rPr>
                    <w:t>9000</w:t>
                  </w:r>
                </w:p>
              </w:tc>
              <w:tc>
                <w:tcPr>
                  <w:tcW w:w="1085" w:type="dxa"/>
                  <w:vAlign w:val="center"/>
                </w:tcPr>
                <w:p>
                  <w:pPr>
                    <w:jc w:val="center"/>
                    <w:rPr>
                      <w:rFonts w:hint="default" w:ascii="Times New Roman" w:hAnsi="Times New Roman" w:eastAsia="宋体" w:cs="Times New Roman"/>
                      <w:color w:val="000000" w:themeColor="text1"/>
                      <w:kern w:val="2"/>
                      <w:sz w:val="24"/>
                      <w:szCs w:val="24"/>
                      <w:lang w:val="en-US" w:eastAsia="zh-CN" w:bidi="ar-SA"/>
                      <w14:textFill>
                        <w14:solidFill>
                          <w14:schemeClr w14:val="tx1"/>
                        </w14:solidFill>
                      </w14:textFill>
                    </w:rPr>
                  </w:pPr>
                  <w:r>
                    <w:rPr>
                      <w:rFonts w:hint="default" w:ascii="Times New Roman" w:hAnsi="Times New Roman" w:eastAsia="宋体" w:cs="Times New Roman"/>
                      <w:color w:val="000000" w:themeColor="text1"/>
                      <w:sz w:val="24"/>
                      <w:szCs w:val="24"/>
                      <w14:textFill>
                        <w14:solidFill>
                          <w14:schemeClr w14:val="tx1"/>
                        </w14:solidFill>
                      </w14:textFill>
                    </w:rPr>
                    <w:t>60</w:t>
                  </w:r>
                </w:p>
              </w:tc>
              <w:tc>
                <w:tcPr>
                  <w:tcW w:w="1285" w:type="dxa"/>
                  <w:vAlign w:val="center"/>
                </w:tcPr>
                <w:p>
                  <w:pPr>
                    <w:jc w:val="center"/>
                    <w:rPr>
                      <w:rFonts w:hint="default" w:ascii="Times New Roman" w:hAnsi="Times New Roman" w:eastAsia="宋体" w:cs="Times New Roman"/>
                      <w:color w:val="000000" w:themeColor="text1"/>
                      <w:kern w:val="2"/>
                      <w:sz w:val="24"/>
                      <w:szCs w:val="24"/>
                      <w:lang w:val="en-US" w:eastAsia="zh-CN" w:bidi="ar-SA"/>
                      <w14:textFill>
                        <w14:solidFill>
                          <w14:schemeClr w14:val="tx1"/>
                        </w14:solidFill>
                      </w14:textFill>
                    </w:rPr>
                  </w:pPr>
                  <w:r>
                    <w:rPr>
                      <w:rFonts w:hint="default" w:ascii="Times New Roman" w:hAnsi="Times New Roman" w:eastAsia="宋体" w:cs="Times New Roman"/>
                      <w:color w:val="000000" w:themeColor="text1"/>
                      <w:sz w:val="24"/>
                      <w:szCs w:val="24"/>
                      <w14:textFill>
                        <w14:solidFill>
                          <w14:schemeClr w14:val="tx1"/>
                        </w14:solidFill>
                      </w14:textFill>
                    </w:rPr>
                    <w:t>9000</w:t>
                  </w:r>
                </w:p>
              </w:tc>
              <w:tc>
                <w:tcPr>
                  <w:tcW w:w="1066" w:type="dxa"/>
                  <w:vMerge w:val="restart"/>
                  <w:vAlign w:val="center"/>
                </w:tcPr>
                <w:p>
                  <w:pPr>
                    <w:jc w:val="center"/>
                    <w:rPr>
                      <w:rFonts w:hint="default" w:ascii="Times New Roman" w:hAnsi="Times New Roman" w:eastAsia="宋体" w:cs="Times New Roman"/>
                      <w:color w:val="000000" w:themeColor="text1"/>
                      <w:sz w:val="24"/>
                      <w:szCs w:val="24"/>
                      <w:lang w:val="en-US" w:eastAsia="zh-CN"/>
                      <w14:textFill>
                        <w14:solidFill>
                          <w14:schemeClr w14:val="tx1"/>
                        </w14:solidFill>
                      </w14:textFill>
                    </w:rPr>
                  </w:pPr>
                  <w:r>
                    <w:rPr>
                      <w:rFonts w:hint="eastAsia" w:cs="Times New Roman"/>
                      <w:color w:val="000000" w:themeColor="text1"/>
                      <w:sz w:val="24"/>
                      <w:szCs w:val="24"/>
                      <w:lang w:val="en-US" w:eastAsia="zh-CN"/>
                      <w14:textFill>
                        <w14:solidFill>
                          <w14:schemeClr w14:val="tx1"/>
                        </w14:solidFill>
                      </w14:textFill>
                    </w:rPr>
                    <w:t>不在此次验收范围内</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05" w:hRule="atLeast"/>
                <w:jc w:val="center"/>
              </w:trPr>
              <w:tc>
                <w:tcPr>
                  <w:tcW w:w="1396" w:type="dxa"/>
                  <w:vAlign w:val="center"/>
                </w:tcPr>
                <w:p>
                  <w:pPr>
                    <w:widowControl/>
                    <w:jc w:val="center"/>
                    <w:rPr>
                      <w:rFonts w:hint="default" w:ascii="Times New Roman" w:hAnsi="Times New Roman" w:eastAsia="宋体" w:cs="Times New Roman"/>
                      <w:color w:val="000000" w:themeColor="text1"/>
                      <w:sz w:val="24"/>
                      <w:szCs w:val="24"/>
                      <w14:textFill>
                        <w14:solidFill>
                          <w14:schemeClr w14:val="tx1"/>
                        </w14:solidFill>
                      </w14:textFill>
                    </w:rPr>
                  </w:pPr>
                  <w:r>
                    <w:rPr>
                      <w:rFonts w:hint="default" w:ascii="Times New Roman" w:hAnsi="Times New Roman" w:eastAsia="宋体" w:cs="Times New Roman"/>
                      <w:color w:val="000000" w:themeColor="text1"/>
                      <w:sz w:val="24"/>
                      <w:szCs w:val="24"/>
                      <w14:textFill>
                        <w14:solidFill>
                          <w14:schemeClr w14:val="tx1"/>
                        </w14:solidFill>
                      </w14:textFill>
                    </w:rPr>
                    <w:t>进气管</w:t>
                  </w:r>
                </w:p>
              </w:tc>
              <w:tc>
                <w:tcPr>
                  <w:tcW w:w="989" w:type="dxa"/>
                  <w:vAlign w:val="center"/>
                </w:tcPr>
                <w:p>
                  <w:pPr>
                    <w:jc w:val="center"/>
                    <w:rPr>
                      <w:rFonts w:hint="default" w:ascii="Times New Roman" w:hAnsi="Times New Roman" w:eastAsia="宋体" w:cs="Times New Roman"/>
                      <w:color w:val="000000" w:themeColor="text1"/>
                      <w:sz w:val="24"/>
                      <w:szCs w:val="24"/>
                      <w14:textFill>
                        <w14:solidFill>
                          <w14:schemeClr w14:val="tx1"/>
                        </w14:solidFill>
                      </w14:textFill>
                    </w:rPr>
                  </w:pPr>
                  <w:r>
                    <w:rPr>
                      <w:rFonts w:hint="default" w:ascii="Times New Roman" w:hAnsi="Times New Roman" w:eastAsia="宋体" w:cs="Times New Roman"/>
                      <w:color w:val="000000" w:themeColor="text1"/>
                      <w:sz w:val="24"/>
                      <w:szCs w:val="24"/>
                      <w14:textFill>
                        <w14:solidFill>
                          <w14:schemeClr w14:val="tx1"/>
                        </w14:solidFill>
                      </w14:textFill>
                    </w:rPr>
                    <w:t>15</w:t>
                  </w:r>
                </w:p>
              </w:tc>
              <w:tc>
                <w:tcPr>
                  <w:tcW w:w="994" w:type="dxa"/>
                  <w:vAlign w:val="center"/>
                </w:tcPr>
                <w:p>
                  <w:pPr>
                    <w:jc w:val="center"/>
                    <w:rPr>
                      <w:rFonts w:hint="default" w:ascii="Times New Roman" w:hAnsi="Times New Roman" w:eastAsia="宋体" w:cs="Times New Roman"/>
                      <w:color w:val="000000" w:themeColor="text1"/>
                      <w:sz w:val="24"/>
                      <w:szCs w:val="24"/>
                      <w14:textFill>
                        <w14:solidFill>
                          <w14:schemeClr w14:val="tx1"/>
                        </w14:solidFill>
                      </w14:textFill>
                    </w:rPr>
                  </w:pPr>
                  <w:r>
                    <w:rPr>
                      <w:rFonts w:hint="default" w:ascii="Times New Roman" w:hAnsi="Times New Roman" w:eastAsia="宋体" w:cs="Times New Roman"/>
                      <w:color w:val="000000" w:themeColor="text1"/>
                      <w:sz w:val="24"/>
                      <w:szCs w:val="24"/>
                      <w14:textFill>
                        <w14:solidFill>
                          <w14:schemeClr w14:val="tx1"/>
                        </w14:solidFill>
                      </w14:textFill>
                    </w:rPr>
                    <w:t>1000</w:t>
                  </w:r>
                </w:p>
              </w:tc>
              <w:tc>
                <w:tcPr>
                  <w:tcW w:w="1308" w:type="dxa"/>
                  <w:vAlign w:val="center"/>
                </w:tcPr>
                <w:p>
                  <w:pPr>
                    <w:jc w:val="center"/>
                    <w:rPr>
                      <w:rFonts w:hint="default" w:ascii="Times New Roman" w:hAnsi="Times New Roman" w:eastAsia="宋体" w:cs="Times New Roman"/>
                      <w:color w:val="000000" w:themeColor="text1"/>
                      <w:sz w:val="24"/>
                      <w:szCs w:val="24"/>
                      <w14:textFill>
                        <w14:solidFill>
                          <w14:schemeClr w14:val="tx1"/>
                        </w14:solidFill>
                      </w14:textFill>
                    </w:rPr>
                  </w:pPr>
                  <w:r>
                    <w:rPr>
                      <w:rFonts w:hint="default" w:ascii="Times New Roman" w:hAnsi="Times New Roman" w:eastAsia="宋体" w:cs="Times New Roman"/>
                      <w:color w:val="000000" w:themeColor="text1"/>
                      <w:sz w:val="24"/>
                      <w:szCs w:val="24"/>
                      <w14:textFill>
                        <w14:solidFill>
                          <w14:schemeClr w14:val="tx1"/>
                        </w14:solidFill>
                      </w14:textFill>
                    </w:rPr>
                    <w:t>15</w:t>
                  </w:r>
                </w:p>
              </w:tc>
              <w:tc>
                <w:tcPr>
                  <w:tcW w:w="1195" w:type="dxa"/>
                  <w:vAlign w:val="center"/>
                </w:tcPr>
                <w:p>
                  <w:pPr>
                    <w:jc w:val="center"/>
                    <w:rPr>
                      <w:rFonts w:hint="default" w:ascii="Times New Roman" w:hAnsi="Times New Roman" w:eastAsia="宋体" w:cs="Times New Roman"/>
                      <w:color w:val="000000" w:themeColor="text1"/>
                      <w:sz w:val="24"/>
                      <w:szCs w:val="24"/>
                      <w14:textFill>
                        <w14:solidFill>
                          <w14:schemeClr w14:val="tx1"/>
                        </w14:solidFill>
                      </w14:textFill>
                    </w:rPr>
                  </w:pPr>
                  <w:r>
                    <w:rPr>
                      <w:rFonts w:hint="default" w:ascii="Times New Roman" w:hAnsi="Times New Roman" w:eastAsia="宋体" w:cs="Times New Roman"/>
                      <w:color w:val="000000" w:themeColor="text1"/>
                      <w:sz w:val="24"/>
                      <w:szCs w:val="24"/>
                      <w14:textFill>
                        <w14:solidFill>
                          <w14:schemeClr w14:val="tx1"/>
                        </w14:solidFill>
                      </w14:textFill>
                    </w:rPr>
                    <w:t>1000</w:t>
                  </w:r>
                </w:p>
              </w:tc>
              <w:tc>
                <w:tcPr>
                  <w:tcW w:w="1085" w:type="dxa"/>
                  <w:vAlign w:val="center"/>
                </w:tcPr>
                <w:p>
                  <w:pPr>
                    <w:jc w:val="center"/>
                    <w:rPr>
                      <w:rFonts w:hint="default" w:ascii="Times New Roman" w:hAnsi="Times New Roman" w:eastAsia="宋体" w:cs="Times New Roman"/>
                      <w:color w:val="000000" w:themeColor="text1"/>
                      <w:kern w:val="2"/>
                      <w:sz w:val="24"/>
                      <w:szCs w:val="24"/>
                      <w:lang w:val="en-US" w:eastAsia="zh-CN" w:bidi="ar-SA"/>
                      <w14:textFill>
                        <w14:solidFill>
                          <w14:schemeClr w14:val="tx1"/>
                        </w14:solidFill>
                      </w14:textFill>
                    </w:rPr>
                  </w:pPr>
                  <w:r>
                    <w:rPr>
                      <w:rFonts w:hint="default" w:ascii="Times New Roman" w:hAnsi="Times New Roman" w:eastAsia="宋体" w:cs="Times New Roman"/>
                      <w:color w:val="000000" w:themeColor="text1"/>
                      <w:sz w:val="24"/>
                      <w:szCs w:val="24"/>
                      <w14:textFill>
                        <w14:solidFill>
                          <w14:schemeClr w14:val="tx1"/>
                        </w14:solidFill>
                      </w14:textFill>
                    </w:rPr>
                    <w:t>15</w:t>
                  </w:r>
                </w:p>
              </w:tc>
              <w:tc>
                <w:tcPr>
                  <w:tcW w:w="1285" w:type="dxa"/>
                  <w:vAlign w:val="center"/>
                </w:tcPr>
                <w:p>
                  <w:pPr>
                    <w:jc w:val="center"/>
                    <w:rPr>
                      <w:rFonts w:hint="default" w:ascii="Times New Roman" w:hAnsi="Times New Roman" w:eastAsia="宋体" w:cs="Times New Roman"/>
                      <w:color w:val="000000" w:themeColor="text1"/>
                      <w:kern w:val="2"/>
                      <w:sz w:val="24"/>
                      <w:szCs w:val="24"/>
                      <w:lang w:val="en-US" w:eastAsia="zh-CN" w:bidi="ar-SA"/>
                      <w14:textFill>
                        <w14:solidFill>
                          <w14:schemeClr w14:val="tx1"/>
                        </w14:solidFill>
                      </w14:textFill>
                    </w:rPr>
                  </w:pPr>
                  <w:r>
                    <w:rPr>
                      <w:rFonts w:hint="default" w:ascii="Times New Roman" w:hAnsi="Times New Roman" w:eastAsia="宋体" w:cs="Times New Roman"/>
                      <w:color w:val="000000" w:themeColor="text1"/>
                      <w:sz w:val="24"/>
                      <w:szCs w:val="24"/>
                      <w14:textFill>
                        <w14:solidFill>
                          <w14:schemeClr w14:val="tx1"/>
                        </w14:solidFill>
                      </w14:textFill>
                    </w:rPr>
                    <w:t>1000</w:t>
                  </w:r>
                </w:p>
              </w:tc>
              <w:tc>
                <w:tcPr>
                  <w:tcW w:w="1066" w:type="dxa"/>
                  <w:vMerge w:val="continue"/>
                  <w:vAlign w:val="center"/>
                </w:tcPr>
                <w:p>
                  <w:pPr>
                    <w:jc w:val="center"/>
                    <w:rPr>
                      <w:rFonts w:hint="default" w:ascii="Times New Roman" w:hAnsi="Times New Roman" w:eastAsia="宋体" w:cs="Times New Roman"/>
                      <w:color w:val="000000" w:themeColor="text1"/>
                      <w:sz w:val="24"/>
                      <w:szCs w:val="24"/>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396" w:type="dxa"/>
                  <w:shd w:val="solid" w:color="CFCECE" w:themeColor="background2" w:themeShade="E5" w:fill="auto"/>
                  <w:vAlign w:val="center"/>
                </w:tcPr>
                <w:p>
                  <w:pPr>
                    <w:widowControl/>
                    <w:jc w:val="center"/>
                    <w:rPr>
                      <w:rFonts w:hint="default" w:ascii="Times New Roman" w:hAnsi="Times New Roman" w:eastAsia="宋体" w:cs="Times New Roman"/>
                      <w:color w:val="000000" w:themeColor="text1"/>
                      <w:sz w:val="24"/>
                      <w:szCs w:val="24"/>
                      <w14:textFill>
                        <w14:solidFill>
                          <w14:schemeClr w14:val="tx1"/>
                        </w14:solidFill>
                      </w14:textFill>
                    </w:rPr>
                  </w:pPr>
                  <w:r>
                    <w:rPr>
                      <w:rFonts w:hint="default" w:ascii="Times New Roman" w:hAnsi="Times New Roman" w:eastAsia="宋体" w:cs="Times New Roman"/>
                      <w:color w:val="000000" w:themeColor="text1"/>
                      <w:sz w:val="24"/>
                      <w:szCs w:val="24"/>
                      <w14:textFill>
                        <w14:solidFill>
                          <w14:schemeClr w14:val="tx1"/>
                        </w14:solidFill>
                      </w14:textFill>
                    </w:rPr>
                    <w:t>缸体</w:t>
                  </w:r>
                </w:p>
              </w:tc>
              <w:tc>
                <w:tcPr>
                  <w:tcW w:w="989" w:type="dxa"/>
                  <w:shd w:val="solid" w:color="CFCECE" w:themeColor="background2" w:themeShade="E5" w:fill="auto"/>
                  <w:vAlign w:val="center"/>
                </w:tcPr>
                <w:p>
                  <w:pPr>
                    <w:jc w:val="center"/>
                    <w:rPr>
                      <w:rFonts w:hint="default" w:ascii="Times New Roman" w:hAnsi="Times New Roman" w:eastAsia="宋体" w:cs="Times New Roman"/>
                      <w:color w:val="000000" w:themeColor="text1"/>
                      <w:sz w:val="24"/>
                      <w:szCs w:val="24"/>
                      <w14:textFill>
                        <w14:solidFill>
                          <w14:schemeClr w14:val="tx1"/>
                        </w14:solidFill>
                      </w14:textFill>
                    </w:rPr>
                  </w:pPr>
                  <w:r>
                    <w:rPr>
                      <w:rFonts w:hint="default" w:ascii="Times New Roman" w:hAnsi="Times New Roman" w:eastAsia="宋体" w:cs="Times New Roman"/>
                      <w:color w:val="000000" w:themeColor="text1"/>
                      <w:sz w:val="24"/>
                      <w:szCs w:val="24"/>
                      <w14:textFill>
                        <w14:solidFill>
                          <w14:schemeClr w14:val="tx1"/>
                        </w14:solidFill>
                      </w14:textFill>
                    </w:rPr>
                    <w:t>10</w:t>
                  </w:r>
                </w:p>
              </w:tc>
              <w:tc>
                <w:tcPr>
                  <w:tcW w:w="994" w:type="dxa"/>
                  <w:shd w:val="solid" w:color="CFCECE" w:themeColor="background2" w:themeShade="E5" w:fill="auto"/>
                  <w:vAlign w:val="center"/>
                </w:tcPr>
                <w:p>
                  <w:pPr>
                    <w:jc w:val="center"/>
                    <w:rPr>
                      <w:rFonts w:hint="default" w:ascii="Times New Roman" w:hAnsi="Times New Roman" w:eastAsia="宋体" w:cs="Times New Roman"/>
                      <w:color w:val="000000" w:themeColor="text1"/>
                      <w:sz w:val="24"/>
                      <w:szCs w:val="24"/>
                      <w14:textFill>
                        <w14:solidFill>
                          <w14:schemeClr w14:val="tx1"/>
                        </w14:solidFill>
                      </w14:textFill>
                    </w:rPr>
                  </w:pPr>
                  <w:r>
                    <w:rPr>
                      <w:rFonts w:hint="default" w:ascii="Times New Roman" w:hAnsi="Times New Roman" w:eastAsia="宋体" w:cs="Times New Roman"/>
                      <w:color w:val="000000" w:themeColor="text1"/>
                      <w:sz w:val="24"/>
                      <w:szCs w:val="24"/>
                      <w14:textFill>
                        <w14:solidFill>
                          <w14:schemeClr w14:val="tx1"/>
                        </w14:solidFill>
                      </w14:textFill>
                    </w:rPr>
                    <w:t>2525</w:t>
                  </w:r>
                </w:p>
              </w:tc>
              <w:tc>
                <w:tcPr>
                  <w:tcW w:w="1308" w:type="dxa"/>
                  <w:shd w:val="solid" w:color="CFCECE" w:themeColor="background2" w:themeShade="E5" w:fill="auto"/>
                  <w:vAlign w:val="center"/>
                </w:tcPr>
                <w:p>
                  <w:pPr>
                    <w:widowControl/>
                    <w:jc w:val="center"/>
                    <w:rPr>
                      <w:rFonts w:hint="default" w:ascii="Times New Roman" w:hAnsi="Times New Roman" w:eastAsia="宋体" w:cs="Times New Roman"/>
                      <w:color w:val="000000" w:themeColor="text1"/>
                      <w:sz w:val="24"/>
                      <w:szCs w:val="24"/>
                      <w14:textFill>
                        <w14:solidFill>
                          <w14:schemeClr w14:val="tx1"/>
                        </w14:solidFill>
                      </w14:textFill>
                    </w:rPr>
                  </w:pPr>
                  <w:r>
                    <w:rPr>
                      <w:rFonts w:hint="default" w:ascii="Times New Roman" w:hAnsi="Times New Roman" w:eastAsia="宋体" w:cs="Times New Roman"/>
                      <w:color w:val="000000" w:themeColor="text1"/>
                      <w:sz w:val="24"/>
                      <w:szCs w:val="24"/>
                      <w14:textFill>
                        <w14:solidFill>
                          <w14:schemeClr w14:val="tx1"/>
                        </w14:solidFill>
                      </w14:textFill>
                    </w:rPr>
                    <w:t>28</w:t>
                  </w:r>
                </w:p>
              </w:tc>
              <w:tc>
                <w:tcPr>
                  <w:tcW w:w="1195" w:type="dxa"/>
                  <w:shd w:val="solid" w:color="CFCECE" w:themeColor="background2" w:themeShade="E5" w:fill="auto"/>
                  <w:vAlign w:val="center"/>
                </w:tcPr>
                <w:p>
                  <w:pPr>
                    <w:widowControl/>
                    <w:jc w:val="center"/>
                    <w:rPr>
                      <w:rFonts w:hint="default" w:ascii="Times New Roman" w:hAnsi="Times New Roman" w:eastAsia="宋体" w:cs="Times New Roman"/>
                      <w:color w:val="000000" w:themeColor="text1"/>
                      <w:sz w:val="24"/>
                      <w:szCs w:val="24"/>
                      <w14:textFill>
                        <w14:solidFill>
                          <w14:schemeClr w14:val="tx1"/>
                        </w14:solidFill>
                      </w14:textFill>
                    </w:rPr>
                  </w:pPr>
                  <w:r>
                    <w:rPr>
                      <w:rFonts w:hint="default" w:ascii="Times New Roman" w:hAnsi="Times New Roman" w:eastAsia="宋体" w:cs="Times New Roman"/>
                      <w:color w:val="000000" w:themeColor="text1"/>
                      <w:sz w:val="24"/>
                      <w:szCs w:val="24"/>
                      <w14:textFill>
                        <w14:solidFill>
                          <w14:schemeClr w14:val="tx1"/>
                        </w14:solidFill>
                      </w14:textFill>
                    </w:rPr>
                    <w:t>5189</w:t>
                  </w:r>
                </w:p>
              </w:tc>
              <w:tc>
                <w:tcPr>
                  <w:tcW w:w="1085" w:type="dxa"/>
                  <w:shd w:val="solid" w:color="CFCECE" w:themeColor="background2" w:themeShade="E5" w:fill="auto"/>
                  <w:vAlign w:val="center"/>
                </w:tcPr>
                <w:p>
                  <w:pPr>
                    <w:widowControl/>
                    <w:jc w:val="center"/>
                    <w:rPr>
                      <w:rFonts w:hint="default" w:ascii="Times New Roman" w:hAnsi="Times New Roman" w:eastAsia="宋体" w:cs="Times New Roman"/>
                      <w:color w:val="000000" w:themeColor="text1"/>
                      <w:kern w:val="2"/>
                      <w:sz w:val="24"/>
                      <w:szCs w:val="24"/>
                      <w:highlight w:val="none"/>
                      <w:lang w:val="en-US" w:eastAsia="zh-CN" w:bidi="ar-SA"/>
                      <w14:textFill>
                        <w14:solidFill>
                          <w14:schemeClr w14:val="tx1"/>
                        </w14:solidFill>
                      </w14:textFill>
                    </w:rPr>
                  </w:pPr>
                  <w:r>
                    <w:rPr>
                      <w:rFonts w:hint="eastAsia" w:cs="Times New Roman"/>
                      <w:color w:val="000000" w:themeColor="text1"/>
                      <w:sz w:val="24"/>
                      <w:szCs w:val="24"/>
                      <w:highlight w:val="none"/>
                      <w:lang w:val="en-US" w:eastAsia="zh-CN"/>
                      <w14:textFill>
                        <w14:solidFill>
                          <w14:schemeClr w14:val="tx1"/>
                        </w14:solidFill>
                      </w14:textFill>
                    </w:rPr>
                    <w:t>14</w:t>
                  </w:r>
                </w:p>
              </w:tc>
              <w:tc>
                <w:tcPr>
                  <w:tcW w:w="1285" w:type="dxa"/>
                  <w:shd w:val="solid" w:color="CFCECE" w:themeColor="background2" w:themeShade="E5" w:fill="auto"/>
                  <w:vAlign w:val="center"/>
                </w:tcPr>
                <w:p>
                  <w:pPr>
                    <w:widowControl/>
                    <w:jc w:val="center"/>
                    <w:rPr>
                      <w:rFonts w:hint="default" w:ascii="Times New Roman" w:hAnsi="Times New Roman" w:eastAsia="宋体" w:cs="Times New Roman"/>
                      <w:color w:val="000000" w:themeColor="text1"/>
                      <w:kern w:val="2"/>
                      <w:sz w:val="24"/>
                      <w:szCs w:val="24"/>
                      <w:highlight w:val="none"/>
                      <w:lang w:val="en-US" w:eastAsia="zh-CN" w:bidi="ar-SA"/>
                      <w14:textFill>
                        <w14:solidFill>
                          <w14:schemeClr w14:val="tx1"/>
                        </w14:solidFill>
                      </w14:textFill>
                    </w:rPr>
                  </w:pPr>
                  <w:r>
                    <w:rPr>
                      <w:rFonts w:hint="eastAsia" w:cs="Times New Roman"/>
                      <w:color w:val="000000" w:themeColor="text1"/>
                      <w:sz w:val="24"/>
                      <w:szCs w:val="24"/>
                      <w:highlight w:val="none"/>
                      <w:lang w:val="en-US" w:eastAsia="zh-CN"/>
                      <w14:textFill>
                        <w14:solidFill>
                          <w14:schemeClr w14:val="tx1"/>
                        </w14:solidFill>
                      </w14:textFill>
                    </w:rPr>
                    <w:t>2595</w:t>
                  </w:r>
                </w:p>
              </w:tc>
              <w:tc>
                <w:tcPr>
                  <w:tcW w:w="1066" w:type="dxa"/>
                  <w:vMerge w:val="restart"/>
                  <w:shd w:val="solid" w:color="CFCECE" w:themeColor="background2" w:themeShade="E5" w:fill="auto"/>
                  <w:vAlign w:val="center"/>
                </w:tcPr>
                <w:p>
                  <w:pPr>
                    <w:widowControl/>
                    <w:jc w:val="center"/>
                    <w:rPr>
                      <w:rFonts w:hint="default" w:ascii="Times New Roman" w:hAnsi="Times New Roman" w:eastAsia="宋体" w:cs="Times New Roman"/>
                      <w:color w:val="000000" w:themeColor="text1"/>
                      <w:sz w:val="24"/>
                      <w:szCs w:val="24"/>
                      <w:lang w:val="en-US" w:eastAsia="zh-CN"/>
                      <w14:textFill>
                        <w14:solidFill>
                          <w14:schemeClr w14:val="tx1"/>
                        </w14:solidFill>
                      </w14:textFill>
                    </w:rPr>
                  </w:pPr>
                  <w:r>
                    <w:rPr>
                      <w:rFonts w:hint="default" w:ascii="Times New Roman" w:hAnsi="Times New Roman" w:eastAsia="宋体" w:cs="Times New Roman"/>
                      <w:color w:val="000000" w:themeColor="text1"/>
                      <w:sz w:val="24"/>
                      <w:szCs w:val="24"/>
                      <w:lang w:val="en-US" w:eastAsia="zh-CN"/>
                      <w14:textFill>
                        <w14:solidFill>
                          <w14:schemeClr w14:val="tx1"/>
                        </w14:solidFill>
                      </w14:textFill>
                    </w:rPr>
                    <w:t>本技改项目</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05" w:hRule="atLeast"/>
                <w:jc w:val="center"/>
              </w:trPr>
              <w:tc>
                <w:tcPr>
                  <w:tcW w:w="1396" w:type="dxa"/>
                  <w:shd w:val="solid" w:color="CFCECE" w:themeColor="background2" w:themeShade="E5" w:fill="auto"/>
                  <w:vAlign w:val="center"/>
                </w:tcPr>
                <w:p>
                  <w:pPr>
                    <w:widowControl/>
                    <w:jc w:val="center"/>
                    <w:rPr>
                      <w:rFonts w:hint="default" w:ascii="Times New Roman" w:hAnsi="Times New Roman" w:eastAsia="宋体" w:cs="Times New Roman"/>
                      <w:color w:val="000000" w:themeColor="text1"/>
                      <w:sz w:val="24"/>
                      <w:szCs w:val="24"/>
                      <w14:textFill>
                        <w14:solidFill>
                          <w14:schemeClr w14:val="tx1"/>
                        </w14:solidFill>
                      </w14:textFill>
                    </w:rPr>
                  </w:pPr>
                  <w:r>
                    <w:rPr>
                      <w:rFonts w:hint="default" w:ascii="Times New Roman" w:hAnsi="Times New Roman" w:eastAsia="宋体" w:cs="Times New Roman"/>
                      <w:color w:val="000000" w:themeColor="text1"/>
                      <w:sz w:val="24"/>
                      <w:szCs w:val="24"/>
                      <w14:textFill>
                        <w14:solidFill>
                          <w14:schemeClr w14:val="tx1"/>
                        </w14:solidFill>
                      </w14:textFill>
                    </w:rPr>
                    <w:t>压铸件</w:t>
                  </w:r>
                </w:p>
              </w:tc>
              <w:tc>
                <w:tcPr>
                  <w:tcW w:w="989" w:type="dxa"/>
                  <w:shd w:val="solid" w:color="CFCECE" w:themeColor="background2" w:themeShade="E5" w:fill="auto"/>
                  <w:vAlign w:val="center"/>
                </w:tcPr>
                <w:p>
                  <w:pPr>
                    <w:widowControl/>
                    <w:jc w:val="center"/>
                    <w:rPr>
                      <w:rFonts w:hint="default" w:ascii="Times New Roman" w:hAnsi="Times New Roman" w:eastAsia="宋体" w:cs="Times New Roman"/>
                      <w:color w:val="000000" w:themeColor="text1"/>
                      <w:sz w:val="24"/>
                      <w:szCs w:val="24"/>
                      <w14:textFill>
                        <w14:solidFill>
                          <w14:schemeClr w14:val="tx1"/>
                        </w14:solidFill>
                      </w14:textFill>
                    </w:rPr>
                  </w:pPr>
                  <w:r>
                    <w:rPr>
                      <w:rFonts w:hint="default" w:ascii="Times New Roman" w:hAnsi="Times New Roman" w:eastAsia="宋体" w:cs="Times New Roman"/>
                      <w:color w:val="000000" w:themeColor="text1"/>
                      <w:sz w:val="24"/>
                      <w:szCs w:val="24"/>
                      <w14:textFill>
                        <w14:solidFill>
                          <w14:schemeClr w14:val="tx1"/>
                        </w14:solidFill>
                      </w14:textFill>
                    </w:rPr>
                    <w:t>34.3</w:t>
                  </w:r>
                </w:p>
              </w:tc>
              <w:tc>
                <w:tcPr>
                  <w:tcW w:w="994" w:type="dxa"/>
                  <w:shd w:val="solid" w:color="CFCECE" w:themeColor="background2" w:themeShade="E5" w:fill="auto"/>
                  <w:vAlign w:val="center"/>
                </w:tcPr>
                <w:p>
                  <w:pPr>
                    <w:widowControl/>
                    <w:jc w:val="center"/>
                    <w:rPr>
                      <w:rFonts w:hint="default" w:ascii="Times New Roman" w:hAnsi="Times New Roman" w:eastAsia="宋体" w:cs="Times New Roman"/>
                      <w:color w:val="000000" w:themeColor="text1"/>
                      <w:sz w:val="24"/>
                      <w:szCs w:val="24"/>
                      <w14:textFill>
                        <w14:solidFill>
                          <w14:schemeClr w14:val="tx1"/>
                        </w14:solidFill>
                      </w14:textFill>
                    </w:rPr>
                  </w:pPr>
                  <w:r>
                    <w:rPr>
                      <w:rFonts w:hint="default" w:ascii="Times New Roman" w:hAnsi="Times New Roman" w:eastAsia="宋体" w:cs="Times New Roman"/>
                      <w:color w:val="000000" w:themeColor="text1"/>
                      <w:sz w:val="24"/>
                      <w:szCs w:val="24"/>
                      <w14:textFill>
                        <w14:solidFill>
                          <w14:schemeClr w14:val="tx1"/>
                        </w14:solidFill>
                      </w14:textFill>
                    </w:rPr>
                    <w:t>3975</w:t>
                  </w:r>
                </w:p>
              </w:tc>
              <w:tc>
                <w:tcPr>
                  <w:tcW w:w="1308" w:type="dxa"/>
                  <w:shd w:val="solid" w:color="CFCECE" w:themeColor="background2" w:themeShade="E5" w:fill="auto"/>
                  <w:vAlign w:val="center"/>
                </w:tcPr>
                <w:p>
                  <w:pPr>
                    <w:widowControl/>
                    <w:jc w:val="center"/>
                    <w:rPr>
                      <w:rFonts w:hint="default" w:ascii="Times New Roman" w:hAnsi="Times New Roman" w:eastAsia="宋体" w:cs="Times New Roman"/>
                      <w:color w:val="000000" w:themeColor="text1"/>
                      <w:sz w:val="24"/>
                      <w:szCs w:val="24"/>
                      <w14:textFill>
                        <w14:solidFill>
                          <w14:schemeClr w14:val="tx1"/>
                        </w14:solidFill>
                      </w14:textFill>
                    </w:rPr>
                  </w:pPr>
                  <w:r>
                    <w:rPr>
                      <w:rFonts w:hint="default" w:ascii="Times New Roman" w:hAnsi="Times New Roman" w:eastAsia="宋体" w:cs="Times New Roman"/>
                      <w:color w:val="000000" w:themeColor="text1"/>
                      <w:sz w:val="24"/>
                      <w:szCs w:val="24"/>
                      <w14:textFill>
                        <w14:solidFill>
                          <w14:schemeClr w14:val="tx1"/>
                        </w14:solidFill>
                      </w14:textFill>
                    </w:rPr>
                    <w:t>15.1</w:t>
                  </w:r>
                </w:p>
              </w:tc>
              <w:tc>
                <w:tcPr>
                  <w:tcW w:w="1195" w:type="dxa"/>
                  <w:shd w:val="solid" w:color="CFCECE" w:themeColor="background2" w:themeShade="E5" w:fill="auto"/>
                  <w:vAlign w:val="center"/>
                </w:tcPr>
                <w:p>
                  <w:pPr>
                    <w:widowControl/>
                    <w:jc w:val="center"/>
                    <w:rPr>
                      <w:rFonts w:hint="default" w:ascii="Times New Roman" w:hAnsi="Times New Roman" w:eastAsia="宋体" w:cs="Times New Roman"/>
                      <w:color w:val="000000" w:themeColor="text1"/>
                      <w:sz w:val="24"/>
                      <w:szCs w:val="24"/>
                      <w14:textFill>
                        <w14:solidFill>
                          <w14:schemeClr w14:val="tx1"/>
                        </w14:solidFill>
                      </w14:textFill>
                    </w:rPr>
                  </w:pPr>
                  <w:r>
                    <w:rPr>
                      <w:rFonts w:hint="default" w:ascii="Times New Roman" w:hAnsi="Times New Roman" w:eastAsia="宋体" w:cs="Times New Roman"/>
                      <w:color w:val="000000" w:themeColor="text1"/>
                      <w:sz w:val="24"/>
                      <w:szCs w:val="24"/>
                      <w14:textFill>
                        <w14:solidFill>
                          <w14:schemeClr w14:val="tx1"/>
                        </w14:solidFill>
                      </w14:textFill>
                    </w:rPr>
                    <w:t>1311</w:t>
                  </w:r>
                </w:p>
              </w:tc>
              <w:tc>
                <w:tcPr>
                  <w:tcW w:w="1085" w:type="dxa"/>
                  <w:shd w:val="solid" w:color="CFCECE" w:themeColor="background2" w:themeShade="E5" w:fill="auto"/>
                  <w:vAlign w:val="center"/>
                </w:tcPr>
                <w:p>
                  <w:pPr>
                    <w:widowControl/>
                    <w:jc w:val="center"/>
                    <w:rPr>
                      <w:rFonts w:hint="default" w:ascii="Times New Roman" w:hAnsi="Times New Roman" w:eastAsia="宋体" w:cs="Times New Roman"/>
                      <w:color w:val="000000" w:themeColor="text1"/>
                      <w:kern w:val="2"/>
                      <w:sz w:val="24"/>
                      <w:szCs w:val="24"/>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sz w:val="24"/>
                      <w:szCs w:val="24"/>
                      <w:highlight w:val="none"/>
                      <w14:textFill>
                        <w14:solidFill>
                          <w14:schemeClr w14:val="tx1"/>
                        </w14:solidFill>
                      </w14:textFill>
                    </w:rPr>
                    <w:t>15.1</w:t>
                  </w:r>
                </w:p>
              </w:tc>
              <w:tc>
                <w:tcPr>
                  <w:tcW w:w="1285" w:type="dxa"/>
                  <w:shd w:val="solid" w:color="CFCECE" w:themeColor="background2" w:themeShade="E5" w:fill="auto"/>
                  <w:vAlign w:val="center"/>
                </w:tcPr>
                <w:p>
                  <w:pPr>
                    <w:widowControl/>
                    <w:jc w:val="center"/>
                    <w:rPr>
                      <w:rFonts w:hint="default" w:ascii="Times New Roman" w:hAnsi="Times New Roman" w:eastAsia="宋体" w:cs="Times New Roman"/>
                      <w:color w:val="000000" w:themeColor="text1"/>
                      <w:kern w:val="2"/>
                      <w:sz w:val="24"/>
                      <w:szCs w:val="24"/>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sz w:val="24"/>
                      <w:szCs w:val="24"/>
                      <w:highlight w:val="none"/>
                      <w14:textFill>
                        <w14:solidFill>
                          <w14:schemeClr w14:val="tx1"/>
                        </w14:solidFill>
                      </w14:textFill>
                    </w:rPr>
                    <w:t>1311</w:t>
                  </w:r>
                </w:p>
              </w:tc>
              <w:tc>
                <w:tcPr>
                  <w:tcW w:w="1066" w:type="dxa"/>
                  <w:vMerge w:val="continue"/>
                  <w:shd w:val="solid" w:color="CFCECE" w:themeColor="background2" w:themeShade="E5" w:fill="auto"/>
                  <w:vAlign w:val="center"/>
                </w:tcPr>
                <w:p>
                  <w:pPr>
                    <w:widowControl/>
                    <w:jc w:val="center"/>
                    <w:rPr>
                      <w:rFonts w:hint="default" w:ascii="Times New Roman" w:hAnsi="Times New Roman" w:eastAsia="宋体" w:cs="Times New Roman"/>
                      <w:color w:val="000000" w:themeColor="text1"/>
                      <w:sz w:val="24"/>
                      <w:szCs w:val="24"/>
                      <w14:textFill>
                        <w14:solidFill>
                          <w14:schemeClr w14:val="tx1"/>
                        </w14:solidFill>
                      </w14:textFill>
                    </w:rPr>
                  </w:pPr>
                </w:p>
              </w:tc>
            </w:tr>
          </w:tbl>
          <w:p>
            <w:pPr>
              <w:spacing w:line="360" w:lineRule="auto"/>
              <w:ind w:firstLine="480" w:firstLineChars="200"/>
              <w:jc w:val="left"/>
              <w:rPr>
                <w:rFonts w:hint="default" w:ascii="Times New Roman" w:hAnsi="Times New Roman" w:cs="Times New Roman"/>
                <w:sz w:val="24"/>
                <w:szCs w:val="24"/>
                <w:highlight w:val="none"/>
              </w:rPr>
            </w:pPr>
            <w:r>
              <w:rPr>
                <w:rFonts w:hint="default" w:ascii="Times New Roman" w:hAnsi="Times New Roman" w:cs="Times New Roman"/>
                <w:sz w:val="24"/>
                <w:szCs w:val="24"/>
                <w:highlight w:val="none"/>
              </w:rPr>
              <w:t>项目实际总投资</w:t>
            </w:r>
            <w:r>
              <w:rPr>
                <w:rFonts w:hint="eastAsia" w:cs="Times New Roman"/>
                <w:sz w:val="24"/>
                <w:szCs w:val="24"/>
                <w:highlight w:val="none"/>
                <w:lang w:val="en-US" w:eastAsia="zh-CN"/>
              </w:rPr>
              <w:t>5191</w:t>
            </w:r>
            <w:r>
              <w:rPr>
                <w:rFonts w:hint="default" w:ascii="Times New Roman" w:hAnsi="Times New Roman" w:cs="Times New Roman"/>
                <w:sz w:val="24"/>
                <w:szCs w:val="24"/>
                <w:highlight w:val="none"/>
              </w:rPr>
              <w:t>万元，其中环保投资</w:t>
            </w:r>
            <w:r>
              <w:rPr>
                <w:rFonts w:hint="eastAsia" w:cs="Times New Roman"/>
                <w:sz w:val="24"/>
                <w:szCs w:val="24"/>
                <w:highlight w:val="none"/>
                <w:lang w:val="en-US" w:eastAsia="zh-CN"/>
              </w:rPr>
              <w:t>290</w:t>
            </w:r>
            <w:r>
              <w:rPr>
                <w:rFonts w:hint="default" w:ascii="Times New Roman" w:hAnsi="Times New Roman" w:cs="Times New Roman"/>
                <w:sz w:val="24"/>
                <w:szCs w:val="24"/>
                <w:highlight w:val="none"/>
              </w:rPr>
              <w:t>万元，占总投资比例为</w:t>
            </w:r>
            <w:r>
              <w:rPr>
                <w:rFonts w:hint="eastAsia" w:cs="Times New Roman"/>
                <w:sz w:val="24"/>
                <w:szCs w:val="24"/>
                <w:highlight w:val="none"/>
                <w:lang w:val="en-US" w:eastAsia="zh-CN"/>
              </w:rPr>
              <w:t>5.59</w:t>
            </w:r>
            <w:r>
              <w:rPr>
                <w:rFonts w:hint="default" w:ascii="Times New Roman" w:hAnsi="Times New Roman" w:cs="Times New Roman"/>
                <w:sz w:val="24"/>
                <w:szCs w:val="24"/>
                <w:highlight w:val="none"/>
              </w:rPr>
              <w:t>%。本项目年工作300天，每天工作16小时，年工作时间4800h。公司现有劳动定员380人，此次技改劳动定员无变化。</w:t>
            </w:r>
          </w:p>
          <w:p>
            <w:pPr>
              <w:spacing w:line="360" w:lineRule="auto"/>
              <w:jc w:val="left"/>
              <w:rPr>
                <w:rFonts w:hint="default" w:ascii="Times New Roman" w:hAnsi="Times New Roman" w:cs="Times New Roman"/>
                <w:b/>
                <w:sz w:val="24"/>
                <w:szCs w:val="24"/>
              </w:rPr>
            </w:pPr>
            <w:r>
              <w:rPr>
                <w:rFonts w:hint="default" w:ascii="Times New Roman" w:hAnsi="Times New Roman" w:cs="Times New Roman"/>
                <w:b/>
                <w:sz w:val="24"/>
                <w:szCs w:val="24"/>
              </w:rPr>
              <w:t>2、地理位置及平面布置</w:t>
            </w:r>
          </w:p>
          <w:p>
            <w:pPr>
              <w:spacing w:line="360" w:lineRule="auto"/>
              <w:ind w:firstLine="480" w:firstLineChars="200"/>
              <w:jc w:val="left"/>
              <w:rPr>
                <w:rFonts w:hint="default" w:ascii="Times New Roman" w:hAnsi="Times New Roman" w:cs="Times New Roman"/>
                <w:sz w:val="24"/>
                <w:szCs w:val="24"/>
                <w:highlight w:val="yellow"/>
                <w:lang w:val="en-US"/>
              </w:rPr>
            </w:pPr>
            <w:r>
              <w:rPr>
                <w:rFonts w:hint="eastAsia" w:cs="Times New Roman"/>
                <w:sz w:val="24"/>
                <w:szCs w:val="24"/>
                <w:lang w:val="en-US" w:eastAsia="zh-CN"/>
              </w:rPr>
              <w:t>本</w:t>
            </w:r>
            <w:r>
              <w:rPr>
                <w:rFonts w:hint="default" w:ascii="Times New Roman" w:hAnsi="Times New Roman" w:cs="Times New Roman"/>
                <w:sz w:val="24"/>
                <w:szCs w:val="24"/>
                <w:lang w:val="en-US" w:eastAsia="zh-CN"/>
              </w:rPr>
              <w:t>项目</w:t>
            </w:r>
            <w:r>
              <w:rPr>
                <w:rFonts w:hint="eastAsia" w:cs="Times New Roman"/>
                <w:sz w:val="24"/>
                <w:szCs w:val="24"/>
                <w:lang w:val="en-US" w:eastAsia="zh-CN"/>
              </w:rPr>
              <w:t>选址</w:t>
            </w:r>
            <w:r>
              <w:rPr>
                <w:rFonts w:hint="default" w:ascii="Times New Roman" w:hAnsi="Times New Roman" w:cs="Times New Roman"/>
                <w:sz w:val="24"/>
                <w:szCs w:val="24"/>
                <w:lang w:val="en-US" w:eastAsia="zh-CN"/>
              </w:rPr>
              <w:t>芜湖市经济技术开发区长江北路250号的铸铝厂内，占地面积</w:t>
            </w:r>
            <w:r>
              <w:rPr>
                <w:rFonts w:hint="eastAsia" w:cs="Times New Roman"/>
                <w:sz w:val="24"/>
                <w:szCs w:val="24"/>
                <w:lang w:val="en-US" w:eastAsia="zh-CN"/>
              </w:rPr>
              <w:t>4725</w:t>
            </w:r>
            <w:r>
              <w:rPr>
                <w:rFonts w:hint="default" w:ascii="Times New Roman" w:hAnsi="Times New Roman" w:cs="Times New Roman"/>
                <w:sz w:val="24"/>
                <w:szCs w:val="24"/>
                <w:lang w:val="en-US" w:eastAsia="zh-CN"/>
              </w:rPr>
              <w:t xml:space="preserve">㎡ </w:t>
            </w:r>
            <w:r>
              <w:rPr>
                <w:rFonts w:hint="eastAsia" w:cs="Times New Roman"/>
                <w:sz w:val="24"/>
                <w:szCs w:val="24"/>
                <w:highlight w:val="none"/>
                <w:lang w:val="en-US" w:eastAsia="zh-CN"/>
              </w:rPr>
              <w:t>，</w:t>
            </w:r>
            <w:r>
              <w:rPr>
                <w:rFonts w:hint="default" w:ascii="Times New Roman" w:hAnsi="Times New Roman" w:cs="Times New Roman"/>
                <w:sz w:val="24"/>
                <w:szCs w:val="24"/>
                <w:highlight w:val="none"/>
                <w:lang w:val="en-US" w:eastAsia="zh-CN"/>
              </w:rPr>
              <w:t>东侧为奇瑞汽车股份有限公司四厂，南侧为奇瑞停车场，西侧为长江北路，北侧为奇瑞汽车股份有限公司三厂。</w:t>
            </w:r>
          </w:p>
          <w:p>
            <w:pPr>
              <w:spacing w:line="360" w:lineRule="auto"/>
              <w:ind w:firstLine="480" w:firstLineChars="200"/>
              <w:jc w:val="left"/>
              <w:rPr>
                <w:rFonts w:hint="default" w:ascii="Times New Roman" w:hAnsi="Times New Roman" w:cs="Times New Roman"/>
                <w:b/>
                <w:sz w:val="24"/>
              </w:rPr>
            </w:pPr>
            <w:r>
              <w:rPr>
                <w:rFonts w:hint="eastAsia" w:cs="Times New Roman"/>
                <w:color w:val="000000" w:themeColor="text1"/>
                <w:sz w:val="24"/>
                <w:szCs w:val="24"/>
                <w:highlight w:val="none"/>
                <w:lang w:val="en-US" w:eastAsia="zh-CN"/>
                <w14:textFill>
                  <w14:solidFill>
                    <w14:schemeClr w14:val="tx1"/>
                  </w14:solidFill>
                </w14:textFill>
              </w:rPr>
              <w:t>本项目布置在</w:t>
            </w:r>
            <w:r>
              <w:rPr>
                <w:rFonts w:hint="default" w:ascii="Times New Roman" w:hAnsi="Times New Roman" w:cs="Times New Roman"/>
                <w:color w:val="000000" w:themeColor="text1"/>
                <w:sz w:val="24"/>
                <w:szCs w:val="24"/>
                <w:highlight w:val="none"/>
                <w:lang w:val="en-US" w:eastAsia="zh-CN"/>
                <w14:textFill>
                  <w14:solidFill>
                    <w14:schemeClr w14:val="tx1"/>
                  </w14:solidFill>
                </w14:textFill>
              </w:rPr>
              <w:t>铸铝厂南侧车间的压力铸造生产线内，厂内北侧车间主要为重力铸造生产线，南侧车间主要为熔化线和压力铸造生产线，污水处理站位于厂内西南角。厂区平面布置有利于项目生产运行过程中各部门的生产协作，提高生产效率。总体来说，项目的总平面布置基本合理</w:t>
            </w:r>
            <w:r>
              <w:rPr>
                <w:rFonts w:hint="default" w:ascii="Times New Roman" w:hAnsi="Times New Roman" w:cs="Times New Roman"/>
                <w:sz w:val="24"/>
              </w:rPr>
              <w:t>。详见</w:t>
            </w:r>
            <w:r>
              <w:rPr>
                <w:rFonts w:hint="default" w:ascii="Times New Roman" w:hAnsi="Times New Roman" w:cs="Times New Roman"/>
                <w:b/>
                <w:sz w:val="24"/>
              </w:rPr>
              <w:t>附图1、附图2。</w:t>
            </w:r>
          </w:p>
          <w:p>
            <w:pPr>
              <w:spacing w:line="360" w:lineRule="auto"/>
              <w:jc w:val="left"/>
              <w:rPr>
                <w:rFonts w:hint="default" w:ascii="Times New Roman" w:hAnsi="Times New Roman" w:cs="Times New Roman"/>
                <w:b/>
                <w:sz w:val="28"/>
                <w:szCs w:val="28"/>
              </w:rPr>
            </w:pPr>
            <w:r>
              <w:rPr>
                <w:rFonts w:hint="default" w:ascii="Times New Roman" w:hAnsi="Times New Roman" w:cs="Times New Roman"/>
                <w:b/>
                <w:sz w:val="28"/>
                <w:szCs w:val="28"/>
              </w:rPr>
              <w:t>3、项目建设情况</w:t>
            </w:r>
          </w:p>
          <w:p>
            <w:pPr>
              <w:spacing w:line="360" w:lineRule="auto"/>
              <w:ind w:firstLine="480" w:firstLineChars="200"/>
              <w:jc w:val="left"/>
              <w:rPr>
                <w:rFonts w:hint="default" w:ascii="Times New Roman" w:hAnsi="Times New Roman" w:eastAsia="宋体" w:cs="Times New Roman"/>
                <w:sz w:val="24"/>
                <w:highlight w:val="none"/>
                <w:lang w:val="en-US" w:eastAsia="zh-CN"/>
              </w:rPr>
            </w:pPr>
            <w:r>
              <w:rPr>
                <w:rFonts w:hint="default" w:ascii="Times New Roman" w:hAnsi="Times New Roman" w:cs="Times New Roman"/>
                <w:sz w:val="24"/>
                <w:highlight w:val="none"/>
              </w:rPr>
              <w:t>项目建设主体、公用、环保工程详见表2-</w:t>
            </w:r>
            <w:r>
              <w:rPr>
                <w:rFonts w:hint="default" w:ascii="Times New Roman" w:hAnsi="Times New Roman" w:cs="Times New Roman"/>
                <w:sz w:val="24"/>
                <w:highlight w:val="none"/>
                <w:lang w:val="en-US" w:eastAsia="zh-CN"/>
              </w:rPr>
              <w:t>2</w:t>
            </w:r>
          </w:p>
          <w:p>
            <w:pPr>
              <w:spacing w:line="360" w:lineRule="auto"/>
              <w:ind w:firstLine="482" w:firstLineChars="200"/>
              <w:jc w:val="center"/>
              <w:rPr>
                <w:rFonts w:hint="default" w:ascii="Times New Roman" w:hAnsi="Times New Roman" w:cs="Times New Roman"/>
                <w:b/>
                <w:sz w:val="24"/>
              </w:rPr>
            </w:pPr>
            <w:r>
              <w:rPr>
                <w:rFonts w:hint="default" w:ascii="Times New Roman" w:hAnsi="Times New Roman" w:cs="Times New Roman"/>
                <w:b/>
                <w:sz w:val="24"/>
              </w:rPr>
              <w:t>表2-</w:t>
            </w:r>
            <w:r>
              <w:rPr>
                <w:rFonts w:hint="default" w:ascii="Times New Roman" w:hAnsi="Times New Roman" w:cs="Times New Roman"/>
                <w:b/>
                <w:sz w:val="24"/>
                <w:lang w:val="en-US" w:eastAsia="zh-CN"/>
              </w:rPr>
              <w:t>2</w:t>
            </w:r>
            <w:r>
              <w:rPr>
                <w:rFonts w:hint="default" w:ascii="Times New Roman" w:hAnsi="Times New Roman" w:cs="Times New Roman"/>
                <w:b/>
                <w:sz w:val="24"/>
              </w:rPr>
              <w:tab/>
            </w:r>
            <w:r>
              <w:rPr>
                <w:rFonts w:hint="default" w:ascii="Times New Roman" w:hAnsi="Times New Roman" w:cs="Times New Roman"/>
                <w:b/>
                <w:sz w:val="24"/>
              </w:rPr>
              <w:t xml:space="preserve"> 建设项目组成一览表</w:t>
            </w:r>
          </w:p>
          <w:tbl>
            <w:tblPr>
              <w:tblStyle w:val="33"/>
              <w:tblW w:w="9636"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626"/>
              <w:gridCol w:w="465"/>
              <w:gridCol w:w="570"/>
              <w:gridCol w:w="2670"/>
              <w:gridCol w:w="2190"/>
              <w:gridCol w:w="2355"/>
              <w:gridCol w:w="760"/>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664" w:hRule="atLeast"/>
                <w:tblHeader/>
                <w:jc w:val="center"/>
              </w:trPr>
              <w:tc>
                <w:tcPr>
                  <w:tcW w:w="626" w:type="dxa"/>
                  <w:tcMar>
                    <w:left w:w="57" w:type="dxa"/>
                    <w:right w:w="57" w:type="dxa"/>
                  </w:tcMar>
                  <w:vAlign w:val="center"/>
                </w:tcPr>
                <w:p>
                  <w:pPr>
                    <w:pStyle w:val="2"/>
                    <w:spacing w:after="0"/>
                    <w:jc w:val="center"/>
                    <w:rPr>
                      <w:rFonts w:hint="default" w:ascii="Times New Roman" w:hAnsi="Times New Roman" w:eastAsia="宋体" w:cs="Times New Roman"/>
                      <w:b/>
                      <w:color w:val="000000" w:themeColor="text1"/>
                      <w:kern w:val="0"/>
                      <w:sz w:val="21"/>
                      <w:szCs w:val="21"/>
                      <w:highlight w:val="none"/>
                      <w14:textFill>
                        <w14:solidFill>
                          <w14:schemeClr w14:val="tx1"/>
                        </w14:solidFill>
                      </w14:textFill>
                    </w:rPr>
                  </w:pPr>
                  <w:r>
                    <w:rPr>
                      <w:rFonts w:hint="default" w:ascii="Times New Roman" w:hAnsi="Times New Roman" w:eastAsia="宋体" w:cs="Times New Roman"/>
                      <w:b/>
                      <w:color w:val="000000" w:themeColor="text1"/>
                      <w:kern w:val="0"/>
                      <w:sz w:val="21"/>
                      <w:szCs w:val="21"/>
                      <w:highlight w:val="none"/>
                      <w14:textFill>
                        <w14:solidFill>
                          <w14:schemeClr w14:val="tx1"/>
                        </w14:solidFill>
                      </w14:textFill>
                    </w:rPr>
                    <w:t>工程</w:t>
                  </w:r>
                </w:p>
                <w:p>
                  <w:pPr>
                    <w:pStyle w:val="2"/>
                    <w:spacing w:after="0"/>
                    <w:jc w:val="center"/>
                    <w:rPr>
                      <w:rFonts w:hint="default" w:ascii="Times New Roman" w:hAnsi="Times New Roman" w:eastAsia="宋体" w:cs="Times New Roman"/>
                      <w:b/>
                      <w:color w:val="000000" w:themeColor="text1"/>
                      <w:sz w:val="21"/>
                      <w:szCs w:val="21"/>
                      <w:highlight w:val="none"/>
                      <w14:textFill>
                        <w14:solidFill>
                          <w14:schemeClr w14:val="tx1"/>
                        </w14:solidFill>
                      </w14:textFill>
                    </w:rPr>
                  </w:pPr>
                  <w:r>
                    <w:rPr>
                      <w:rFonts w:hint="default" w:ascii="Times New Roman" w:hAnsi="Times New Roman" w:eastAsia="宋体" w:cs="Times New Roman"/>
                      <w:b/>
                      <w:color w:val="000000" w:themeColor="text1"/>
                      <w:kern w:val="0"/>
                      <w:sz w:val="21"/>
                      <w:szCs w:val="21"/>
                      <w:highlight w:val="none"/>
                      <w14:textFill>
                        <w14:solidFill>
                          <w14:schemeClr w14:val="tx1"/>
                        </w14:solidFill>
                      </w14:textFill>
                    </w:rPr>
                    <w:t>类别</w:t>
                  </w:r>
                </w:p>
              </w:tc>
              <w:tc>
                <w:tcPr>
                  <w:tcW w:w="1035" w:type="dxa"/>
                  <w:gridSpan w:val="2"/>
                  <w:tcMar>
                    <w:left w:w="57" w:type="dxa"/>
                    <w:right w:w="57" w:type="dxa"/>
                  </w:tcMar>
                  <w:vAlign w:val="center"/>
                </w:tcPr>
                <w:p>
                  <w:pPr>
                    <w:pStyle w:val="2"/>
                    <w:spacing w:after="0"/>
                    <w:jc w:val="center"/>
                    <w:rPr>
                      <w:rFonts w:hint="default" w:ascii="Times New Roman" w:hAnsi="Times New Roman" w:eastAsia="宋体" w:cs="Times New Roman"/>
                      <w:b/>
                      <w:color w:val="000000" w:themeColor="text1"/>
                      <w:sz w:val="21"/>
                      <w:szCs w:val="21"/>
                      <w:highlight w:val="none"/>
                      <w14:textFill>
                        <w14:solidFill>
                          <w14:schemeClr w14:val="tx1"/>
                        </w14:solidFill>
                      </w14:textFill>
                    </w:rPr>
                  </w:pPr>
                  <w:r>
                    <w:rPr>
                      <w:rFonts w:hint="default" w:ascii="Times New Roman" w:hAnsi="Times New Roman" w:eastAsia="宋体" w:cs="Times New Roman"/>
                      <w:b/>
                      <w:color w:val="000000" w:themeColor="text1"/>
                      <w:kern w:val="0"/>
                      <w:sz w:val="21"/>
                      <w:szCs w:val="21"/>
                      <w:highlight w:val="none"/>
                      <w14:textFill>
                        <w14:solidFill>
                          <w14:schemeClr w14:val="tx1"/>
                        </w14:solidFill>
                      </w14:textFill>
                    </w:rPr>
                    <w:t>单项工程名称</w:t>
                  </w:r>
                </w:p>
              </w:tc>
              <w:tc>
                <w:tcPr>
                  <w:tcW w:w="2670" w:type="dxa"/>
                  <w:tcMar>
                    <w:left w:w="57" w:type="dxa"/>
                    <w:right w:w="57" w:type="dxa"/>
                  </w:tcMar>
                  <w:vAlign w:val="center"/>
                </w:tcPr>
                <w:p>
                  <w:pPr>
                    <w:pStyle w:val="2"/>
                    <w:spacing w:after="0"/>
                    <w:jc w:val="center"/>
                    <w:rPr>
                      <w:rFonts w:hint="default" w:ascii="Times New Roman" w:hAnsi="Times New Roman" w:eastAsia="宋体" w:cs="Times New Roman"/>
                      <w:b/>
                      <w:color w:val="000000" w:themeColor="text1"/>
                      <w:sz w:val="21"/>
                      <w:szCs w:val="21"/>
                      <w:highlight w:val="none"/>
                      <w14:textFill>
                        <w14:solidFill>
                          <w14:schemeClr w14:val="tx1"/>
                        </w14:solidFill>
                      </w14:textFill>
                    </w:rPr>
                  </w:pPr>
                  <w:r>
                    <w:rPr>
                      <w:rFonts w:hint="default" w:ascii="Times New Roman" w:hAnsi="Times New Roman" w:eastAsia="宋体" w:cs="Times New Roman"/>
                      <w:b/>
                      <w:color w:val="000000" w:themeColor="text1"/>
                      <w:kern w:val="0"/>
                      <w:sz w:val="21"/>
                      <w:szCs w:val="21"/>
                      <w:highlight w:val="none"/>
                      <w:lang w:val="en-US" w:eastAsia="zh-CN"/>
                      <w14:textFill>
                        <w14:solidFill>
                          <w14:schemeClr w14:val="tx1"/>
                        </w14:solidFill>
                      </w14:textFill>
                    </w:rPr>
                    <w:t>原有</w:t>
                  </w:r>
                  <w:r>
                    <w:rPr>
                      <w:rFonts w:hint="default" w:ascii="Times New Roman" w:hAnsi="Times New Roman" w:eastAsia="宋体" w:cs="Times New Roman"/>
                      <w:b/>
                      <w:color w:val="000000" w:themeColor="text1"/>
                      <w:kern w:val="0"/>
                      <w:sz w:val="21"/>
                      <w:szCs w:val="21"/>
                      <w:highlight w:val="none"/>
                      <w14:textFill>
                        <w14:solidFill>
                          <w14:schemeClr w14:val="tx1"/>
                        </w14:solidFill>
                      </w14:textFill>
                    </w:rPr>
                    <w:t>项目建设内容</w:t>
                  </w:r>
                </w:p>
              </w:tc>
              <w:tc>
                <w:tcPr>
                  <w:tcW w:w="2190" w:type="dxa"/>
                  <w:tcMar>
                    <w:left w:w="57" w:type="dxa"/>
                    <w:right w:w="57" w:type="dxa"/>
                  </w:tcMar>
                  <w:vAlign w:val="center"/>
                </w:tcPr>
                <w:p>
                  <w:pPr>
                    <w:pStyle w:val="2"/>
                    <w:spacing w:after="0"/>
                    <w:jc w:val="center"/>
                    <w:rPr>
                      <w:rFonts w:hint="default" w:ascii="Times New Roman" w:hAnsi="Times New Roman" w:eastAsia="宋体" w:cs="Times New Roman"/>
                      <w:b/>
                      <w:color w:val="000000" w:themeColor="text1"/>
                      <w:kern w:val="0"/>
                      <w:sz w:val="21"/>
                      <w:szCs w:val="21"/>
                      <w:highlight w:val="none"/>
                      <w14:textFill>
                        <w14:solidFill>
                          <w14:schemeClr w14:val="tx1"/>
                        </w14:solidFill>
                      </w14:textFill>
                    </w:rPr>
                  </w:pPr>
                  <w:r>
                    <w:rPr>
                      <w:rFonts w:hint="default" w:ascii="Times New Roman" w:hAnsi="Times New Roman" w:eastAsia="宋体" w:cs="Times New Roman"/>
                      <w:b/>
                      <w:color w:val="000000" w:themeColor="text1"/>
                      <w:kern w:val="0"/>
                      <w:sz w:val="21"/>
                      <w:szCs w:val="21"/>
                      <w:highlight w:val="none"/>
                      <w14:textFill>
                        <w14:solidFill>
                          <w14:schemeClr w14:val="tx1"/>
                        </w14:solidFill>
                      </w14:textFill>
                    </w:rPr>
                    <w:t>本</w:t>
                  </w:r>
                  <w:r>
                    <w:rPr>
                      <w:rFonts w:hint="default" w:ascii="Times New Roman" w:hAnsi="Times New Roman" w:eastAsia="宋体" w:cs="Times New Roman"/>
                      <w:b/>
                      <w:color w:val="000000" w:themeColor="text1"/>
                      <w:kern w:val="0"/>
                      <w:sz w:val="21"/>
                      <w:szCs w:val="21"/>
                      <w:highlight w:val="none"/>
                      <w:lang w:val="en-US" w:eastAsia="zh-CN"/>
                      <w14:textFill>
                        <w14:solidFill>
                          <w14:schemeClr w14:val="tx1"/>
                        </w14:solidFill>
                      </w14:textFill>
                    </w:rPr>
                    <w:t>技改</w:t>
                  </w:r>
                  <w:r>
                    <w:rPr>
                      <w:rFonts w:hint="default" w:ascii="Times New Roman" w:hAnsi="Times New Roman" w:eastAsia="宋体" w:cs="Times New Roman"/>
                      <w:b/>
                      <w:color w:val="000000" w:themeColor="text1"/>
                      <w:kern w:val="0"/>
                      <w:sz w:val="21"/>
                      <w:szCs w:val="21"/>
                      <w:highlight w:val="none"/>
                      <w14:textFill>
                        <w14:solidFill>
                          <w14:schemeClr w14:val="tx1"/>
                        </w14:solidFill>
                      </w14:textFill>
                    </w:rPr>
                    <w:t>项目</w:t>
                  </w:r>
                </w:p>
                <w:p>
                  <w:pPr>
                    <w:pStyle w:val="2"/>
                    <w:spacing w:after="0"/>
                    <w:jc w:val="center"/>
                    <w:rPr>
                      <w:rFonts w:hint="default" w:ascii="Times New Roman" w:hAnsi="Times New Roman" w:eastAsia="宋体" w:cs="Times New Roman"/>
                      <w:b/>
                      <w:color w:val="000000" w:themeColor="text1"/>
                      <w:sz w:val="21"/>
                      <w:szCs w:val="21"/>
                      <w:highlight w:val="none"/>
                      <w14:textFill>
                        <w14:solidFill>
                          <w14:schemeClr w14:val="tx1"/>
                        </w14:solidFill>
                      </w14:textFill>
                    </w:rPr>
                  </w:pPr>
                  <w:r>
                    <w:rPr>
                      <w:rFonts w:hint="default" w:ascii="Times New Roman" w:hAnsi="Times New Roman" w:eastAsia="宋体" w:cs="Times New Roman"/>
                      <w:b/>
                      <w:color w:val="000000" w:themeColor="text1"/>
                      <w:kern w:val="0"/>
                      <w:sz w:val="21"/>
                      <w:szCs w:val="21"/>
                      <w:highlight w:val="none"/>
                      <w:lang w:val="en-US" w:eastAsia="zh-CN"/>
                      <w14:textFill>
                        <w14:solidFill>
                          <w14:schemeClr w14:val="tx1"/>
                        </w14:solidFill>
                      </w14:textFill>
                    </w:rPr>
                    <w:t>环评</w:t>
                  </w:r>
                  <w:r>
                    <w:rPr>
                      <w:rFonts w:hint="default" w:ascii="Times New Roman" w:hAnsi="Times New Roman" w:eastAsia="宋体" w:cs="Times New Roman"/>
                      <w:b/>
                      <w:color w:val="000000" w:themeColor="text1"/>
                      <w:kern w:val="0"/>
                      <w:sz w:val="21"/>
                      <w:szCs w:val="21"/>
                      <w:highlight w:val="none"/>
                      <w14:textFill>
                        <w14:solidFill>
                          <w14:schemeClr w14:val="tx1"/>
                        </w14:solidFill>
                      </w14:textFill>
                    </w:rPr>
                    <w:t>建设内容</w:t>
                  </w:r>
                </w:p>
              </w:tc>
              <w:tc>
                <w:tcPr>
                  <w:tcW w:w="2355" w:type="dxa"/>
                  <w:tcMar>
                    <w:left w:w="57" w:type="dxa"/>
                    <w:right w:w="57" w:type="dxa"/>
                  </w:tcMar>
                  <w:vAlign w:val="center"/>
                </w:tcPr>
                <w:p>
                  <w:pPr>
                    <w:pStyle w:val="2"/>
                    <w:spacing w:after="0"/>
                    <w:jc w:val="center"/>
                    <w:rPr>
                      <w:rFonts w:hint="default" w:ascii="Times New Roman" w:hAnsi="Times New Roman" w:eastAsia="宋体" w:cs="Times New Roman"/>
                      <w:b/>
                      <w:color w:val="000000" w:themeColor="text1"/>
                      <w:kern w:val="0"/>
                      <w:sz w:val="21"/>
                      <w:szCs w:val="21"/>
                      <w:lang w:val="en-US" w:eastAsia="zh-CN"/>
                      <w14:textFill>
                        <w14:solidFill>
                          <w14:schemeClr w14:val="tx1"/>
                        </w14:solidFill>
                      </w14:textFill>
                    </w:rPr>
                  </w:pPr>
                  <w:r>
                    <w:rPr>
                      <w:rFonts w:hint="default" w:ascii="Times New Roman" w:hAnsi="Times New Roman" w:eastAsia="宋体" w:cs="Times New Roman"/>
                      <w:b/>
                      <w:color w:val="000000" w:themeColor="text1"/>
                      <w:kern w:val="0"/>
                      <w:sz w:val="21"/>
                      <w:szCs w:val="21"/>
                      <w:lang w:val="en-US" w:eastAsia="zh-CN"/>
                      <w14:textFill>
                        <w14:solidFill>
                          <w14:schemeClr w14:val="tx1"/>
                        </w14:solidFill>
                      </w14:textFill>
                    </w:rPr>
                    <w:t>本技改项目</w:t>
                  </w:r>
                </w:p>
                <w:p>
                  <w:pPr>
                    <w:pStyle w:val="2"/>
                    <w:spacing w:after="0"/>
                    <w:jc w:val="center"/>
                    <w:rPr>
                      <w:rFonts w:hint="default" w:ascii="Times New Roman" w:hAnsi="Times New Roman" w:eastAsia="宋体" w:cs="Times New Roman"/>
                      <w:b/>
                      <w:color w:val="000000" w:themeColor="text1"/>
                      <w:kern w:val="0"/>
                      <w:sz w:val="21"/>
                      <w:szCs w:val="21"/>
                      <w:lang w:val="en-US" w:eastAsia="zh-CN"/>
                      <w14:textFill>
                        <w14:solidFill>
                          <w14:schemeClr w14:val="tx1"/>
                        </w14:solidFill>
                      </w14:textFill>
                    </w:rPr>
                  </w:pPr>
                  <w:r>
                    <w:rPr>
                      <w:rFonts w:hint="default" w:ascii="Times New Roman" w:hAnsi="Times New Roman" w:eastAsia="宋体" w:cs="Times New Roman"/>
                      <w:b/>
                      <w:color w:val="000000" w:themeColor="text1"/>
                      <w:kern w:val="0"/>
                      <w:sz w:val="21"/>
                      <w:szCs w:val="21"/>
                      <w:lang w:val="en-US" w:eastAsia="zh-CN"/>
                      <w14:textFill>
                        <w14:solidFill>
                          <w14:schemeClr w14:val="tx1"/>
                        </w14:solidFill>
                      </w14:textFill>
                    </w:rPr>
                    <w:t>实际建设内容</w:t>
                  </w:r>
                </w:p>
              </w:tc>
              <w:tc>
                <w:tcPr>
                  <w:tcW w:w="760" w:type="dxa"/>
                  <w:tcMar>
                    <w:left w:w="57" w:type="dxa"/>
                    <w:right w:w="57" w:type="dxa"/>
                  </w:tcMar>
                  <w:vAlign w:val="center"/>
                </w:tcPr>
                <w:p>
                  <w:pPr>
                    <w:pStyle w:val="2"/>
                    <w:spacing w:after="0"/>
                    <w:jc w:val="center"/>
                    <w:rPr>
                      <w:rFonts w:hint="default" w:ascii="Times New Roman" w:hAnsi="Times New Roman" w:eastAsia="宋体" w:cs="Times New Roman"/>
                      <w:b/>
                      <w:color w:val="000000" w:themeColor="text1"/>
                      <w:sz w:val="21"/>
                      <w:szCs w:val="21"/>
                      <w14:textFill>
                        <w14:solidFill>
                          <w14:schemeClr w14:val="tx1"/>
                        </w14:solidFill>
                      </w14:textFill>
                    </w:rPr>
                  </w:pPr>
                  <w:r>
                    <w:rPr>
                      <w:rFonts w:hint="default" w:ascii="Times New Roman" w:hAnsi="Times New Roman" w:eastAsia="宋体" w:cs="Times New Roman"/>
                      <w:b/>
                      <w:color w:val="000000" w:themeColor="text1"/>
                      <w:kern w:val="0"/>
                      <w:sz w:val="21"/>
                      <w:szCs w:val="21"/>
                      <w14:textFill>
                        <w14:solidFill>
                          <w14:schemeClr w14:val="tx1"/>
                        </w14:solidFill>
                      </w14:textFill>
                    </w:rPr>
                    <w:t>备注</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2432" w:hRule="atLeast"/>
                <w:tblHeader/>
                <w:jc w:val="center"/>
              </w:trPr>
              <w:tc>
                <w:tcPr>
                  <w:tcW w:w="626" w:type="dxa"/>
                  <w:vMerge w:val="restart"/>
                  <w:tcMar>
                    <w:left w:w="57" w:type="dxa"/>
                    <w:right w:w="57" w:type="dxa"/>
                  </w:tcMar>
                  <w:textDirection w:val="tbRlV"/>
                  <w:vAlign w:val="center"/>
                </w:tcPr>
                <w:p>
                  <w:pPr>
                    <w:pStyle w:val="2"/>
                    <w:spacing w:after="0"/>
                    <w:ind w:left="113" w:right="113"/>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14:textFill>
                        <w14:solidFill>
                          <w14:schemeClr w14:val="tx1"/>
                        </w14:solidFill>
                      </w14:textFill>
                    </w:rPr>
                    <w:t>主体工程</w:t>
                  </w:r>
                </w:p>
              </w:tc>
              <w:tc>
                <w:tcPr>
                  <w:tcW w:w="1035" w:type="dxa"/>
                  <w:gridSpan w:val="2"/>
                  <w:tcMar>
                    <w:left w:w="57" w:type="dxa"/>
                    <w:right w:w="57" w:type="dxa"/>
                  </w:tcMar>
                  <w:vAlign w:val="center"/>
                </w:tcPr>
                <w:p>
                  <w:pPr>
                    <w:pStyle w:val="2"/>
                    <w:spacing w:after="0"/>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14:textFill>
                        <w14:solidFill>
                          <w14:schemeClr w14:val="tx1"/>
                        </w14:solidFill>
                      </w14:textFill>
                    </w:rPr>
                    <w:t>熔化生产线</w:t>
                  </w:r>
                </w:p>
              </w:tc>
              <w:tc>
                <w:tcPr>
                  <w:tcW w:w="2670" w:type="dxa"/>
                  <w:tcMar>
                    <w:left w:w="57" w:type="dxa"/>
                    <w:right w:w="57" w:type="dxa"/>
                  </w:tcMar>
                  <w:vAlign w:val="center"/>
                </w:tcPr>
                <w:p>
                  <w:pPr>
                    <w:pStyle w:val="2"/>
                    <w:spacing w:after="0"/>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14:textFill>
                        <w14:solidFill>
                          <w14:schemeClr w14:val="tx1"/>
                        </w14:solidFill>
                      </w14:textFill>
                    </w:rPr>
                    <w:t>共建有7台熔化炉（位于南侧厂房），1台平炉（位于北侧厂房）及其配套设施。其中6台熔化炉年熔化量为10000t/a，用于重力铸造；新建的1台熔化炉年熔化量为6500t/a，用于压力铸造。</w:t>
                  </w:r>
                </w:p>
              </w:tc>
              <w:tc>
                <w:tcPr>
                  <w:tcW w:w="2190" w:type="dxa"/>
                  <w:tcMar>
                    <w:left w:w="57" w:type="dxa"/>
                    <w:right w:w="57" w:type="dxa"/>
                  </w:tcMar>
                  <w:vAlign w:val="center"/>
                </w:tcPr>
                <w:p>
                  <w:pPr>
                    <w:pStyle w:val="2"/>
                    <w:spacing w:after="0"/>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14:textFill>
                        <w14:solidFill>
                          <w14:schemeClr w14:val="tx1"/>
                        </w14:solidFill>
                      </w14:textFill>
                    </w:rPr>
                    <w:t>本次压铸线技术改造依托现有熔化生产线，使用铝液量不变仍为6500t/a。</w:t>
                  </w:r>
                </w:p>
              </w:tc>
              <w:tc>
                <w:tcPr>
                  <w:tcW w:w="2355" w:type="dxa"/>
                  <w:tcMar>
                    <w:left w:w="57" w:type="dxa"/>
                    <w:right w:w="57" w:type="dxa"/>
                  </w:tcMar>
                  <w:vAlign w:val="center"/>
                </w:tcPr>
                <w:p>
                  <w:pPr>
                    <w:pStyle w:val="2"/>
                    <w:spacing w:after="0"/>
                    <w:jc w:val="center"/>
                    <w:rPr>
                      <w:rFonts w:hint="default" w:ascii="Times New Roman" w:hAnsi="Times New Roman" w:eastAsia="宋体" w:cs="Times New Roman"/>
                      <w:color w:val="000000" w:themeColor="text1"/>
                      <w:kern w:val="0"/>
                      <w:sz w:val="21"/>
                      <w:szCs w:val="21"/>
                      <w:lang w:val="en-US" w:eastAsia="zh-CN"/>
                      <w14:textFill>
                        <w14:solidFill>
                          <w14:schemeClr w14:val="tx1"/>
                        </w14:solidFill>
                      </w14:textFill>
                    </w:rPr>
                  </w:pPr>
                  <w:r>
                    <w:rPr>
                      <w:rFonts w:hint="eastAsia" w:cs="Times New Roman"/>
                      <w:color w:val="000000" w:themeColor="text1"/>
                      <w:kern w:val="0"/>
                      <w:sz w:val="21"/>
                      <w:szCs w:val="21"/>
                      <w:lang w:val="en-US" w:eastAsia="zh-CN"/>
                      <w14:textFill>
                        <w14:solidFill>
                          <w14:schemeClr w14:val="tx1"/>
                        </w14:solidFill>
                      </w14:textFill>
                    </w:rPr>
                    <w:t>已在</w:t>
                  </w:r>
                  <w:r>
                    <w:rPr>
                      <w:rFonts w:hint="default" w:ascii="Times New Roman" w:hAnsi="Times New Roman" w:cs="Times New Roman"/>
                      <w:color w:val="000000" w:themeColor="text1"/>
                      <w:kern w:val="0"/>
                      <w:sz w:val="21"/>
                      <w:szCs w:val="21"/>
                      <w:lang w:val="en-US" w:eastAsia="zh-CN"/>
                      <w14:textFill>
                        <w14:solidFill>
                          <w14:schemeClr w14:val="tx1"/>
                        </w14:solidFill>
                      </w14:textFill>
                    </w:rPr>
                    <w:t>铝合金熔炼项目</w:t>
                  </w:r>
                  <w:r>
                    <w:rPr>
                      <w:rFonts w:hint="eastAsia" w:cs="Times New Roman"/>
                      <w:color w:val="000000" w:themeColor="text1"/>
                      <w:kern w:val="0"/>
                      <w:sz w:val="21"/>
                      <w:szCs w:val="21"/>
                      <w:lang w:val="en-US" w:eastAsia="zh-CN"/>
                      <w14:textFill>
                        <w14:solidFill>
                          <w14:schemeClr w14:val="tx1"/>
                        </w14:solidFill>
                      </w14:textFill>
                    </w:rPr>
                    <w:t>中通过验收</w:t>
                  </w:r>
                  <w:r>
                    <w:rPr>
                      <w:rFonts w:hint="default" w:ascii="Times New Roman" w:hAnsi="Times New Roman" w:cs="Times New Roman"/>
                      <w:color w:val="000000" w:themeColor="text1"/>
                      <w:kern w:val="0"/>
                      <w:sz w:val="21"/>
                      <w:szCs w:val="21"/>
                      <w:lang w:val="en-US" w:eastAsia="zh-CN"/>
                      <w14:textFill>
                        <w14:solidFill>
                          <w14:schemeClr w14:val="tx1"/>
                        </w14:solidFill>
                      </w14:textFill>
                    </w:rPr>
                    <w:t>，不在本次验收范围内</w:t>
                  </w:r>
                </w:p>
              </w:tc>
              <w:tc>
                <w:tcPr>
                  <w:tcW w:w="760" w:type="dxa"/>
                  <w:vMerge w:val="restart"/>
                  <w:tcMar>
                    <w:left w:w="57" w:type="dxa"/>
                    <w:right w:w="57" w:type="dxa"/>
                  </w:tcMar>
                  <w:vAlign w:val="center"/>
                </w:tcPr>
                <w:p>
                  <w:pPr>
                    <w:pStyle w:val="2"/>
                    <w:spacing w:after="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918" w:hRule="atLeast"/>
                <w:tblHeader/>
                <w:jc w:val="center"/>
              </w:trPr>
              <w:tc>
                <w:tcPr>
                  <w:tcW w:w="626" w:type="dxa"/>
                  <w:vMerge w:val="continue"/>
                  <w:tcMar>
                    <w:left w:w="57" w:type="dxa"/>
                    <w:right w:w="57" w:type="dxa"/>
                  </w:tcMar>
                  <w:vAlign w:val="center"/>
                </w:tcPr>
                <w:p>
                  <w:pPr>
                    <w:pStyle w:val="2"/>
                    <w:spacing w:after="0"/>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p>
              </w:tc>
              <w:tc>
                <w:tcPr>
                  <w:tcW w:w="1035" w:type="dxa"/>
                  <w:gridSpan w:val="2"/>
                  <w:tcMar>
                    <w:left w:w="57" w:type="dxa"/>
                    <w:right w:w="57" w:type="dxa"/>
                  </w:tcMar>
                  <w:vAlign w:val="center"/>
                </w:tcPr>
                <w:p>
                  <w:pPr>
                    <w:pStyle w:val="2"/>
                    <w:spacing w:after="0"/>
                    <w:jc w:val="center"/>
                    <w:rPr>
                      <w:rFonts w:hint="default" w:ascii="Times New Roman" w:hAnsi="Times New Roman" w:eastAsia="宋体" w:cs="Times New Roman"/>
                      <w:color w:val="000000" w:themeColor="text1"/>
                      <w:kern w:val="0"/>
                      <w:sz w:val="21"/>
                      <w:szCs w:val="21"/>
                      <w:highlight w:val="none"/>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14:textFill>
                        <w14:solidFill>
                          <w14:schemeClr w14:val="tx1"/>
                        </w14:solidFill>
                      </w14:textFill>
                    </w:rPr>
                    <w:t>重力铸造</w:t>
                  </w:r>
                </w:p>
                <w:p>
                  <w:pPr>
                    <w:pStyle w:val="2"/>
                    <w:spacing w:after="0"/>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14:textFill>
                        <w14:solidFill>
                          <w14:schemeClr w14:val="tx1"/>
                        </w14:solidFill>
                      </w14:textFill>
                    </w:rPr>
                    <w:t>生产线</w:t>
                  </w:r>
                </w:p>
              </w:tc>
              <w:tc>
                <w:tcPr>
                  <w:tcW w:w="2670" w:type="dxa"/>
                  <w:tcMar>
                    <w:left w:w="57" w:type="dxa"/>
                    <w:right w:w="57" w:type="dxa"/>
                  </w:tcMar>
                  <w:vAlign w:val="center"/>
                </w:tcPr>
                <w:p>
                  <w:pPr>
                    <w:pStyle w:val="2"/>
                    <w:spacing w:after="0"/>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14:textFill>
                        <w14:solidFill>
                          <w14:schemeClr w14:val="tx1"/>
                        </w14:solidFill>
                      </w14:textFill>
                    </w:rPr>
                    <w:t>位于北侧厂房内，包括制芯生产线，重力浇铸生产线及清理线</w:t>
                  </w:r>
                </w:p>
              </w:tc>
              <w:tc>
                <w:tcPr>
                  <w:tcW w:w="2190" w:type="dxa"/>
                  <w:tcMar>
                    <w:left w:w="57" w:type="dxa"/>
                    <w:right w:w="57" w:type="dxa"/>
                  </w:tcMar>
                  <w:vAlign w:val="center"/>
                </w:tcPr>
                <w:p>
                  <w:pPr>
                    <w:pStyle w:val="2"/>
                    <w:spacing w:after="0"/>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14:textFill>
                        <w14:solidFill>
                          <w14:schemeClr w14:val="tx1"/>
                        </w14:solidFill>
                      </w14:textFill>
                    </w:rPr>
                    <w:t>本次压铸线技术改造不涉及该生产线</w:t>
                  </w:r>
                </w:p>
              </w:tc>
              <w:tc>
                <w:tcPr>
                  <w:tcW w:w="2355" w:type="dxa"/>
                  <w:tcMar>
                    <w:left w:w="57" w:type="dxa"/>
                    <w:right w:w="57" w:type="dxa"/>
                  </w:tcMar>
                  <w:vAlign w:val="center"/>
                </w:tcPr>
                <w:p>
                  <w:pPr>
                    <w:pStyle w:val="2"/>
                    <w:spacing w:after="0"/>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已在铝合金熔炼项目中通过验收，不在本次验收范围内</w:t>
                  </w:r>
                </w:p>
              </w:tc>
              <w:tc>
                <w:tcPr>
                  <w:tcW w:w="760" w:type="dxa"/>
                  <w:vMerge w:val="continue"/>
                  <w:tcMar>
                    <w:left w:w="57" w:type="dxa"/>
                    <w:right w:w="57" w:type="dxa"/>
                  </w:tcMar>
                  <w:vAlign w:val="center"/>
                </w:tcPr>
                <w:p>
                  <w:pPr>
                    <w:pStyle w:val="2"/>
                    <w:spacing w:after="0"/>
                    <w:jc w:val="center"/>
                    <w:rPr>
                      <w:rFonts w:hint="default" w:ascii="Times New Roman" w:hAnsi="Times New Roman" w:eastAsia="宋体" w:cs="Times New Roman"/>
                      <w:color w:val="000000" w:themeColor="text1"/>
                      <w:sz w:val="21"/>
                      <w:szCs w:val="21"/>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2129" w:hRule="atLeast"/>
                <w:tblHeader/>
                <w:jc w:val="center"/>
              </w:trPr>
              <w:tc>
                <w:tcPr>
                  <w:tcW w:w="626" w:type="dxa"/>
                  <w:vMerge w:val="continue"/>
                  <w:tcMar>
                    <w:left w:w="57" w:type="dxa"/>
                    <w:right w:w="57" w:type="dxa"/>
                  </w:tcMar>
                  <w:vAlign w:val="center"/>
                </w:tcPr>
                <w:p>
                  <w:pPr>
                    <w:pStyle w:val="2"/>
                    <w:spacing w:after="0"/>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p>
              </w:tc>
              <w:tc>
                <w:tcPr>
                  <w:tcW w:w="1035" w:type="dxa"/>
                  <w:gridSpan w:val="2"/>
                  <w:shd w:val="solid" w:color="CFCECE" w:themeColor="background2" w:themeShade="E5" w:fill="auto"/>
                  <w:tcMar>
                    <w:left w:w="57" w:type="dxa"/>
                    <w:right w:w="57" w:type="dxa"/>
                  </w:tcMar>
                  <w:vAlign w:val="center"/>
                </w:tcPr>
                <w:p>
                  <w:pPr>
                    <w:pStyle w:val="2"/>
                    <w:spacing w:after="0"/>
                    <w:jc w:val="center"/>
                    <w:rPr>
                      <w:rFonts w:hint="default" w:ascii="Times New Roman" w:hAnsi="Times New Roman" w:eastAsia="宋体" w:cs="Times New Roman"/>
                      <w:color w:val="000000" w:themeColor="text1"/>
                      <w:kern w:val="0"/>
                      <w:sz w:val="21"/>
                      <w:szCs w:val="21"/>
                      <w:highlight w:val="none"/>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14:textFill>
                        <w14:solidFill>
                          <w14:schemeClr w14:val="tx1"/>
                        </w14:solidFill>
                      </w14:textFill>
                    </w:rPr>
                    <w:t>压力铸造</w:t>
                  </w:r>
                </w:p>
                <w:p>
                  <w:pPr>
                    <w:pStyle w:val="2"/>
                    <w:spacing w:after="0"/>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14:textFill>
                        <w14:solidFill>
                          <w14:schemeClr w14:val="tx1"/>
                        </w14:solidFill>
                      </w14:textFill>
                    </w:rPr>
                    <w:t>生产线</w:t>
                  </w:r>
                </w:p>
              </w:tc>
              <w:tc>
                <w:tcPr>
                  <w:tcW w:w="2670" w:type="dxa"/>
                  <w:shd w:val="solid" w:color="CFCECE" w:themeColor="background2" w:themeShade="E5" w:fill="auto"/>
                  <w:tcMar>
                    <w:left w:w="57" w:type="dxa"/>
                    <w:right w:w="57" w:type="dxa"/>
                  </w:tcMar>
                  <w:vAlign w:val="center"/>
                </w:tcPr>
                <w:p>
                  <w:pPr>
                    <w:pStyle w:val="2"/>
                    <w:spacing w:after="0"/>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14:textFill>
                        <w14:solidFill>
                          <w14:schemeClr w14:val="tx1"/>
                        </w14:solidFill>
                      </w14:textFill>
                    </w:rPr>
                    <w:t>位于南侧厂房内，包括压力铸造生产线及清理线，现有压铸设备为1台2700T 、2台1600T、1台1000T、1台1250T、1台400T。</w:t>
                  </w:r>
                </w:p>
              </w:tc>
              <w:tc>
                <w:tcPr>
                  <w:tcW w:w="2190" w:type="dxa"/>
                  <w:shd w:val="solid" w:color="CFCECE" w:themeColor="background2" w:themeShade="E5" w:fill="auto"/>
                  <w:tcMar>
                    <w:left w:w="57" w:type="dxa"/>
                    <w:right w:w="57" w:type="dxa"/>
                  </w:tcMar>
                  <w:vAlign w:val="center"/>
                </w:tcPr>
                <w:p>
                  <w:pPr>
                    <w:pStyle w:val="2"/>
                    <w:spacing w:after="0"/>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依托现有厂房内压铸线，不改变车间布局，淘汰1台400T压铸设备，并减少现有压铸设备生产时间，新增2台3000T压铸设备及配套机加工设备。</w:t>
                  </w:r>
                </w:p>
              </w:tc>
              <w:tc>
                <w:tcPr>
                  <w:tcW w:w="2355" w:type="dxa"/>
                  <w:shd w:val="solid" w:color="CFCECE" w:themeColor="background2" w:themeShade="E5" w:fill="auto"/>
                  <w:tcMar>
                    <w:left w:w="57" w:type="dxa"/>
                    <w:right w:w="57" w:type="dxa"/>
                  </w:tcMar>
                  <w:vAlign w:val="center"/>
                </w:tcPr>
                <w:p>
                  <w:pPr>
                    <w:pStyle w:val="2"/>
                    <w:spacing w:after="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依托现有厂房内压铸线，布局不变，淘汰一台400T压铸设备，新增</w:t>
                  </w:r>
                  <w:r>
                    <w:rPr>
                      <w:rFonts w:hint="eastAsia" w:cs="Times New Roman"/>
                      <w:color w:val="000000" w:themeColor="text1"/>
                      <w:sz w:val="21"/>
                      <w:szCs w:val="21"/>
                      <w:lang w:val="en-US" w:eastAsia="zh-CN"/>
                      <w14:textFill>
                        <w14:solidFill>
                          <w14:schemeClr w14:val="tx1"/>
                        </w14:solidFill>
                      </w14:textFill>
                    </w:rPr>
                    <w:t>1</w:t>
                  </w:r>
                  <w:r>
                    <w:rPr>
                      <w:rFonts w:hint="default" w:ascii="Times New Roman" w:hAnsi="Times New Roman" w:cs="Times New Roman"/>
                      <w:color w:val="000000" w:themeColor="text1"/>
                      <w:sz w:val="21"/>
                      <w:szCs w:val="21"/>
                      <w:lang w:val="en-US" w:eastAsia="zh-CN"/>
                      <w14:textFill>
                        <w14:solidFill>
                          <w14:schemeClr w14:val="tx1"/>
                        </w14:solidFill>
                      </w14:textFill>
                    </w:rPr>
                    <w:t>台30</w:t>
                  </w:r>
                  <w:r>
                    <w:rPr>
                      <w:rFonts w:hint="eastAsia" w:cs="Times New Roman"/>
                      <w:color w:val="000000" w:themeColor="text1"/>
                      <w:sz w:val="21"/>
                      <w:szCs w:val="21"/>
                      <w:lang w:val="en-US" w:eastAsia="zh-CN"/>
                      <w14:textFill>
                        <w14:solidFill>
                          <w14:schemeClr w14:val="tx1"/>
                        </w14:solidFill>
                      </w14:textFill>
                    </w:rPr>
                    <w:t>50</w:t>
                  </w:r>
                  <w:r>
                    <w:rPr>
                      <w:rFonts w:hint="default" w:ascii="Times New Roman" w:hAnsi="Times New Roman" w:cs="Times New Roman"/>
                      <w:color w:val="000000" w:themeColor="text1"/>
                      <w:sz w:val="21"/>
                      <w:szCs w:val="21"/>
                      <w:lang w:val="en-US" w:eastAsia="zh-CN"/>
                      <w14:textFill>
                        <w14:solidFill>
                          <w14:schemeClr w14:val="tx1"/>
                        </w14:solidFill>
                      </w14:textFill>
                    </w:rPr>
                    <w:t>T压铸设备及配套机加工设备</w:t>
                  </w:r>
                </w:p>
              </w:tc>
              <w:tc>
                <w:tcPr>
                  <w:tcW w:w="760" w:type="dxa"/>
                  <w:shd w:val="solid" w:color="CFCECE" w:themeColor="background2" w:themeShade="E5" w:fill="auto"/>
                  <w:tcMar>
                    <w:left w:w="57" w:type="dxa"/>
                    <w:right w:w="57" w:type="dxa"/>
                  </w:tcMar>
                  <w:vAlign w:val="center"/>
                </w:tcPr>
                <w:p>
                  <w:pPr>
                    <w:pStyle w:val="2"/>
                    <w:spacing w:after="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现阶段增加一台3050T压铸单元</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664" w:hRule="atLeast"/>
                <w:tblHeader/>
                <w:jc w:val="center"/>
              </w:trPr>
              <w:tc>
                <w:tcPr>
                  <w:tcW w:w="626" w:type="dxa"/>
                  <w:tcMar>
                    <w:left w:w="57" w:type="dxa"/>
                    <w:right w:w="57" w:type="dxa"/>
                  </w:tcMar>
                  <w:vAlign w:val="center"/>
                </w:tcPr>
                <w:p>
                  <w:pPr>
                    <w:pStyle w:val="2"/>
                    <w:spacing w:after="0"/>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辅助</w:t>
                  </w:r>
                </w:p>
                <w:p>
                  <w:pPr>
                    <w:pStyle w:val="2"/>
                    <w:spacing w:after="0"/>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工程</w:t>
                  </w:r>
                </w:p>
              </w:tc>
              <w:tc>
                <w:tcPr>
                  <w:tcW w:w="1035" w:type="dxa"/>
                  <w:gridSpan w:val="2"/>
                  <w:tcMar>
                    <w:left w:w="57" w:type="dxa"/>
                    <w:right w:w="57" w:type="dxa"/>
                  </w:tcMar>
                  <w:vAlign w:val="center"/>
                </w:tcPr>
                <w:p>
                  <w:pPr>
                    <w:pStyle w:val="2"/>
                    <w:spacing w:after="0"/>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办公楼</w:t>
                  </w:r>
                </w:p>
              </w:tc>
              <w:tc>
                <w:tcPr>
                  <w:tcW w:w="2670" w:type="dxa"/>
                  <w:tcMar>
                    <w:left w:w="57" w:type="dxa"/>
                    <w:right w:w="57" w:type="dxa"/>
                  </w:tcMar>
                  <w:vAlign w:val="center"/>
                </w:tcPr>
                <w:p>
                  <w:pPr>
                    <w:pStyle w:val="2"/>
                    <w:spacing w:after="0"/>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2F，建筑面积2200㎡</w:t>
                  </w:r>
                </w:p>
              </w:tc>
              <w:tc>
                <w:tcPr>
                  <w:tcW w:w="2190" w:type="dxa"/>
                  <w:tcMar>
                    <w:left w:w="57" w:type="dxa"/>
                    <w:right w:w="57" w:type="dxa"/>
                  </w:tcMar>
                  <w:vAlign w:val="center"/>
                </w:tcPr>
                <w:p>
                  <w:pPr>
                    <w:pStyle w:val="2"/>
                    <w:spacing w:after="0"/>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依托现有</w:t>
                  </w:r>
                </w:p>
              </w:tc>
              <w:tc>
                <w:tcPr>
                  <w:tcW w:w="2355" w:type="dxa"/>
                  <w:tcMar>
                    <w:left w:w="57" w:type="dxa"/>
                    <w:right w:w="57" w:type="dxa"/>
                  </w:tcMar>
                  <w:vAlign w:val="center"/>
                </w:tcPr>
                <w:p>
                  <w:pPr>
                    <w:jc w:val="center"/>
                    <w:rPr>
                      <w:rFonts w:hint="default" w:ascii="Times New Roman" w:hAnsi="Times New Roman" w:eastAsia="宋体" w:cs="Times New Roman"/>
                      <w:color w:val="000000" w:themeColor="text1"/>
                      <w:kern w:val="0"/>
                      <w:sz w:val="21"/>
                      <w:szCs w:val="21"/>
                      <w14:textFill>
                        <w14:solidFill>
                          <w14:schemeClr w14:val="tx1"/>
                        </w14:solidFill>
                      </w14:textFill>
                    </w:rPr>
                  </w:pPr>
                  <w:r>
                    <w:rPr>
                      <w:rFonts w:hint="default" w:ascii="Times New Roman" w:hAnsi="Times New Roman" w:eastAsia="宋体" w:cs="Times New Roman"/>
                      <w:color w:val="000000" w:themeColor="text1"/>
                      <w:kern w:val="0"/>
                      <w:sz w:val="21"/>
                      <w:szCs w:val="21"/>
                      <w14:textFill>
                        <w14:solidFill>
                          <w14:schemeClr w14:val="tx1"/>
                        </w14:solidFill>
                      </w14:textFill>
                    </w:rPr>
                    <w:t>2F，建筑面积2200㎡</w:t>
                  </w:r>
                </w:p>
              </w:tc>
              <w:tc>
                <w:tcPr>
                  <w:tcW w:w="760" w:type="dxa"/>
                  <w:tcMar>
                    <w:left w:w="57" w:type="dxa"/>
                    <w:right w:w="57" w:type="dxa"/>
                  </w:tcMar>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kern w:val="0"/>
                      <w:sz w:val="21"/>
                      <w:szCs w:val="21"/>
                      <w:lang w:val="en-US" w:eastAsia="zh-CN"/>
                      <w14:textFill>
                        <w14:solidFill>
                          <w14:schemeClr w14:val="tx1"/>
                        </w14:solidFill>
                      </w14:textFill>
                    </w:rPr>
                    <w:t>与环评一致</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616" w:hRule="atLeast"/>
                <w:tblHeader/>
                <w:jc w:val="center"/>
              </w:trPr>
              <w:tc>
                <w:tcPr>
                  <w:tcW w:w="626" w:type="dxa"/>
                  <w:vMerge w:val="restart"/>
                  <w:tcMar>
                    <w:left w:w="57" w:type="dxa"/>
                    <w:right w:w="57" w:type="dxa"/>
                  </w:tcMar>
                  <w:vAlign w:val="center"/>
                </w:tcPr>
                <w:p>
                  <w:pPr>
                    <w:pStyle w:val="2"/>
                    <w:spacing w:after="0"/>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储运</w:t>
                  </w:r>
                </w:p>
                <w:p>
                  <w:pPr>
                    <w:pStyle w:val="2"/>
                    <w:spacing w:after="0"/>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工程</w:t>
                  </w:r>
                </w:p>
              </w:tc>
              <w:tc>
                <w:tcPr>
                  <w:tcW w:w="1035" w:type="dxa"/>
                  <w:gridSpan w:val="2"/>
                  <w:tcMar>
                    <w:left w:w="57" w:type="dxa"/>
                    <w:right w:w="57" w:type="dxa"/>
                  </w:tcMar>
                  <w:vAlign w:val="center"/>
                </w:tcPr>
                <w:p>
                  <w:pPr>
                    <w:pStyle w:val="2"/>
                    <w:spacing w:after="0"/>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原辅材料库</w:t>
                  </w:r>
                </w:p>
              </w:tc>
              <w:tc>
                <w:tcPr>
                  <w:tcW w:w="2670" w:type="dxa"/>
                  <w:tcMar>
                    <w:left w:w="57" w:type="dxa"/>
                    <w:right w:w="57" w:type="dxa"/>
                  </w:tcMar>
                  <w:vAlign w:val="center"/>
                </w:tcPr>
                <w:p>
                  <w:pPr>
                    <w:contextualSpacing/>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建筑面积600㎡</w:t>
                  </w:r>
                </w:p>
              </w:tc>
              <w:tc>
                <w:tcPr>
                  <w:tcW w:w="2190" w:type="dxa"/>
                  <w:tcMar>
                    <w:left w:w="57" w:type="dxa"/>
                    <w:right w:w="57" w:type="dxa"/>
                  </w:tcMar>
                  <w:vAlign w:val="center"/>
                </w:tcPr>
                <w:p>
                  <w:pPr>
                    <w:contextualSpacing/>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依托现有</w:t>
                  </w:r>
                </w:p>
              </w:tc>
              <w:tc>
                <w:tcPr>
                  <w:tcW w:w="2355" w:type="dxa"/>
                  <w:tcMar>
                    <w:left w:w="57" w:type="dxa"/>
                    <w:right w:w="57" w:type="dxa"/>
                  </w:tcMar>
                  <w:vAlign w:val="center"/>
                </w:tcPr>
                <w:p>
                  <w:pPr>
                    <w:jc w:val="center"/>
                    <w:rPr>
                      <w:rFonts w:hint="default" w:ascii="Times New Roman" w:hAnsi="Times New Roman" w:eastAsia="宋体" w:cs="Times New Roman"/>
                      <w:color w:val="000000" w:themeColor="text1"/>
                      <w:kern w:val="0"/>
                      <w:sz w:val="21"/>
                      <w:szCs w:val="21"/>
                      <w14:textFill>
                        <w14:solidFill>
                          <w14:schemeClr w14:val="tx1"/>
                        </w14:solidFill>
                      </w14:textFill>
                    </w:rPr>
                  </w:pPr>
                  <w:r>
                    <w:rPr>
                      <w:rFonts w:hint="default" w:ascii="Times New Roman" w:hAnsi="Times New Roman" w:eastAsia="宋体" w:cs="Times New Roman"/>
                      <w:color w:val="000000" w:themeColor="text1"/>
                      <w:kern w:val="0"/>
                      <w:sz w:val="21"/>
                      <w:szCs w:val="21"/>
                      <w14:textFill>
                        <w14:solidFill>
                          <w14:schemeClr w14:val="tx1"/>
                        </w14:solidFill>
                      </w14:textFill>
                    </w:rPr>
                    <w:t>建筑面积600㎡</w:t>
                  </w:r>
                </w:p>
              </w:tc>
              <w:tc>
                <w:tcPr>
                  <w:tcW w:w="760" w:type="dxa"/>
                  <w:tcMar>
                    <w:left w:w="57" w:type="dxa"/>
                    <w:right w:w="57" w:type="dxa"/>
                  </w:tcMar>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kern w:val="0"/>
                      <w:sz w:val="21"/>
                      <w:szCs w:val="21"/>
                      <w:lang w:val="en-US" w:eastAsia="zh-CN"/>
                      <w14:textFill>
                        <w14:solidFill>
                          <w14:schemeClr w14:val="tx1"/>
                        </w14:solidFill>
                      </w14:textFill>
                    </w:rPr>
                    <w:t>与环评一致</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616" w:hRule="atLeast"/>
                <w:tblHeader/>
                <w:jc w:val="center"/>
              </w:trPr>
              <w:tc>
                <w:tcPr>
                  <w:tcW w:w="626" w:type="dxa"/>
                  <w:vMerge w:val="continue"/>
                  <w:tcMar>
                    <w:left w:w="57" w:type="dxa"/>
                    <w:right w:w="57" w:type="dxa"/>
                  </w:tcMar>
                  <w:vAlign w:val="center"/>
                </w:tcPr>
                <w:p>
                  <w:pPr>
                    <w:pStyle w:val="2"/>
                    <w:spacing w:after="0"/>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p>
              </w:tc>
              <w:tc>
                <w:tcPr>
                  <w:tcW w:w="1035" w:type="dxa"/>
                  <w:gridSpan w:val="2"/>
                  <w:tcMar>
                    <w:left w:w="57" w:type="dxa"/>
                    <w:right w:w="57" w:type="dxa"/>
                  </w:tcMar>
                  <w:vAlign w:val="center"/>
                </w:tcPr>
                <w:p>
                  <w:pPr>
                    <w:pStyle w:val="2"/>
                    <w:spacing w:after="0"/>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成品仓库</w:t>
                  </w:r>
                </w:p>
              </w:tc>
              <w:tc>
                <w:tcPr>
                  <w:tcW w:w="2670" w:type="dxa"/>
                  <w:tcMar>
                    <w:left w:w="57" w:type="dxa"/>
                    <w:right w:w="57" w:type="dxa"/>
                  </w:tcMar>
                  <w:vAlign w:val="center"/>
                </w:tcPr>
                <w:p>
                  <w:pPr>
                    <w:contextualSpacing/>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建筑面积600㎡</w:t>
                  </w:r>
                </w:p>
              </w:tc>
              <w:tc>
                <w:tcPr>
                  <w:tcW w:w="2190" w:type="dxa"/>
                  <w:tcMar>
                    <w:left w:w="57" w:type="dxa"/>
                    <w:right w:w="57" w:type="dxa"/>
                  </w:tcMar>
                  <w:vAlign w:val="center"/>
                </w:tcPr>
                <w:p>
                  <w:pPr>
                    <w:contextualSpacing/>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依托现有</w:t>
                  </w:r>
                </w:p>
              </w:tc>
              <w:tc>
                <w:tcPr>
                  <w:tcW w:w="2355" w:type="dxa"/>
                  <w:tcMar>
                    <w:left w:w="57" w:type="dxa"/>
                    <w:right w:w="57" w:type="dxa"/>
                  </w:tcMar>
                  <w:vAlign w:val="center"/>
                </w:tcPr>
                <w:p>
                  <w:pPr>
                    <w:jc w:val="center"/>
                    <w:rPr>
                      <w:rFonts w:hint="default" w:ascii="Times New Roman" w:hAnsi="Times New Roman" w:eastAsia="宋体" w:cs="Times New Roman"/>
                      <w:color w:val="000000" w:themeColor="text1"/>
                      <w:kern w:val="0"/>
                      <w:sz w:val="21"/>
                      <w:szCs w:val="21"/>
                      <w14:textFill>
                        <w14:solidFill>
                          <w14:schemeClr w14:val="tx1"/>
                        </w14:solidFill>
                      </w14:textFill>
                    </w:rPr>
                  </w:pPr>
                  <w:r>
                    <w:rPr>
                      <w:rFonts w:hint="default" w:ascii="Times New Roman" w:hAnsi="Times New Roman" w:eastAsia="宋体" w:cs="Times New Roman"/>
                      <w:color w:val="000000" w:themeColor="text1"/>
                      <w:kern w:val="0"/>
                      <w:sz w:val="21"/>
                      <w:szCs w:val="21"/>
                      <w14:textFill>
                        <w14:solidFill>
                          <w14:schemeClr w14:val="tx1"/>
                        </w14:solidFill>
                      </w14:textFill>
                    </w:rPr>
                    <w:t>建筑面积600㎡</w:t>
                  </w:r>
                </w:p>
              </w:tc>
              <w:tc>
                <w:tcPr>
                  <w:tcW w:w="760" w:type="dxa"/>
                  <w:tcMar>
                    <w:left w:w="57" w:type="dxa"/>
                    <w:right w:w="57" w:type="dxa"/>
                  </w:tcMar>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kern w:val="0"/>
                      <w:sz w:val="21"/>
                      <w:szCs w:val="21"/>
                      <w:lang w:val="en-US" w:eastAsia="zh-CN"/>
                      <w14:textFill>
                        <w14:solidFill>
                          <w14:schemeClr w14:val="tx1"/>
                        </w14:solidFill>
                      </w14:textFill>
                    </w:rPr>
                    <w:t>与环评一致</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616" w:hRule="atLeast"/>
                <w:tblHeader/>
                <w:jc w:val="center"/>
              </w:trPr>
              <w:tc>
                <w:tcPr>
                  <w:tcW w:w="626" w:type="dxa"/>
                  <w:vMerge w:val="restart"/>
                  <w:tcMar>
                    <w:left w:w="57" w:type="dxa"/>
                    <w:right w:w="57" w:type="dxa"/>
                  </w:tcMar>
                  <w:vAlign w:val="center"/>
                </w:tcPr>
                <w:p>
                  <w:pPr>
                    <w:pStyle w:val="2"/>
                    <w:spacing w:after="0"/>
                    <w:ind w:left="113" w:right="113"/>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14:textFill>
                        <w14:solidFill>
                          <w14:schemeClr w14:val="tx1"/>
                        </w14:solidFill>
                      </w14:textFill>
                    </w:rPr>
                    <w:t>公用工程</w:t>
                  </w:r>
                </w:p>
              </w:tc>
              <w:tc>
                <w:tcPr>
                  <w:tcW w:w="1035" w:type="dxa"/>
                  <w:gridSpan w:val="2"/>
                  <w:tcMar>
                    <w:left w:w="57" w:type="dxa"/>
                    <w:right w:w="57" w:type="dxa"/>
                  </w:tcMar>
                  <w:vAlign w:val="center"/>
                </w:tcPr>
                <w:p>
                  <w:pPr>
                    <w:pStyle w:val="2"/>
                    <w:spacing w:after="0"/>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给水工程</w:t>
                  </w:r>
                </w:p>
              </w:tc>
              <w:tc>
                <w:tcPr>
                  <w:tcW w:w="2670" w:type="dxa"/>
                  <w:tcMar>
                    <w:left w:w="57" w:type="dxa"/>
                    <w:right w:w="57" w:type="dxa"/>
                  </w:tcMar>
                  <w:vAlign w:val="center"/>
                </w:tcPr>
                <w:p>
                  <w:pPr>
                    <w:contextualSpacing/>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由市政管网供给</w:t>
                  </w:r>
                </w:p>
              </w:tc>
              <w:tc>
                <w:tcPr>
                  <w:tcW w:w="2190" w:type="dxa"/>
                  <w:tcMar>
                    <w:left w:w="57" w:type="dxa"/>
                    <w:right w:w="57" w:type="dxa"/>
                  </w:tcMar>
                  <w:vAlign w:val="center"/>
                </w:tcPr>
                <w:p>
                  <w:pPr>
                    <w:contextualSpacing/>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依托现有的供水管网</w:t>
                  </w:r>
                </w:p>
              </w:tc>
              <w:tc>
                <w:tcPr>
                  <w:tcW w:w="2355" w:type="dxa"/>
                  <w:tcMar>
                    <w:left w:w="57" w:type="dxa"/>
                    <w:right w:w="57" w:type="dxa"/>
                  </w:tcMar>
                  <w:vAlign w:val="center"/>
                </w:tcPr>
                <w:p>
                  <w:pPr>
                    <w:pStyle w:val="2"/>
                    <w:spacing w:after="0"/>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由市政管网供给</w:t>
                  </w:r>
                </w:p>
              </w:tc>
              <w:tc>
                <w:tcPr>
                  <w:tcW w:w="760" w:type="dxa"/>
                  <w:tcMar>
                    <w:left w:w="57" w:type="dxa"/>
                    <w:right w:w="57" w:type="dxa"/>
                  </w:tcMar>
                  <w:vAlign w:val="center"/>
                </w:tcPr>
                <w:p>
                  <w:pPr>
                    <w:pStyle w:val="2"/>
                    <w:spacing w:after="0"/>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与环评一致</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90" w:hRule="atLeast"/>
                <w:tblHeader/>
                <w:jc w:val="center"/>
              </w:trPr>
              <w:tc>
                <w:tcPr>
                  <w:tcW w:w="626" w:type="dxa"/>
                  <w:vMerge w:val="continue"/>
                  <w:tcMar>
                    <w:left w:w="57" w:type="dxa"/>
                    <w:right w:w="57" w:type="dxa"/>
                  </w:tcMar>
                  <w:vAlign w:val="center"/>
                </w:tcPr>
                <w:p>
                  <w:pPr>
                    <w:pStyle w:val="2"/>
                    <w:spacing w:after="0"/>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p>
              </w:tc>
              <w:tc>
                <w:tcPr>
                  <w:tcW w:w="1035" w:type="dxa"/>
                  <w:gridSpan w:val="2"/>
                  <w:tcMar>
                    <w:left w:w="57" w:type="dxa"/>
                    <w:right w:w="57" w:type="dxa"/>
                  </w:tcMar>
                  <w:vAlign w:val="center"/>
                </w:tcPr>
                <w:p>
                  <w:pPr>
                    <w:pStyle w:val="2"/>
                    <w:spacing w:after="0"/>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排水工程</w:t>
                  </w:r>
                </w:p>
              </w:tc>
              <w:tc>
                <w:tcPr>
                  <w:tcW w:w="2670" w:type="dxa"/>
                  <w:tcMar>
                    <w:left w:w="57" w:type="dxa"/>
                    <w:right w:w="57" w:type="dxa"/>
                  </w:tcMar>
                  <w:vAlign w:val="center"/>
                </w:tcPr>
                <w:p>
                  <w:pPr>
                    <w:contextualSpacing/>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雨污分流，雨水进入雨水管网，生活污水经厂区化粪池处理达标后纳入市政污水管网；脱模废水经厂区污水处理站处理达标后与生活污水经园区管网排入朱家桥污水处理站处理达标后排入长江</w:t>
                  </w:r>
                </w:p>
              </w:tc>
              <w:tc>
                <w:tcPr>
                  <w:tcW w:w="2190" w:type="dxa"/>
                  <w:tcMar>
                    <w:left w:w="57" w:type="dxa"/>
                    <w:right w:w="57" w:type="dxa"/>
                  </w:tcMar>
                  <w:vAlign w:val="center"/>
                </w:tcPr>
                <w:p>
                  <w:pPr>
                    <w:contextualSpacing/>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依托现有污水处理站及污水管网</w:t>
                  </w:r>
                </w:p>
              </w:tc>
              <w:tc>
                <w:tcPr>
                  <w:tcW w:w="2355" w:type="dxa"/>
                  <w:tcMar>
                    <w:left w:w="57" w:type="dxa"/>
                    <w:right w:w="57" w:type="dxa"/>
                  </w:tcMar>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依托现有污水处理站及污水管网</w:t>
                  </w:r>
                </w:p>
              </w:tc>
              <w:tc>
                <w:tcPr>
                  <w:tcW w:w="760" w:type="dxa"/>
                  <w:tcMar>
                    <w:left w:w="57" w:type="dxa"/>
                    <w:right w:w="57" w:type="dxa"/>
                  </w:tcMar>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与环评一致</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616" w:hRule="atLeast"/>
                <w:tblHeader/>
                <w:jc w:val="center"/>
              </w:trPr>
              <w:tc>
                <w:tcPr>
                  <w:tcW w:w="626" w:type="dxa"/>
                  <w:vMerge w:val="continue"/>
                  <w:tcMar>
                    <w:left w:w="57" w:type="dxa"/>
                    <w:right w:w="57" w:type="dxa"/>
                  </w:tcMar>
                  <w:vAlign w:val="center"/>
                </w:tcPr>
                <w:p>
                  <w:pPr>
                    <w:pStyle w:val="2"/>
                    <w:spacing w:after="0"/>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p>
              </w:tc>
              <w:tc>
                <w:tcPr>
                  <w:tcW w:w="1035" w:type="dxa"/>
                  <w:gridSpan w:val="2"/>
                  <w:tcMar>
                    <w:left w:w="57" w:type="dxa"/>
                    <w:right w:w="57" w:type="dxa"/>
                  </w:tcMar>
                  <w:vAlign w:val="center"/>
                </w:tcPr>
                <w:p>
                  <w:pPr>
                    <w:pStyle w:val="2"/>
                    <w:spacing w:after="0"/>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供电工程</w:t>
                  </w:r>
                </w:p>
              </w:tc>
              <w:tc>
                <w:tcPr>
                  <w:tcW w:w="2670" w:type="dxa"/>
                  <w:tcMar>
                    <w:left w:w="57" w:type="dxa"/>
                    <w:right w:w="57" w:type="dxa"/>
                  </w:tcMar>
                  <w:vAlign w:val="center"/>
                </w:tcPr>
                <w:p>
                  <w:pPr>
                    <w:pStyle w:val="2"/>
                    <w:spacing w:after="0"/>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项目供电引自市政供电管网</w:t>
                  </w:r>
                </w:p>
              </w:tc>
              <w:tc>
                <w:tcPr>
                  <w:tcW w:w="2190" w:type="dxa"/>
                  <w:tcMar>
                    <w:left w:w="57" w:type="dxa"/>
                    <w:right w:w="57" w:type="dxa"/>
                  </w:tcMar>
                  <w:vAlign w:val="center"/>
                </w:tcPr>
                <w:p>
                  <w:pPr>
                    <w:pStyle w:val="2"/>
                    <w:spacing w:after="0"/>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依托现有供电系统</w:t>
                  </w:r>
                </w:p>
              </w:tc>
              <w:tc>
                <w:tcPr>
                  <w:tcW w:w="2355" w:type="dxa"/>
                  <w:tcMar>
                    <w:left w:w="57" w:type="dxa"/>
                    <w:right w:w="57" w:type="dxa"/>
                  </w:tcMar>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市政供电管网</w:t>
                  </w:r>
                </w:p>
              </w:tc>
              <w:tc>
                <w:tcPr>
                  <w:tcW w:w="760" w:type="dxa"/>
                  <w:tcMar>
                    <w:left w:w="57" w:type="dxa"/>
                    <w:right w:w="57" w:type="dxa"/>
                  </w:tcMar>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与环评一致</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918" w:hRule="atLeast"/>
                <w:tblHeader/>
                <w:jc w:val="center"/>
              </w:trPr>
              <w:tc>
                <w:tcPr>
                  <w:tcW w:w="626" w:type="dxa"/>
                  <w:vMerge w:val="continue"/>
                  <w:tcMar>
                    <w:left w:w="57" w:type="dxa"/>
                    <w:right w:w="57" w:type="dxa"/>
                  </w:tcMar>
                  <w:vAlign w:val="center"/>
                </w:tcPr>
                <w:p>
                  <w:pPr>
                    <w:pStyle w:val="2"/>
                    <w:spacing w:after="0"/>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p>
              </w:tc>
              <w:tc>
                <w:tcPr>
                  <w:tcW w:w="1035" w:type="dxa"/>
                  <w:gridSpan w:val="2"/>
                  <w:tcMar>
                    <w:left w:w="57" w:type="dxa"/>
                    <w:right w:w="57" w:type="dxa"/>
                  </w:tcMar>
                  <w:vAlign w:val="center"/>
                </w:tcPr>
                <w:p>
                  <w:pPr>
                    <w:pStyle w:val="2"/>
                    <w:spacing w:after="0"/>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供气工程</w:t>
                  </w:r>
                </w:p>
              </w:tc>
              <w:tc>
                <w:tcPr>
                  <w:tcW w:w="2670" w:type="dxa"/>
                  <w:tcMar>
                    <w:left w:w="57" w:type="dxa"/>
                    <w:right w:w="57" w:type="dxa"/>
                  </w:tcMar>
                  <w:vAlign w:val="center"/>
                </w:tcPr>
                <w:p>
                  <w:pPr>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由园区天然气管道供气</w:t>
                  </w:r>
                  <w:r>
                    <w:rPr>
                      <w:rFonts w:hint="default" w:ascii="Times New Roman" w:hAnsi="Times New Roman" w:eastAsia="宋体" w:cs="Times New Roman"/>
                      <w:color w:val="000000" w:themeColor="text1"/>
                      <w:kern w:val="0"/>
                      <w:sz w:val="21"/>
                      <w:szCs w:val="21"/>
                      <w:highlight w:val="none"/>
                      <w14:textFill>
                        <w14:solidFill>
                          <w14:schemeClr w14:val="tx1"/>
                        </w14:solidFill>
                      </w14:textFill>
                    </w:rPr>
                    <w:t>，厂区不设置天然气储罐，用气量为536万m³/a</w:t>
                  </w:r>
                </w:p>
              </w:tc>
              <w:tc>
                <w:tcPr>
                  <w:tcW w:w="2190" w:type="dxa"/>
                  <w:tcMar>
                    <w:left w:w="57" w:type="dxa"/>
                    <w:right w:w="57" w:type="dxa"/>
                  </w:tcMar>
                  <w:vAlign w:val="center"/>
                </w:tcPr>
                <w:p>
                  <w:pPr>
                    <w:pStyle w:val="2"/>
                    <w:spacing w:after="0"/>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依托现有供气管道</w:t>
                  </w:r>
                </w:p>
              </w:tc>
              <w:tc>
                <w:tcPr>
                  <w:tcW w:w="2355" w:type="dxa"/>
                  <w:tcMar>
                    <w:left w:w="57" w:type="dxa"/>
                    <w:right w:w="57" w:type="dxa"/>
                  </w:tcMar>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依托现有供气管道</w:t>
                  </w:r>
                </w:p>
              </w:tc>
              <w:tc>
                <w:tcPr>
                  <w:tcW w:w="760" w:type="dxa"/>
                  <w:tcMar>
                    <w:left w:w="57" w:type="dxa"/>
                    <w:right w:w="57" w:type="dxa"/>
                  </w:tcMar>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与环评一致</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1303" w:hRule="atLeast"/>
                <w:tblHeader/>
                <w:jc w:val="center"/>
              </w:trPr>
              <w:tc>
                <w:tcPr>
                  <w:tcW w:w="626" w:type="dxa"/>
                  <w:vMerge w:val="restart"/>
                  <w:tcMar>
                    <w:left w:w="57" w:type="dxa"/>
                    <w:right w:w="57" w:type="dxa"/>
                  </w:tcMar>
                  <w:textDirection w:val="tbRlV"/>
                  <w:vAlign w:val="center"/>
                </w:tcPr>
                <w:p>
                  <w:pPr>
                    <w:pStyle w:val="2"/>
                    <w:spacing w:after="0"/>
                    <w:ind w:left="113" w:right="113"/>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环保工程</w:t>
                  </w:r>
                </w:p>
              </w:tc>
              <w:tc>
                <w:tcPr>
                  <w:tcW w:w="465" w:type="dxa"/>
                  <w:vMerge w:val="restart"/>
                  <w:tcMar>
                    <w:left w:w="57" w:type="dxa"/>
                    <w:right w:w="57" w:type="dxa"/>
                  </w:tcMar>
                  <w:textDirection w:val="tbRlV"/>
                  <w:vAlign w:val="center"/>
                </w:tcPr>
                <w:p>
                  <w:pPr>
                    <w:pStyle w:val="2"/>
                    <w:spacing w:after="0"/>
                    <w:ind w:left="113" w:right="113"/>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废气治理</w:t>
                  </w:r>
                </w:p>
              </w:tc>
              <w:tc>
                <w:tcPr>
                  <w:tcW w:w="570" w:type="dxa"/>
                  <w:textDirection w:val="tbRlV"/>
                  <w:vAlign w:val="center"/>
                </w:tcPr>
                <w:p>
                  <w:pPr>
                    <w:pStyle w:val="2"/>
                    <w:spacing w:after="0"/>
                    <w:ind w:left="113" w:right="113"/>
                    <w:jc w:val="both"/>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熔化生产线</w:t>
                  </w:r>
                </w:p>
              </w:tc>
              <w:tc>
                <w:tcPr>
                  <w:tcW w:w="2670" w:type="dxa"/>
                  <w:tcMar>
                    <w:left w:w="57" w:type="dxa"/>
                    <w:right w:w="57" w:type="dxa"/>
                  </w:tcMar>
                  <w:vAlign w:val="center"/>
                </w:tcPr>
                <w:p>
                  <w:pPr>
                    <w:pStyle w:val="2"/>
                    <w:spacing w:after="0"/>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熔化产生的金属粉尘经集气罩+脉冲布袋除尘器处理后与天然气燃烧废气经15m排气筒排放（共3个）</w:t>
                  </w:r>
                </w:p>
              </w:tc>
              <w:tc>
                <w:tcPr>
                  <w:tcW w:w="2190" w:type="dxa"/>
                  <w:tcMar>
                    <w:left w:w="57" w:type="dxa"/>
                    <w:right w:w="57" w:type="dxa"/>
                  </w:tcMar>
                  <w:vAlign w:val="center"/>
                </w:tcPr>
                <w:p>
                  <w:pPr>
                    <w:pStyle w:val="2"/>
                    <w:spacing w:after="0"/>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依托现有</w:t>
                  </w:r>
                </w:p>
              </w:tc>
              <w:tc>
                <w:tcPr>
                  <w:tcW w:w="2355" w:type="dxa"/>
                  <w:tcMar>
                    <w:left w:w="57" w:type="dxa"/>
                    <w:right w:w="57" w:type="dxa"/>
                  </w:tcMar>
                  <w:vAlign w:val="center"/>
                </w:tcPr>
                <w:p>
                  <w:pPr>
                    <w:pStyle w:val="2"/>
                    <w:spacing w:after="0"/>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已在铝合金熔炼项目中通过验收，不在本次验收范围内</w:t>
                  </w:r>
                </w:p>
              </w:tc>
              <w:tc>
                <w:tcPr>
                  <w:tcW w:w="760" w:type="dxa"/>
                  <w:tcMar>
                    <w:left w:w="57" w:type="dxa"/>
                    <w:right w:w="57" w:type="dxa"/>
                  </w:tcMar>
                  <w:vAlign w:val="center"/>
                </w:tcPr>
                <w:p>
                  <w:pPr>
                    <w:pStyle w:val="2"/>
                    <w:spacing w:after="0"/>
                    <w:jc w:val="center"/>
                    <w:rPr>
                      <w:rFonts w:hint="default" w:ascii="Times New Roman" w:hAnsi="Times New Roman" w:eastAsia="宋体" w:cs="Times New Roman"/>
                      <w:color w:val="000000" w:themeColor="text1"/>
                      <w:sz w:val="21"/>
                      <w:szCs w:val="21"/>
                      <w:lang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90" w:hRule="atLeast"/>
                <w:tblHeader/>
                <w:jc w:val="center"/>
              </w:trPr>
              <w:tc>
                <w:tcPr>
                  <w:tcW w:w="626" w:type="dxa"/>
                  <w:vMerge w:val="continue"/>
                  <w:tcMar>
                    <w:left w:w="57" w:type="dxa"/>
                    <w:right w:w="57" w:type="dxa"/>
                  </w:tcMar>
                  <w:vAlign w:val="center"/>
                </w:tcPr>
                <w:p>
                  <w:pPr>
                    <w:pStyle w:val="2"/>
                    <w:spacing w:after="0"/>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p>
              </w:tc>
              <w:tc>
                <w:tcPr>
                  <w:tcW w:w="465" w:type="dxa"/>
                  <w:vMerge w:val="continue"/>
                  <w:tcMar>
                    <w:left w:w="57" w:type="dxa"/>
                    <w:right w:w="57" w:type="dxa"/>
                  </w:tcMar>
                  <w:vAlign w:val="center"/>
                </w:tcPr>
                <w:p>
                  <w:pPr>
                    <w:pStyle w:val="2"/>
                    <w:spacing w:after="0"/>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p>
              </w:tc>
              <w:tc>
                <w:tcPr>
                  <w:tcW w:w="570" w:type="dxa"/>
                  <w:textDirection w:val="tbRlV"/>
                  <w:vAlign w:val="center"/>
                </w:tcPr>
                <w:p>
                  <w:pPr>
                    <w:pStyle w:val="2"/>
                    <w:spacing w:after="0"/>
                    <w:ind w:left="113" w:right="113"/>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重力铸造生产线</w:t>
                  </w:r>
                </w:p>
              </w:tc>
              <w:tc>
                <w:tcPr>
                  <w:tcW w:w="2670" w:type="dxa"/>
                  <w:tcMar>
                    <w:left w:w="57" w:type="dxa"/>
                    <w:right w:w="57" w:type="dxa"/>
                  </w:tcMar>
                  <w:vAlign w:val="center"/>
                </w:tcPr>
                <w:p>
                  <w:pPr>
                    <w:pStyle w:val="2"/>
                    <w:spacing w:after="0"/>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制芯产生的粉尘经集气罩+脉冲布袋除尘器+15m排气筒排放（1个），三乙胺尾气经BPF系列废气净化装置处理后由15m排气筒排放（5个）；浇铸产生的粉尘经集气罩+脉冲布袋除尘器+15m排气筒排放（3个）</w:t>
                  </w:r>
                </w:p>
              </w:tc>
              <w:tc>
                <w:tcPr>
                  <w:tcW w:w="2190" w:type="dxa"/>
                  <w:tcMar>
                    <w:left w:w="57" w:type="dxa"/>
                    <w:right w:w="57" w:type="dxa"/>
                  </w:tcMar>
                  <w:vAlign w:val="center"/>
                </w:tcPr>
                <w:p>
                  <w:pPr>
                    <w:pStyle w:val="2"/>
                    <w:spacing w:after="0"/>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14:textFill>
                        <w14:solidFill>
                          <w14:schemeClr w14:val="tx1"/>
                        </w14:solidFill>
                      </w14:textFill>
                    </w:rPr>
                    <w:t>本次压铸线技术改造不涉及该生产线</w:t>
                  </w:r>
                </w:p>
              </w:tc>
              <w:tc>
                <w:tcPr>
                  <w:tcW w:w="2355" w:type="dxa"/>
                  <w:tcMar>
                    <w:left w:w="57" w:type="dxa"/>
                    <w:right w:w="57" w:type="dxa"/>
                  </w:tcMar>
                  <w:vAlign w:val="center"/>
                </w:tcPr>
                <w:p>
                  <w:pPr>
                    <w:pStyle w:val="2"/>
                    <w:spacing w:after="0"/>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已在铝合金熔炼项目中通过验收，不在本次验收范围内</w:t>
                  </w:r>
                </w:p>
              </w:tc>
              <w:tc>
                <w:tcPr>
                  <w:tcW w:w="760" w:type="dxa"/>
                  <w:tcMar>
                    <w:left w:w="57" w:type="dxa"/>
                    <w:right w:w="57" w:type="dxa"/>
                  </w:tcMar>
                  <w:vAlign w:val="center"/>
                </w:tcPr>
                <w:p>
                  <w:pPr>
                    <w:pStyle w:val="2"/>
                    <w:spacing w:after="0"/>
                    <w:jc w:val="center"/>
                    <w:rPr>
                      <w:rFonts w:hint="default" w:ascii="Times New Roman" w:hAnsi="Times New Roman" w:eastAsia="宋体" w:cs="Times New Roman"/>
                      <w:color w:val="000000" w:themeColor="text1"/>
                      <w:sz w:val="21"/>
                      <w:szCs w:val="21"/>
                      <w:lang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2432" w:hRule="atLeast"/>
                <w:tblHeader/>
                <w:jc w:val="center"/>
              </w:trPr>
              <w:tc>
                <w:tcPr>
                  <w:tcW w:w="626" w:type="dxa"/>
                  <w:vMerge w:val="continue"/>
                  <w:tcMar>
                    <w:left w:w="57" w:type="dxa"/>
                    <w:right w:w="57" w:type="dxa"/>
                  </w:tcMar>
                  <w:vAlign w:val="center"/>
                </w:tcPr>
                <w:p>
                  <w:pPr>
                    <w:pStyle w:val="2"/>
                    <w:spacing w:after="0"/>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p>
              </w:tc>
              <w:tc>
                <w:tcPr>
                  <w:tcW w:w="465" w:type="dxa"/>
                  <w:vMerge w:val="continue"/>
                  <w:tcMar>
                    <w:left w:w="57" w:type="dxa"/>
                    <w:right w:w="57" w:type="dxa"/>
                  </w:tcMar>
                  <w:vAlign w:val="center"/>
                </w:tcPr>
                <w:p>
                  <w:pPr>
                    <w:pStyle w:val="2"/>
                    <w:spacing w:after="0"/>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p>
              </w:tc>
              <w:tc>
                <w:tcPr>
                  <w:tcW w:w="570" w:type="dxa"/>
                  <w:shd w:val="solid" w:color="CFCECE" w:themeColor="background2" w:themeShade="E5" w:fill="FFFFFF" w:themeFill="background1"/>
                  <w:textDirection w:val="tbRlV"/>
                  <w:vAlign w:val="center"/>
                </w:tcPr>
                <w:p>
                  <w:pPr>
                    <w:pStyle w:val="2"/>
                    <w:spacing w:after="0"/>
                    <w:ind w:left="113" w:right="113"/>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压力铸造生产线</w:t>
                  </w:r>
                </w:p>
              </w:tc>
              <w:tc>
                <w:tcPr>
                  <w:tcW w:w="2670" w:type="dxa"/>
                  <w:shd w:val="solid" w:color="CFCECE" w:themeColor="background2" w:themeShade="E5" w:fill="FFFFFF" w:themeFill="background1"/>
                  <w:tcMar>
                    <w:left w:w="57" w:type="dxa"/>
                    <w:right w:w="57" w:type="dxa"/>
                  </w:tcMar>
                  <w:vAlign w:val="center"/>
                </w:tcPr>
                <w:p>
                  <w:pPr>
                    <w:pStyle w:val="2"/>
                    <w:spacing w:after="0"/>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脱模产生的有机废气经由集气罩+静电除雾+等离子光氧装置+活性炭吸附+15m排气筒（1个，风量60000m³/h）</w:t>
                  </w:r>
                </w:p>
              </w:tc>
              <w:tc>
                <w:tcPr>
                  <w:tcW w:w="2190" w:type="dxa"/>
                  <w:shd w:val="solid" w:color="CFCECE" w:themeColor="background2" w:themeShade="E5" w:fill="FFFFFF" w:themeFill="background1"/>
                  <w:tcMar>
                    <w:left w:w="57" w:type="dxa"/>
                    <w:right w:w="57" w:type="dxa"/>
                  </w:tcMar>
                  <w:vAlign w:val="center"/>
                </w:tcPr>
                <w:p>
                  <w:pPr>
                    <w:pStyle w:val="2"/>
                    <w:spacing w:after="0"/>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配套新增压铸设备，新建一套集气罩+静电除雾+等离子光氧装置+活性炭吸附+15m排气筒（1个，风量45000m³/h）</w:t>
                  </w:r>
                </w:p>
                <w:p>
                  <w:pPr>
                    <w:pStyle w:val="2"/>
                    <w:spacing w:after="0"/>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技改后压铸线共2套有机废气处理设施</w:t>
                  </w:r>
                </w:p>
              </w:tc>
              <w:tc>
                <w:tcPr>
                  <w:tcW w:w="2355" w:type="dxa"/>
                  <w:shd w:val="solid" w:color="CFCECE" w:themeColor="background2" w:themeShade="E5" w:fill="FFFFFF" w:themeFill="background1"/>
                  <w:tcMar>
                    <w:left w:w="57" w:type="dxa"/>
                    <w:right w:w="57" w:type="dxa"/>
                  </w:tcMar>
                  <w:vAlign w:val="center"/>
                </w:tcPr>
                <w:p>
                  <w:pPr>
                    <w:pStyle w:val="2"/>
                    <w:spacing w:after="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新增的</w:t>
                  </w:r>
                  <w:r>
                    <w:rPr>
                      <w:rFonts w:hint="eastAsia" w:cs="Times New Roman"/>
                      <w:color w:val="000000" w:themeColor="text1"/>
                      <w:sz w:val="21"/>
                      <w:szCs w:val="21"/>
                      <w:lang w:val="en-US" w:eastAsia="zh-CN"/>
                      <w14:textFill>
                        <w14:solidFill>
                          <w14:schemeClr w14:val="tx1"/>
                        </w14:solidFill>
                      </w14:textFill>
                    </w:rPr>
                    <w:t>1</w:t>
                  </w:r>
                  <w:r>
                    <w:rPr>
                      <w:rFonts w:hint="default" w:ascii="Times New Roman" w:hAnsi="Times New Roman" w:cs="Times New Roman"/>
                      <w:color w:val="000000" w:themeColor="text1"/>
                      <w:sz w:val="21"/>
                      <w:szCs w:val="21"/>
                      <w:lang w:val="en-US" w:eastAsia="zh-CN"/>
                      <w14:textFill>
                        <w14:solidFill>
                          <w14:schemeClr w14:val="tx1"/>
                        </w14:solidFill>
                      </w14:textFill>
                    </w:rPr>
                    <w:t>台30</w:t>
                  </w:r>
                  <w:r>
                    <w:rPr>
                      <w:rFonts w:hint="eastAsia" w:cs="Times New Roman"/>
                      <w:color w:val="000000" w:themeColor="text1"/>
                      <w:sz w:val="21"/>
                      <w:szCs w:val="21"/>
                      <w:lang w:val="en-US" w:eastAsia="zh-CN"/>
                      <w14:textFill>
                        <w14:solidFill>
                          <w14:schemeClr w14:val="tx1"/>
                        </w14:solidFill>
                      </w14:textFill>
                    </w:rPr>
                    <w:t>50</w:t>
                  </w:r>
                  <w:r>
                    <w:rPr>
                      <w:rFonts w:hint="default" w:ascii="Times New Roman" w:hAnsi="Times New Roman" w:cs="Times New Roman"/>
                      <w:color w:val="000000" w:themeColor="text1"/>
                      <w:sz w:val="21"/>
                      <w:szCs w:val="21"/>
                      <w:lang w:val="en-US" w:eastAsia="zh-CN"/>
                      <w14:textFill>
                        <w14:solidFill>
                          <w14:schemeClr w14:val="tx1"/>
                        </w14:solidFill>
                      </w14:textFill>
                    </w:rPr>
                    <w:t>T压铸设备和原有无组织排放的1250T压铸设备共用一套技改新建的集气罩+静电除雾+等离子光氧装置+活性炭吸附+15m排气筒，技改项目现有新旧两套废气处理设施</w:t>
                  </w:r>
                </w:p>
              </w:tc>
              <w:tc>
                <w:tcPr>
                  <w:tcW w:w="760" w:type="dxa"/>
                  <w:shd w:val="solid" w:color="CFCECE" w:themeColor="background2" w:themeShade="E5" w:fill="FFFFFF" w:themeFill="background1"/>
                  <w:tcMar>
                    <w:left w:w="57" w:type="dxa"/>
                    <w:right w:w="57" w:type="dxa"/>
                  </w:tcMar>
                  <w:vAlign w:val="center"/>
                </w:tcPr>
                <w:p>
                  <w:pPr>
                    <w:pStyle w:val="2"/>
                    <w:spacing w:after="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接入新增废气处理装置的压铸单元减少一台</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1243" w:hRule="atLeast"/>
                <w:tblHeader/>
                <w:jc w:val="center"/>
              </w:trPr>
              <w:tc>
                <w:tcPr>
                  <w:tcW w:w="626" w:type="dxa"/>
                  <w:vMerge w:val="continue"/>
                  <w:tcMar>
                    <w:left w:w="57" w:type="dxa"/>
                    <w:right w:w="57" w:type="dxa"/>
                  </w:tcMar>
                  <w:vAlign w:val="center"/>
                </w:tcPr>
                <w:p>
                  <w:pPr>
                    <w:pStyle w:val="2"/>
                    <w:spacing w:after="0"/>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p>
              </w:tc>
              <w:tc>
                <w:tcPr>
                  <w:tcW w:w="1035" w:type="dxa"/>
                  <w:gridSpan w:val="2"/>
                  <w:tcMar>
                    <w:left w:w="57" w:type="dxa"/>
                    <w:right w:w="57" w:type="dxa"/>
                  </w:tcMar>
                  <w:vAlign w:val="center"/>
                </w:tcPr>
                <w:p>
                  <w:pPr>
                    <w:pStyle w:val="2"/>
                    <w:spacing w:after="0"/>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废水治理</w:t>
                  </w:r>
                </w:p>
              </w:tc>
              <w:tc>
                <w:tcPr>
                  <w:tcW w:w="2670" w:type="dxa"/>
                  <w:tcMar>
                    <w:left w:w="57" w:type="dxa"/>
                    <w:right w:w="57" w:type="dxa"/>
                  </w:tcMar>
                  <w:vAlign w:val="center"/>
                </w:tcPr>
                <w:p>
                  <w:pPr>
                    <w:pStyle w:val="2"/>
                    <w:spacing w:after="0"/>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厂内建有污水处理站1座（1t/h），处理厂内脱模废水达标后接入园区污水管网</w:t>
                  </w:r>
                </w:p>
              </w:tc>
              <w:tc>
                <w:tcPr>
                  <w:tcW w:w="2190" w:type="dxa"/>
                  <w:tcMar>
                    <w:left w:w="57" w:type="dxa"/>
                    <w:right w:w="57" w:type="dxa"/>
                  </w:tcMar>
                  <w:vAlign w:val="center"/>
                </w:tcPr>
                <w:p>
                  <w:pPr>
                    <w:pStyle w:val="2"/>
                    <w:spacing w:after="0"/>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依托现有污水处理站</w:t>
                  </w:r>
                </w:p>
              </w:tc>
              <w:tc>
                <w:tcPr>
                  <w:tcW w:w="2355" w:type="dxa"/>
                  <w:tcMar>
                    <w:left w:w="57" w:type="dxa"/>
                    <w:right w:w="57" w:type="dxa"/>
                  </w:tcMar>
                  <w:vAlign w:val="center"/>
                </w:tcPr>
                <w:p>
                  <w:pPr>
                    <w:pStyle w:val="2"/>
                    <w:spacing w:after="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依托现有污水处理站</w:t>
                  </w:r>
                  <w:r>
                    <w:rPr>
                      <w:rFonts w:hint="eastAsia" w:cs="Times New Roman"/>
                      <w:color w:val="000000" w:themeColor="text1"/>
                      <w:sz w:val="21"/>
                      <w:szCs w:val="21"/>
                      <w:lang w:eastAsia="zh-CN"/>
                      <w14:textFill>
                        <w14:solidFill>
                          <w14:schemeClr w14:val="tx1"/>
                        </w14:solidFill>
                      </w14:textFill>
                    </w:rPr>
                    <w:t>，</w:t>
                  </w:r>
                  <w:r>
                    <w:rPr>
                      <w:rFonts w:hint="eastAsia" w:cs="Times New Roman"/>
                      <w:color w:val="000000" w:themeColor="text1"/>
                      <w:sz w:val="21"/>
                      <w:szCs w:val="21"/>
                      <w:lang w:val="en-US" w:eastAsia="zh-CN"/>
                      <w14:textFill>
                        <w14:solidFill>
                          <w14:schemeClr w14:val="tx1"/>
                        </w14:solidFill>
                      </w14:textFill>
                    </w:rPr>
                    <w:t>企业已安装在线监测系统，并于铝合金熔炼项目中通过验收</w:t>
                  </w:r>
                </w:p>
              </w:tc>
              <w:tc>
                <w:tcPr>
                  <w:tcW w:w="760" w:type="dxa"/>
                  <w:tcMar>
                    <w:left w:w="57" w:type="dxa"/>
                    <w:right w:w="57" w:type="dxa"/>
                  </w:tcMar>
                  <w:vAlign w:val="center"/>
                </w:tcPr>
                <w:p>
                  <w:pPr>
                    <w:pStyle w:val="2"/>
                    <w:spacing w:after="0"/>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与环评一致</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918" w:hRule="atLeast"/>
                <w:tblHeader/>
                <w:jc w:val="center"/>
              </w:trPr>
              <w:tc>
                <w:tcPr>
                  <w:tcW w:w="626" w:type="dxa"/>
                  <w:vMerge w:val="continue"/>
                  <w:tcMar>
                    <w:left w:w="57" w:type="dxa"/>
                    <w:right w:w="57" w:type="dxa"/>
                  </w:tcMar>
                  <w:vAlign w:val="center"/>
                </w:tcPr>
                <w:p>
                  <w:pPr>
                    <w:pStyle w:val="2"/>
                    <w:spacing w:after="0"/>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p>
              </w:tc>
              <w:tc>
                <w:tcPr>
                  <w:tcW w:w="1035" w:type="dxa"/>
                  <w:gridSpan w:val="2"/>
                  <w:tcMar>
                    <w:left w:w="57" w:type="dxa"/>
                    <w:right w:w="57" w:type="dxa"/>
                  </w:tcMar>
                  <w:vAlign w:val="center"/>
                </w:tcPr>
                <w:p>
                  <w:pPr>
                    <w:pStyle w:val="2"/>
                    <w:spacing w:after="0"/>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噪声治理</w:t>
                  </w:r>
                </w:p>
              </w:tc>
              <w:tc>
                <w:tcPr>
                  <w:tcW w:w="2670" w:type="dxa"/>
                  <w:tcMar>
                    <w:left w:w="57" w:type="dxa"/>
                    <w:right w:w="57" w:type="dxa"/>
                  </w:tcMar>
                  <w:vAlign w:val="center"/>
                </w:tcPr>
                <w:p>
                  <w:pPr>
                    <w:pStyle w:val="2"/>
                    <w:spacing w:after="0"/>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吸声、隔声、减震、绿化等降噪措施，加强管理，合理安排作业时间等</w:t>
                  </w:r>
                </w:p>
              </w:tc>
              <w:tc>
                <w:tcPr>
                  <w:tcW w:w="2190" w:type="dxa"/>
                  <w:tcMar>
                    <w:left w:w="57" w:type="dxa"/>
                    <w:right w:w="57" w:type="dxa"/>
                  </w:tcMar>
                  <w:vAlign w:val="center"/>
                </w:tcPr>
                <w:p>
                  <w:pPr>
                    <w:pStyle w:val="2"/>
                    <w:spacing w:after="0"/>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墙体隔声，减震垫、采用先进设备、优化操作过程。</w:t>
                  </w:r>
                </w:p>
              </w:tc>
              <w:tc>
                <w:tcPr>
                  <w:tcW w:w="2355" w:type="dxa"/>
                  <w:tcMar>
                    <w:left w:w="57" w:type="dxa"/>
                    <w:right w:w="57" w:type="dxa"/>
                  </w:tcMar>
                  <w:vAlign w:val="center"/>
                </w:tcPr>
                <w:p>
                  <w:pPr>
                    <w:pStyle w:val="2"/>
                    <w:spacing w:after="0"/>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墙体隔声，减震垫、采用先进设备、优化操作过程。</w:t>
                  </w:r>
                </w:p>
              </w:tc>
              <w:tc>
                <w:tcPr>
                  <w:tcW w:w="760" w:type="dxa"/>
                  <w:tcMar>
                    <w:left w:w="57" w:type="dxa"/>
                    <w:right w:w="57" w:type="dxa"/>
                  </w:tcMar>
                  <w:vAlign w:val="center"/>
                </w:tcPr>
                <w:p>
                  <w:pPr>
                    <w:pStyle w:val="2"/>
                    <w:spacing w:after="0"/>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与环评一致</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1270" w:hRule="atLeast"/>
                <w:tblHeader/>
                <w:jc w:val="center"/>
              </w:trPr>
              <w:tc>
                <w:tcPr>
                  <w:tcW w:w="626" w:type="dxa"/>
                  <w:vMerge w:val="continue"/>
                  <w:tcMar>
                    <w:left w:w="57" w:type="dxa"/>
                    <w:right w:w="57" w:type="dxa"/>
                  </w:tcMar>
                  <w:vAlign w:val="center"/>
                </w:tcPr>
                <w:p>
                  <w:pPr>
                    <w:pStyle w:val="2"/>
                    <w:spacing w:after="0"/>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p>
              </w:tc>
              <w:tc>
                <w:tcPr>
                  <w:tcW w:w="1035" w:type="dxa"/>
                  <w:gridSpan w:val="2"/>
                  <w:tcMar>
                    <w:left w:w="57" w:type="dxa"/>
                    <w:right w:w="57" w:type="dxa"/>
                  </w:tcMar>
                  <w:vAlign w:val="center"/>
                </w:tcPr>
                <w:p>
                  <w:pPr>
                    <w:pStyle w:val="2"/>
                    <w:spacing w:after="0"/>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固废治理</w:t>
                  </w:r>
                </w:p>
              </w:tc>
              <w:tc>
                <w:tcPr>
                  <w:tcW w:w="2670" w:type="dxa"/>
                  <w:tcMar>
                    <w:left w:w="57" w:type="dxa"/>
                    <w:right w:w="57" w:type="dxa"/>
                  </w:tcMar>
                  <w:vAlign w:val="center"/>
                </w:tcPr>
                <w:p>
                  <w:pPr>
                    <w:pStyle w:val="2"/>
                    <w:spacing w:after="0"/>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分别设有一般固废和危险固废暂存场，一般固废进行综合利用，危险固废交由资质单位处理</w:t>
                  </w:r>
                </w:p>
              </w:tc>
              <w:tc>
                <w:tcPr>
                  <w:tcW w:w="2190" w:type="dxa"/>
                  <w:tcMar>
                    <w:left w:w="57" w:type="dxa"/>
                    <w:right w:w="57" w:type="dxa"/>
                  </w:tcMar>
                  <w:vAlign w:val="center"/>
                </w:tcPr>
                <w:p>
                  <w:pPr>
                    <w:pStyle w:val="2"/>
                    <w:spacing w:after="0"/>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依托厂区内现有的一般固废堆场和危险废物暂存场，危险废物委托资质单位处理</w:t>
                  </w:r>
                </w:p>
              </w:tc>
              <w:tc>
                <w:tcPr>
                  <w:tcW w:w="2355" w:type="dxa"/>
                  <w:tcMar>
                    <w:left w:w="57" w:type="dxa"/>
                    <w:right w:w="57" w:type="dxa"/>
                  </w:tcMar>
                  <w:vAlign w:val="center"/>
                </w:tcPr>
                <w:p>
                  <w:pPr>
                    <w:pStyle w:val="2"/>
                    <w:spacing w:after="0"/>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依托厂区内现有的一般固废堆场和危险废物暂存场，危险废物委托资质单位处理</w:t>
                  </w:r>
                </w:p>
              </w:tc>
              <w:tc>
                <w:tcPr>
                  <w:tcW w:w="760" w:type="dxa"/>
                  <w:tcMar>
                    <w:left w:w="57" w:type="dxa"/>
                    <w:right w:w="57" w:type="dxa"/>
                  </w:tcMar>
                  <w:vAlign w:val="center"/>
                </w:tcPr>
                <w:p>
                  <w:pPr>
                    <w:pStyle w:val="2"/>
                    <w:spacing w:after="0"/>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与环评一致</w:t>
                  </w:r>
                </w:p>
              </w:tc>
            </w:tr>
          </w:tbl>
          <w:p>
            <w:pPr>
              <w:spacing w:line="360" w:lineRule="auto"/>
              <w:jc w:val="left"/>
              <w:rPr>
                <w:rFonts w:ascii="宋体" w:hAnsi="宋体"/>
                <w:b/>
                <w:sz w:val="28"/>
                <w:szCs w:val="2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88" w:hRule="atLeast"/>
          <w:jc w:val="center"/>
        </w:trPr>
        <w:tc>
          <w:tcPr>
            <w:tcW w:w="9503" w:type="dxa"/>
            <w:vAlign w:val="center"/>
          </w:tcPr>
          <w:p>
            <w:pPr>
              <w:spacing w:line="360" w:lineRule="auto"/>
              <w:jc w:val="left"/>
              <w:rPr>
                <w:rFonts w:ascii="宋体" w:hAnsi="宋体"/>
                <w:b/>
                <w:sz w:val="28"/>
                <w:szCs w:val="28"/>
                <w:highlight w:val="none"/>
              </w:rPr>
            </w:pPr>
            <w:r>
              <w:rPr>
                <w:rFonts w:hint="eastAsia" w:ascii="宋体" w:hAnsi="宋体"/>
                <w:b/>
                <w:sz w:val="28"/>
                <w:szCs w:val="28"/>
              </w:rPr>
              <w:t>原</w:t>
            </w:r>
            <w:r>
              <w:rPr>
                <w:rFonts w:hint="eastAsia" w:ascii="宋体" w:hAnsi="宋体"/>
                <w:b/>
                <w:sz w:val="28"/>
                <w:szCs w:val="28"/>
                <w:highlight w:val="none"/>
              </w:rPr>
              <w:t>辅材料消耗及水平衡：</w:t>
            </w:r>
          </w:p>
          <w:p>
            <w:pPr>
              <w:spacing w:line="360" w:lineRule="auto"/>
              <w:jc w:val="left"/>
              <w:rPr>
                <w:rFonts w:ascii="宋体" w:hAnsi="宋体"/>
                <w:b/>
                <w:sz w:val="28"/>
                <w:szCs w:val="28"/>
                <w:highlight w:val="none"/>
              </w:rPr>
            </w:pPr>
            <w:r>
              <w:rPr>
                <w:rFonts w:hint="eastAsia" w:ascii="宋体" w:hAnsi="宋体"/>
                <w:b/>
                <w:sz w:val="28"/>
                <w:szCs w:val="28"/>
                <w:highlight w:val="none"/>
              </w:rPr>
              <w:t>1、主要原辅材料</w:t>
            </w:r>
          </w:p>
          <w:p>
            <w:pPr>
              <w:spacing w:line="360" w:lineRule="auto"/>
              <w:jc w:val="center"/>
              <w:rPr>
                <w:rFonts w:hint="eastAsia" w:ascii="宋体" w:hAnsi="宋体"/>
                <w:b/>
                <w:sz w:val="24"/>
                <w:highlight w:val="none"/>
              </w:rPr>
            </w:pPr>
            <w:r>
              <w:rPr>
                <w:rFonts w:hint="eastAsia" w:ascii="宋体" w:hAnsi="宋体"/>
                <w:b/>
                <w:sz w:val="24"/>
                <w:highlight w:val="none"/>
              </w:rPr>
              <w:t>表2</w:t>
            </w:r>
            <w:r>
              <w:rPr>
                <w:rFonts w:ascii="宋体" w:hAnsi="宋体"/>
                <w:b/>
                <w:sz w:val="24"/>
                <w:highlight w:val="none"/>
              </w:rPr>
              <w:t>-</w:t>
            </w:r>
            <w:r>
              <w:rPr>
                <w:rFonts w:hint="eastAsia" w:ascii="宋体" w:hAnsi="宋体"/>
                <w:b/>
                <w:sz w:val="24"/>
                <w:highlight w:val="none"/>
                <w:lang w:val="en-US" w:eastAsia="zh-CN"/>
              </w:rPr>
              <w:t>3</w:t>
            </w:r>
            <w:r>
              <w:rPr>
                <w:rFonts w:hint="eastAsia" w:ascii="宋体" w:hAnsi="宋体"/>
                <w:b/>
                <w:sz w:val="24"/>
                <w:highlight w:val="none"/>
              </w:rPr>
              <w:tab/>
            </w:r>
            <w:bookmarkStart w:id="2" w:name="_Hlk22905799"/>
            <w:r>
              <w:rPr>
                <w:rFonts w:hint="eastAsia" w:ascii="宋体" w:hAnsi="宋体"/>
                <w:b/>
                <w:sz w:val="24"/>
                <w:highlight w:val="none"/>
              </w:rPr>
              <w:t>项目原辅材料</w:t>
            </w:r>
            <w:bookmarkEnd w:id="2"/>
          </w:p>
          <w:tbl>
            <w:tblPr>
              <w:tblStyle w:val="33"/>
              <w:tblW w:w="9257"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798"/>
              <w:gridCol w:w="2023"/>
              <w:gridCol w:w="1548"/>
              <w:gridCol w:w="1179"/>
              <w:gridCol w:w="1163"/>
              <w:gridCol w:w="1383"/>
              <w:gridCol w:w="1163"/>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84" w:hRule="atLeast"/>
                <w:jc w:val="center"/>
              </w:trPr>
              <w:tc>
                <w:tcPr>
                  <w:tcW w:w="798" w:type="dxa"/>
                  <w:vMerge w:val="restart"/>
                  <w:vAlign w:val="center"/>
                </w:tcPr>
                <w:p>
                  <w:pPr>
                    <w:jc w:val="center"/>
                    <w:rPr>
                      <w:rFonts w:hint="default" w:ascii="Times New Roman" w:hAnsi="Times New Roman" w:eastAsia="宋体" w:cs="Times New Roman"/>
                      <w:b/>
                      <w:color w:val="000000" w:themeColor="text1"/>
                      <w:sz w:val="21"/>
                      <w:szCs w:val="21"/>
                      <w14:textFill>
                        <w14:solidFill>
                          <w14:schemeClr w14:val="tx1"/>
                        </w14:solidFill>
                      </w14:textFill>
                    </w:rPr>
                  </w:pPr>
                  <w:r>
                    <w:rPr>
                      <w:rFonts w:hint="default" w:ascii="Times New Roman" w:hAnsi="Times New Roman" w:eastAsia="宋体" w:cs="Times New Roman"/>
                      <w:b/>
                      <w:color w:val="000000" w:themeColor="text1"/>
                      <w:sz w:val="21"/>
                      <w:szCs w:val="21"/>
                      <w14:textFill>
                        <w14:solidFill>
                          <w14:schemeClr w14:val="tx1"/>
                        </w14:solidFill>
                      </w14:textFill>
                    </w:rPr>
                    <w:t>序号</w:t>
                  </w:r>
                </w:p>
              </w:tc>
              <w:tc>
                <w:tcPr>
                  <w:tcW w:w="2023" w:type="dxa"/>
                  <w:vMerge w:val="restart"/>
                  <w:vAlign w:val="center"/>
                </w:tcPr>
                <w:p>
                  <w:pPr>
                    <w:jc w:val="center"/>
                    <w:rPr>
                      <w:rFonts w:hint="default" w:ascii="Times New Roman" w:hAnsi="Times New Roman" w:eastAsia="宋体" w:cs="Times New Roman"/>
                      <w:b/>
                      <w:color w:val="000000" w:themeColor="text1"/>
                      <w:sz w:val="21"/>
                      <w:szCs w:val="21"/>
                      <w14:textFill>
                        <w14:solidFill>
                          <w14:schemeClr w14:val="tx1"/>
                        </w14:solidFill>
                      </w14:textFill>
                    </w:rPr>
                  </w:pPr>
                  <w:r>
                    <w:rPr>
                      <w:rFonts w:hint="default" w:ascii="Times New Roman" w:hAnsi="Times New Roman" w:eastAsia="宋体" w:cs="Times New Roman"/>
                      <w:b/>
                      <w:color w:val="000000" w:themeColor="text1"/>
                      <w:sz w:val="21"/>
                      <w:szCs w:val="21"/>
                      <w14:textFill>
                        <w14:solidFill>
                          <w14:schemeClr w14:val="tx1"/>
                        </w14:solidFill>
                      </w14:textFill>
                    </w:rPr>
                    <w:t>名称</w:t>
                  </w:r>
                </w:p>
              </w:tc>
              <w:tc>
                <w:tcPr>
                  <w:tcW w:w="1548" w:type="dxa"/>
                  <w:vMerge w:val="restart"/>
                  <w:vAlign w:val="center"/>
                </w:tcPr>
                <w:p>
                  <w:pPr>
                    <w:jc w:val="center"/>
                    <w:rPr>
                      <w:rFonts w:hint="default" w:ascii="Times New Roman" w:hAnsi="Times New Roman" w:eastAsia="宋体" w:cs="Times New Roman"/>
                      <w:b/>
                      <w:color w:val="000000" w:themeColor="text1"/>
                      <w:sz w:val="21"/>
                      <w:szCs w:val="21"/>
                      <w14:textFill>
                        <w14:solidFill>
                          <w14:schemeClr w14:val="tx1"/>
                        </w14:solidFill>
                      </w14:textFill>
                    </w:rPr>
                  </w:pPr>
                  <w:r>
                    <w:rPr>
                      <w:rFonts w:hint="default" w:ascii="Times New Roman" w:hAnsi="Times New Roman" w:eastAsia="宋体" w:cs="Times New Roman"/>
                      <w:b/>
                      <w:color w:val="000000" w:themeColor="text1"/>
                      <w:sz w:val="21"/>
                      <w:szCs w:val="21"/>
                      <w14:textFill>
                        <w14:solidFill>
                          <w14:schemeClr w14:val="tx1"/>
                        </w14:solidFill>
                      </w14:textFill>
                    </w:rPr>
                    <w:t>主要成分</w:t>
                  </w:r>
                </w:p>
              </w:tc>
              <w:tc>
                <w:tcPr>
                  <w:tcW w:w="3725" w:type="dxa"/>
                  <w:gridSpan w:val="3"/>
                  <w:vAlign w:val="center"/>
                </w:tcPr>
                <w:p>
                  <w:pPr>
                    <w:jc w:val="center"/>
                    <w:rPr>
                      <w:rFonts w:hint="default" w:ascii="Times New Roman" w:hAnsi="Times New Roman" w:eastAsia="宋体" w:cs="Times New Roman"/>
                      <w:b/>
                      <w:color w:val="000000" w:themeColor="text1"/>
                      <w:sz w:val="21"/>
                      <w:szCs w:val="21"/>
                      <w14:textFill>
                        <w14:solidFill>
                          <w14:schemeClr w14:val="tx1"/>
                        </w14:solidFill>
                      </w14:textFill>
                    </w:rPr>
                  </w:pPr>
                  <w:r>
                    <w:rPr>
                      <w:rFonts w:hint="default" w:ascii="Times New Roman" w:hAnsi="Times New Roman" w:eastAsia="宋体" w:cs="Times New Roman"/>
                      <w:b/>
                      <w:color w:val="000000" w:themeColor="text1"/>
                      <w:sz w:val="21"/>
                      <w:szCs w:val="21"/>
                      <w14:textFill>
                        <w14:solidFill>
                          <w14:schemeClr w14:val="tx1"/>
                        </w14:solidFill>
                      </w14:textFill>
                    </w:rPr>
                    <w:t>数量（t/a）</w:t>
                  </w:r>
                </w:p>
              </w:tc>
              <w:tc>
                <w:tcPr>
                  <w:tcW w:w="1163" w:type="dxa"/>
                  <w:vMerge w:val="restart"/>
                  <w:vAlign w:val="center"/>
                </w:tcPr>
                <w:p>
                  <w:pPr>
                    <w:jc w:val="center"/>
                    <w:rPr>
                      <w:rFonts w:hint="eastAsia" w:ascii="Times New Roman" w:hAnsi="Times New Roman" w:eastAsia="宋体" w:cs="Times New Roman"/>
                      <w:b/>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b/>
                      <w:color w:val="000000" w:themeColor="text1"/>
                      <w:sz w:val="21"/>
                      <w:szCs w:val="21"/>
                      <w:lang w:val="en-US" w:eastAsia="zh-CN"/>
                      <w14:textFill>
                        <w14:solidFill>
                          <w14:schemeClr w14:val="tx1"/>
                        </w14:solidFill>
                      </w14:textFill>
                    </w:rPr>
                    <w:t>备注</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66" w:hRule="atLeast"/>
                <w:jc w:val="center"/>
              </w:trPr>
              <w:tc>
                <w:tcPr>
                  <w:tcW w:w="798" w:type="dxa"/>
                  <w:vMerge w:val="continue"/>
                  <w:vAlign w:val="center"/>
                </w:tcPr>
                <w:p>
                  <w:pPr>
                    <w:jc w:val="center"/>
                    <w:rPr>
                      <w:rFonts w:hint="default" w:ascii="Times New Roman" w:hAnsi="Times New Roman" w:eastAsia="宋体" w:cs="Times New Roman"/>
                      <w:b/>
                      <w:color w:val="000000" w:themeColor="text1"/>
                      <w:sz w:val="21"/>
                      <w:szCs w:val="21"/>
                      <w14:textFill>
                        <w14:solidFill>
                          <w14:schemeClr w14:val="tx1"/>
                        </w14:solidFill>
                      </w14:textFill>
                    </w:rPr>
                  </w:pPr>
                </w:p>
              </w:tc>
              <w:tc>
                <w:tcPr>
                  <w:tcW w:w="2023" w:type="dxa"/>
                  <w:vMerge w:val="continue"/>
                  <w:vAlign w:val="center"/>
                </w:tcPr>
                <w:p>
                  <w:pPr>
                    <w:jc w:val="center"/>
                    <w:rPr>
                      <w:rFonts w:hint="default" w:ascii="Times New Roman" w:hAnsi="Times New Roman" w:eastAsia="宋体" w:cs="Times New Roman"/>
                      <w:b/>
                      <w:color w:val="000000" w:themeColor="text1"/>
                      <w:sz w:val="21"/>
                      <w:szCs w:val="21"/>
                      <w14:textFill>
                        <w14:solidFill>
                          <w14:schemeClr w14:val="tx1"/>
                        </w14:solidFill>
                      </w14:textFill>
                    </w:rPr>
                  </w:pPr>
                </w:p>
              </w:tc>
              <w:tc>
                <w:tcPr>
                  <w:tcW w:w="1548" w:type="dxa"/>
                  <w:vMerge w:val="continue"/>
                  <w:vAlign w:val="center"/>
                </w:tcPr>
                <w:p>
                  <w:pPr>
                    <w:jc w:val="center"/>
                    <w:rPr>
                      <w:rFonts w:hint="default" w:ascii="Times New Roman" w:hAnsi="Times New Roman" w:eastAsia="宋体" w:cs="Times New Roman"/>
                      <w:b/>
                      <w:color w:val="000000" w:themeColor="text1"/>
                      <w:sz w:val="21"/>
                      <w:szCs w:val="21"/>
                      <w14:textFill>
                        <w14:solidFill>
                          <w14:schemeClr w14:val="tx1"/>
                        </w14:solidFill>
                      </w14:textFill>
                    </w:rPr>
                  </w:pPr>
                </w:p>
              </w:tc>
              <w:tc>
                <w:tcPr>
                  <w:tcW w:w="1179" w:type="dxa"/>
                  <w:vAlign w:val="center"/>
                </w:tcPr>
                <w:p>
                  <w:pPr>
                    <w:jc w:val="center"/>
                    <w:rPr>
                      <w:rFonts w:hint="default" w:ascii="Times New Roman" w:hAnsi="Times New Roman" w:eastAsia="宋体" w:cs="Times New Roman"/>
                      <w:b/>
                      <w:color w:val="000000" w:themeColor="text1"/>
                      <w:sz w:val="21"/>
                      <w:szCs w:val="21"/>
                      <w14:textFill>
                        <w14:solidFill>
                          <w14:schemeClr w14:val="tx1"/>
                        </w14:solidFill>
                      </w14:textFill>
                    </w:rPr>
                  </w:pPr>
                  <w:r>
                    <w:rPr>
                      <w:rFonts w:hint="default" w:ascii="Times New Roman" w:hAnsi="Times New Roman" w:eastAsia="宋体" w:cs="Times New Roman"/>
                      <w:b/>
                      <w:color w:val="000000" w:themeColor="text1"/>
                      <w:sz w:val="21"/>
                      <w:szCs w:val="21"/>
                      <w14:textFill>
                        <w14:solidFill>
                          <w14:schemeClr w14:val="tx1"/>
                        </w14:solidFill>
                      </w14:textFill>
                    </w:rPr>
                    <w:t>技改前</w:t>
                  </w:r>
                </w:p>
                <w:p>
                  <w:pPr>
                    <w:jc w:val="center"/>
                    <w:rPr>
                      <w:rFonts w:hint="default" w:ascii="Times New Roman" w:hAnsi="Times New Roman" w:eastAsia="宋体" w:cs="Times New Roman"/>
                      <w:b/>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b/>
                      <w:color w:val="000000" w:themeColor="text1"/>
                      <w:sz w:val="21"/>
                      <w:szCs w:val="21"/>
                      <w:lang w:val="en-US" w:eastAsia="zh-CN"/>
                      <w14:textFill>
                        <w14:solidFill>
                          <w14:schemeClr w14:val="tx1"/>
                        </w14:solidFill>
                      </w14:textFill>
                    </w:rPr>
                    <w:t>用量</w:t>
                  </w:r>
                </w:p>
              </w:tc>
              <w:tc>
                <w:tcPr>
                  <w:tcW w:w="1163" w:type="dxa"/>
                  <w:vAlign w:val="center"/>
                </w:tcPr>
                <w:p>
                  <w:pPr>
                    <w:jc w:val="center"/>
                    <w:rPr>
                      <w:rFonts w:hint="default" w:ascii="Times New Roman" w:hAnsi="Times New Roman" w:eastAsia="宋体" w:cs="Times New Roman"/>
                      <w:b/>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b/>
                      <w:color w:val="000000" w:themeColor="text1"/>
                      <w:sz w:val="21"/>
                      <w:szCs w:val="21"/>
                      <w14:textFill>
                        <w14:solidFill>
                          <w14:schemeClr w14:val="tx1"/>
                        </w14:solidFill>
                      </w14:textFill>
                    </w:rPr>
                    <w:t>技改后</w:t>
                  </w:r>
                  <w:r>
                    <w:rPr>
                      <w:rFonts w:hint="default" w:ascii="Times New Roman" w:hAnsi="Times New Roman" w:eastAsia="宋体" w:cs="Times New Roman"/>
                      <w:b/>
                      <w:color w:val="000000" w:themeColor="text1"/>
                      <w:sz w:val="21"/>
                      <w:szCs w:val="21"/>
                      <w:lang w:val="en-US" w:eastAsia="zh-CN"/>
                      <w14:textFill>
                        <w14:solidFill>
                          <w14:schemeClr w14:val="tx1"/>
                        </w14:solidFill>
                      </w14:textFill>
                    </w:rPr>
                    <w:t>环评用量</w:t>
                  </w:r>
                </w:p>
              </w:tc>
              <w:tc>
                <w:tcPr>
                  <w:tcW w:w="1383" w:type="dxa"/>
                  <w:vAlign w:val="center"/>
                </w:tcPr>
                <w:p>
                  <w:pPr>
                    <w:jc w:val="center"/>
                    <w:rPr>
                      <w:rFonts w:hint="default" w:ascii="Times New Roman" w:hAnsi="Times New Roman" w:eastAsia="宋体" w:cs="Times New Roman"/>
                      <w:b/>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b/>
                      <w:color w:val="000000" w:themeColor="text1"/>
                      <w:sz w:val="21"/>
                      <w:szCs w:val="21"/>
                      <w:highlight w:val="none"/>
                      <w:lang w:val="en-US" w:eastAsia="zh-CN"/>
                      <w14:textFill>
                        <w14:solidFill>
                          <w14:schemeClr w14:val="tx1"/>
                        </w14:solidFill>
                      </w14:textFill>
                    </w:rPr>
                    <w:t>技改后实际用量</w:t>
                  </w:r>
                </w:p>
              </w:tc>
              <w:tc>
                <w:tcPr>
                  <w:tcW w:w="1163" w:type="dxa"/>
                  <w:vMerge w:val="continue"/>
                  <w:vAlign w:val="center"/>
                </w:tcPr>
                <w:p>
                  <w:pPr>
                    <w:jc w:val="center"/>
                    <w:rPr>
                      <w:rFonts w:hint="default" w:ascii="Times New Roman" w:hAnsi="Times New Roman" w:eastAsia="宋体" w:cs="Times New Roman"/>
                      <w:b/>
                      <w:color w:val="000000" w:themeColor="text1"/>
                      <w:sz w:val="21"/>
                      <w:szCs w:val="21"/>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66" w:hRule="atLeast"/>
                <w:jc w:val="center"/>
              </w:trPr>
              <w:tc>
                <w:tcPr>
                  <w:tcW w:w="798" w:type="dxa"/>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1</w:t>
                  </w:r>
                </w:p>
              </w:tc>
              <w:tc>
                <w:tcPr>
                  <w:tcW w:w="2023" w:type="dxa"/>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铝合金液</w:t>
                  </w:r>
                </w:p>
                <w:p>
                  <w:pPr>
                    <w:pStyle w:val="2"/>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（重力铸造）</w:t>
                  </w:r>
                </w:p>
              </w:tc>
              <w:tc>
                <w:tcPr>
                  <w:tcW w:w="1548" w:type="dxa"/>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铝</w:t>
                  </w:r>
                </w:p>
              </w:tc>
              <w:tc>
                <w:tcPr>
                  <w:tcW w:w="1179" w:type="dxa"/>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10000</w:t>
                  </w:r>
                </w:p>
              </w:tc>
              <w:tc>
                <w:tcPr>
                  <w:tcW w:w="1163" w:type="dxa"/>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10000</w:t>
                  </w:r>
                </w:p>
              </w:tc>
              <w:tc>
                <w:tcPr>
                  <w:tcW w:w="1383" w:type="dxa"/>
                  <w:vAlign w:val="center"/>
                </w:tcPr>
                <w:p>
                  <w:pPr>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10000</w:t>
                  </w:r>
                </w:p>
              </w:tc>
              <w:tc>
                <w:tcPr>
                  <w:tcW w:w="1163" w:type="dxa"/>
                  <w:vAlign w:val="center"/>
                </w:tcPr>
                <w:p>
                  <w:pPr>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不在本次验收范围</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66" w:hRule="atLeast"/>
                <w:jc w:val="center"/>
              </w:trPr>
              <w:tc>
                <w:tcPr>
                  <w:tcW w:w="798" w:type="dxa"/>
                  <w:shd w:val="solid" w:color="CFCECE" w:themeColor="background2" w:themeShade="E5" w:fill="auto"/>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2</w:t>
                  </w:r>
                </w:p>
              </w:tc>
              <w:tc>
                <w:tcPr>
                  <w:tcW w:w="2023" w:type="dxa"/>
                  <w:shd w:val="solid" w:color="CFCECE" w:themeColor="background2" w:themeShade="E5" w:fill="auto"/>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铝合金液</w:t>
                  </w:r>
                </w:p>
                <w:p>
                  <w:pPr>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（压力铸造-缸体）</w:t>
                  </w:r>
                </w:p>
              </w:tc>
              <w:tc>
                <w:tcPr>
                  <w:tcW w:w="1548" w:type="dxa"/>
                  <w:shd w:val="solid" w:color="CFCECE" w:themeColor="background2" w:themeShade="E5" w:fill="auto"/>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铝</w:t>
                  </w:r>
                </w:p>
              </w:tc>
              <w:tc>
                <w:tcPr>
                  <w:tcW w:w="1179" w:type="dxa"/>
                  <w:shd w:val="solid" w:color="CFCECE" w:themeColor="background2" w:themeShade="E5" w:fill="auto"/>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2525</w:t>
                  </w:r>
                </w:p>
              </w:tc>
              <w:tc>
                <w:tcPr>
                  <w:tcW w:w="1163" w:type="dxa"/>
                  <w:shd w:val="solid" w:color="CFCECE" w:themeColor="background2" w:themeShade="E5" w:fill="auto"/>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5189</w:t>
                  </w:r>
                </w:p>
              </w:tc>
              <w:tc>
                <w:tcPr>
                  <w:tcW w:w="1383" w:type="dxa"/>
                  <w:shd w:val="solid" w:color="CFCECE" w:themeColor="background2" w:themeShade="E5" w:fill="auto"/>
                  <w:vAlign w:val="center"/>
                </w:tcPr>
                <w:p>
                  <w:pPr>
                    <w:jc w:val="center"/>
                    <w:rPr>
                      <w:rFonts w:hint="default" w:ascii="Times New Roman" w:hAnsi="Times New Roman" w:eastAsia="宋体" w:cs="Times New Roman"/>
                      <w:color w:val="000000" w:themeColor="text1"/>
                      <w:sz w:val="21"/>
                      <w:szCs w:val="21"/>
                      <w:highlight w:val="yellow"/>
                      <w:lang w:val="en-US" w:eastAsia="zh-CN"/>
                      <w14:textFill>
                        <w14:solidFill>
                          <w14:schemeClr w14:val="tx1"/>
                        </w14:solidFill>
                      </w14:textFill>
                    </w:rPr>
                  </w:pPr>
                  <w:r>
                    <w:rPr>
                      <w:rFonts w:hint="eastAsia" w:cs="Times New Roman"/>
                      <w:color w:val="000000" w:themeColor="text1"/>
                      <w:sz w:val="21"/>
                      <w:szCs w:val="21"/>
                      <w:highlight w:val="none"/>
                      <w:lang w:val="en-US" w:eastAsia="zh-CN"/>
                      <w14:textFill>
                        <w14:solidFill>
                          <w14:schemeClr w14:val="tx1"/>
                        </w14:solidFill>
                      </w14:textFill>
                    </w:rPr>
                    <w:t>2595</w:t>
                  </w:r>
                </w:p>
              </w:tc>
              <w:tc>
                <w:tcPr>
                  <w:tcW w:w="1163" w:type="dxa"/>
                  <w:vMerge w:val="restart"/>
                  <w:shd w:val="solid" w:color="CFCECE" w:themeColor="background2" w:themeShade="E5" w:fill="auto"/>
                  <w:vAlign w:val="center"/>
                </w:tcPr>
                <w:p>
                  <w:pPr>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本次验收主要材料</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90" w:hRule="atLeast"/>
                <w:jc w:val="center"/>
              </w:trPr>
              <w:tc>
                <w:tcPr>
                  <w:tcW w:w="798" w:type="dxa"/>
                  <w:shd w:val="solid" w:color="CFCECE" w:themeColor="background2" w:themeShade="E5" w:fill="auto"/>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3</w:t>
                  </w:r>
                </w:p>
              </w:tc>
              <w:tc>
                <w:tcPr>
                  <w:tcW w:w="2023" w:type="dxa"/>
                  <w:shd w:val="solid" w:color="CFCECE" w:themeColor="background2" w:themeShade="E5" w:fill="auto"/>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铝合金液</w:t>
                  </w:r>
                </w:p>
                <w:p>
                  <w:pPr>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（压力铸造-压铸件）</w:t>
                  </w:r>
                </w:p>
              </w:tc>
              <w:tc>
                <w:tcPr>
                  <w:tcW w:w="1548" w:type="dxa"/>
                  <w:shd w:val="solid" w:color="CFCECE" w:themeColor="background2" w:themeShade="E5" w:fill="auto"/>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铝</w:t>
                  </w:r>
                </w:p>
              </w:tc>
              <w:tc>
                <w:tcPr>
                  <w:tcW w:w="1179" w:type="dxa"/>
                  <w:shd w:val="solid" w:color="CFCECE" w:themeColor="background2" w:themeShade="E5" w:fill="auto"/>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3975</w:t>
                  </w:r>
                </w:p>
              </w:tc>
              <w:tc>
                <w:tcPr>
                  <w:tcW w:w="1163" w:type="dxa"/>
                  <w:shd w:val="solid" w:color="CFCECE" w:themeColor="background2" w:themeShade="E5" w:fill="auto"/>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1311</w:t>
                  </w:r>
                </w:p>
              </w:tc>
              <w:tc>
                <w:tcPr>
                  <w:tcW w:w="1383" w:type="dxa"/>
                  <w:shd w:val="solid" w:color="CFCECE" w:themeColor="background2" w:themeShade="E5" w:fill="auto"/>
                  <w:vAlign w:val="center"/>
                </w:tcPr>
                <w:p>
                  <w:pPr>
                    <w:jc w:val="center"/>
                    <w:rPr>
                      <w:rFonts w:hint="default" w:ascii="Times New Roman" w:hAnsi="Times New Roman" w:eastAsia="宋体" w:cs="Times New Roman"/>
                      <w:color w:val="000000" w:themeColor="text1"/>
                      <w:sz w:val="21"/>
                      <w:szCs w:val="21"/>
                      <w:highlight w:val="yellow"/>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13</w:t>
                  </w:r>
                  <w:r>
                    <w:rPr>
                      <w:rFonts w:hint="eastAsia" w:cs="Times New Roman"/>
                      <w:color w:val="000000" w:themeColor="text1"/>
                      <w:sz w:val="21"/>
                      <w:szCs w:val="21"/>
                      <w:highlight w:val="none"/>
                      <w:lang w:val="en-US" w:eastAsia="zh-CN"/>
                      <w14:textFill>
                        <w14:solidFill>
                          <w14:schemeClr w14:val="tx1"/>
                        </w14:solidFill>
                      </w14:textFill>
                    </w:rPr>
                    <w:t>00</w:t>
                  </w:r>
                </w:p>
              </w:tc>
              <w:tc>
                <w:tcPr>
                  <w:tcW w:w="1163" w:type="dxa"/>
                  <w:vMerge w:val="continue"/>
                  <w:shd w:val="solid" w:color="CFCECE" w:themeColor="background2" w:themeShade="E5" w:fill="auto"/>
                  <w:vAlign w:val="center"/>
                </w:tcPr>
                <w:p>
                  <w:pPr>
                    <w:jc w:val="center"/>
                    <w:rPr>
                      <w:rFonts w:hint="eastAsia" w:ascii="Times New Roman" w:hAnsi="Times New Roman" w:eastAsia="宋体" w:cs="Times New Roman"/>
                      <w:color w:val="000000" w:themeColor="text1"/>
                      <w:sz w:val="21"/>
                      <w:szCs w:val="21"/>
                      <w:lang w:val="en-US" w:eastAsia="zh-CN"/>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2" w:hRule="atLeast"/>
                <w:jc w:val="center"/>
              </w:trPr>
              <w:tc>
                <w:tcPr>
                  <w:tcW w:w="798" w:type="dxa"/>
                  <w:shd w:val="solid" w:color="CFCECE" w:themeColor="background2" w:themeShade="E5" w:fill="auto"/>
                  <w:vAlign w:val="center"/>
                </w:tcPr>
                <w:p>
                  <w:pPr>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4</w:t>
                  </w:r>
                </w:p>
              </w:tc>
              <w:tc>
                <w:tcPr>
                  <w:tcW w:w="2023" w:type="dxa"/>
                  <w:shd w:val="solid" w:color="CFCECE" w:themeColor="background2" w:themeShade="E5" w:fill="auto"/>
                  <w:vAlign w:val="center"/>
                </w:tcPr>
                <w:p>
                  <w:pPr>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脱模剂</w:t>
                  </w:r>
                </w:p>
              </w:tc>
              <w:tc>
                <w:tcPr>
                  <w:tcW w:w="1548" w:type="dxa"/>
                  <w:shd w:val="solid" w:color="CFCECE" w:themeColor="background2" w:themeShade="E5" w:fill="auto"/>
                  <w:vAlign w:val="center"/>
                </w:tcPr>
                <w:p>
                  <w:pPr>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乳化硅</w:t>
                  </w:r>
                </w:p>
              </w:tc>
              <w:tc>
                <w:tcPr>
                  <w:tcW w:w="1179" w:type="dxa"/>
                  <w:shd w:val="solid" w:color="CFCECE" w:themeColor="background2" w:themeShade="E5" w:fill="auto"/>
                  <w:vAlign w:val="center"/>
                </w:tcPr>
                <w:p>
                  <w:pPr>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20.4</w:t>
                  </w:r>
                </w:p>
              </w:tc>
              <w:tc>
                <w:tcPr>
                  <w:tcW w:w="1163" w:type="dxa"/>
                  <w:shd w:val="solid" w:color="CFCECE" w:themeColor="background2" w:themeShade="E5" w:fill="auto"/>
                  <w:vAlign w:val="center"/>
                </w:tcPr>
                <w:p>
                  <w:pPr>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20.4</w:t>
                  </w:r>
                </w:p>
              </w:tc>
              <w:tc>
                <w:tcPr>
                  <w:tcW w:w="1383" w:type="dxa"/>
                  <w:shd w:val="solid" w:color="CFCECE" w:themeColor="background2" w:themeShade="E5" w:fill="auto"/>
                  <w:vAlign w:val="center"/>
                </w:tcPr>
                <w:p>
                  <w:pPr>
                    <w:jc w:val="center"/>
                    <w:rPr>
                      <w:rFonts w:hint="eastAsia" w:cs="Times New Roman"/>
                      <w:color w:val="000000" w:themeColor="text1"/>
                      <w:sz w:val="21"/>
                      <w:szCs w:val="21"/>
                      <w:highlight w:val="none"/>
                      <w:lang w:val="en-US" w:eastAsia="zh-CN"/>
                      <w14:textFill>
                        <w14:solidFill>
                          <w14:schemeClr w14:val="tx1"/>
                        </w14:solidFill>
                      </w14:textFill>
                    </w:rPr>
                  </w:pPr>
                  <w:r>
                    <w:rPr>
                      <w:rFonts w:hint="eastAsia" w:cs="Times New Roman"/>
                      <w:color w:val="000000" w:themeColor="text1"/>
                      <w:sz w:val="21"/>
                      <w:szCs w:val="21"/>
                      <w:highlight w:val="none"/>
                      <w:lang w:val="en-US" w:eastAsia="zh-CN"/>
                      <w14:textFill>
                        <w14:solidFill>
                          <w14:schemeClr w14:val="tx1"/>
                        </w14:solidFill>
                      </w14:textFill>
                    </w:rPr>
                    <w:t>全厂20</w:t>
                  </w:r>
                </w:p>
                <w:p>
                  <w:pPr>
                    <w:jc w:val="center"/>
                    <w:rPr>
                      <w:rFonts w:hint="default" w:ascii="Times New Roman" w:hAnsi="Times New Roman" w:eastAsia="宋体" w:cs="Times New Roman"/>
                      <w:color w:val="000000" w:themeColor="text1"/>
                      <w:kern w:val="2"/>
                      <w:sz w:val="21"/>
                      <w:szCs w:val="21"/>
                      <w:highlight w:val="yellow"/>
                      <w:lang w:val="en-US" w:eastAsia="zh-CN" w:bidi="ar-SA"/>
                      <w14:textFill>
                        <w14:solidFill>
                          <w14:schemeClr w14:val="tx1"/>
                        </w14:solidFill>
                      </w14:textFill>
                    </w:rPr>
                  </w:pPr>
                  <w:r>
                    <w:rPr>
                      <w:rFonts w:hint="eastAsia" w:cs="Times New Roman"/>
                      <w:color w:val="000000" w:themeColor="text1"/>
                      <w:sz w:val="21"/>
                      <w:szCs w:val="21"/>
                      <w:highlight w:val="none"/>
                      <w:lang w:val="en-US" w:eastAsia="zh-CN"/>
                      <w14:textFill>
                        <w14:solidFill>
                          <w14:schemeClr w14:val="tx1"/>
                        </w14:solidFill>
                      </w14:textFill>
                    </w:rPr>
                    <w:t>（本项目7）</w:t>
                  </w:r>
                </w:p>
              </w:tc>
              <w:tc>
                <w:tcPr>
                  <w:tcW w:w="1163" w:type="dxa"/>
                  <w:vMerge w:val="continue"/>
                  <w:shd w:val="solid" w:color="CFCECE" w:themeColor="background2" w:themeShade="E5" w:fill="auto"/>
                  <w:vAlign w:val="center"/>
                </w:tcPr>
                <w:p>
                  <w:pPr>
                    <w:jc w:val="center"/>
                    <w:rPr>
                      <w:rFonts w:hint="eastAsia" w:ascii="Times New Roman" w:hAnsi="Times New Roman" w:eastAsia="宋体" w:cs="Times New Roman"/>
                      <w:color w:val="000000" w:themeColor="text1"/>
                      <w:sz w:val="21"/>
                      <w:szCs w:val="21"/>
                      <w:lang w:val="en-US" w:eastAsia="zh-CN"/>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342" w:hRule="atLeast"/>
                <w:jc w:val="center"/>
              </w:trPr>
              <w:tc>
                <w:tcPr>
                  <w:tcW w:w="798" w:type="dxa"/>
                  <w:vAlign w:val="center"/>
                </w:tcPr>
                <w:p>
                  <w:pPr>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5</w:t>
                  </w:r>
                </w:p>
              </w:tc>
              <w:tc>
                <w:tcPr>
                  <w:tcW w:w="2023" w:type="dxa"/>
                  <w:vAlign w:val="center"/>
                </w:tcPr>
                <w:p>
                  <w:pPr>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硅砂</w:t>
                  </w:r>
                </w:p>
              </w:tc>
              <w:tc>
                <w:tcPr>
                  <w:tcW w:w="1548" w:type="dxa"/>
                  <w:vAlign w:val="center"/>
                </w:tcPr>
                <w:p>
                  <w:pPr>
                    <w:jc w:val="center"/>
                    <w:rPr>
                      <w:rFonts w:hint="default" w:ascii="Times New Roman" w:hAnsi="Times New Roman" w:eastAsia="宋体" w:cs="Times New Roman"/>
                      <w:bCs/>
                      <w:color w:val="000000" w:themeColor="text1"/>
                      <w:sz w:val="21"/>
                      <w:szCs w:val="21"/>
                      <w14:textFill>
                        <w14:solidFill>
                          <w14:schemeClr w14:val="tx1"/>
                        </w14:solidFill>
                      </w14:textFill>
                    </w:rPr>
                  </w:pPr>
                  <w:r>
                    <w:rPr>
                      <w:rFonts w:hint="default" w:ascii="Times New Roman" w:hAnsi="Times New Roman" w:eastAsia="宋体" w:cs="Times New Roman"/>
                      <w:bCs/>
                      <w:color w:val="000000" w:themeColor="text1"/>
                      <w:sz w:val="21"/>
                      <w:szCs w:val="21"/>
                      <w14:textFill>
                        <w14:solidFill>
                          <w14:schemeClr w14:val="tx1"/>
                        </w14:solidFill>
                      </w14:textFill>
                    </w:rPr>
                    <w:t>SiO</w:t>
                  </w:r>
                  <w:r>
                    <w:rPr>
                      <w:rFonts w:hint="default" w:ascii="Times New Roman" w:hAnsi="Times New Roman" w:eastAsia="宋体" w:cs="Times New Roman"/>
                      <w:bCs/>
                      <w:color w:val="000000" w:themeColor="text1"/>
                      <w:sz w:val="21"/>
                      <w:szCs w:val="21"/>
                      <w:vertAlign w:val="subscript"/>
                      <w14:textFill>
                        <w14:solidFill>
                          <w14:schemeClr w14:val="tx1"/>
                        </w14:solidFill>
                      </w14:textFill>
                    </w:rPr>
                    <w:t>2</w:t>
                  </w:r>
                  <w:r>
                    <w:rPr>
                      <w:rFonts w:hint="default" w:ascii="Times New Roman" w:hAnsi="Times New Roman" w:eastAsia="宋体" w:cs="Times New Roman"/>
                      <w:bCs/>
                      <w:color w:val="000000" w:themeColor="text1"/>
                      <w:sz w:val="21"/>
                      <w:szCs w:val="21"/>
                      <w14:textFill>
                        <w14:solidFill>
                          <w14:schemeClr w14:val="tx1"/>
                        </w14:solidFill>
                      </w14:textFill>
                    </w:rPr>
                    <w:t>≥97%</w:t>
                  </w:r>
                </w:p>
              </w:tc>
              <w:tc>
                <w:tcPr>
                  <w:tcW w:w="1179" w:type="dxa"/>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17000</w:t>
                  </w:r>
                </w:p>
              </w:tc>
              <w:tc>
                <w:tcPr>
                  <w:tcW w:w="1163" w:type="dxa"/>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17000</w:t>
                  </w:r>
                </w:p>
              </w:tc>
              <w:tc>
                <w:tcPr>
                  <w:tcW w:w="1383" w:type="dxa"/>
                  <w:vAlign w:val="center"/>
                </w:tcPr>
                <w:p>
                  <w:pPr>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17000</w:t>
                  </w:r>
                </w:p>
              </w:tc>
              <w:tc>
                <w:tcPr>
                  <w:tcW w:w="1163" w:type="dxa"/>
                  <w:vMerge w:val="restart"/>
                  <w:vAlign w:val="center"/>
                </w:tcPr>
                <w:p>
                  <w:pPr>
                    <w:jc w:val="center"/>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不在本次验收范围</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66" w:hRule="atLeast"/>
                <w:jc w:val="center"/>
              </w:trPr>
              <w:tc>
                <w:tcPr>
                  <w:tcW w:w="798" w:type="dxa"/>
                  <w:vAlign w:val="center"/>
                </w:tcPr>
                <w:p>
                  <w:pPr>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6</w:t>
                  </w:r>
                </w:p>
              </w:tc>
              <w:tc>
                <w:tcPr>
                  <w:tcW w:w="2023" w:type="dxa"/>
                  <w:vAlign w:val="center"/>
                </w:tcPr>
                <w:p>
                  <w:pPr>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树脂</w:t>
                  </w:r>
                </w:p>
              </w:tc>
              <w:tc>
                <w:tcPr>
                  <w:tcW w:w="1548" w:type="dxa"/>
                  <w:vAlign w:val="center"/>
                </w:tcPr>
                <w:p>
                  <w:pPr>
                    <w:jc w:val="center"/>
                    <w:rPr>
                      <w:rFonts w:hint="default" w:ascii="Times New Roman" w:hAnsi="Times New Roman" w:eastAsia="宋体" w:cs="Times New Roman"/>
                      <w:bCs/>
                      <w:color w:val="000000" w:themeColor="text1"/>
                      <w:sz w:val="21"/>
                      <w:szCs w:val="21"/>
                      <w14:textFill>
                        <w14:solidFill>
                          <w14:schemeClr w14:val="tx1"/>
                        </w14:solidFill>
                      </w14:textFill>
                    </w:rPr>
                  </w:pPr>
                  <w:r>
                    <w:rPr>
                      <w:rFonts w:hint="default" w:ascii="Times New Roman" w:hAnsi="Times New Roman" w:eastAsia="宋体" w:cs="Times New Roman"/>
                      <w:bCs/>
                      <w:color w:val="000000" w:themeColor="text1"/>
                      <w:sz w:val="21"/>
                      <w:szCs w:val="21"/>
                      <w14:textFill>
                        <w14:solidFill>
                          <w14:schemeClr w14:val="tx1"/>
                        </w14:solidFill>
                      </w14:textFill>
                    </w:rPr>
                    <w:t>主要成分酚醛树脂</w:t>
                  </w:r>
                </w:p>
              </w:tc>
              <w:tc>
                <w:tcPr>
                  <w:tcW w:w="1179" w:type="dxa"/>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102</w:t>
                  </w:r>
                </w:p>
              </w:tc>
              <w:tc>
                <w:tcPr>
                  <w:tcW w:w="1163" w:type="dxa"/>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102</w:t>
                  </w:r>
                </w:p>
              </w:tc>
              <w:tc>
                <w:tcPr>
                  <w:tcW w:w="1383" w:type="dxa"/>
                  <w:vAlign w:val="center"/>
                </w:tcPr>
                <w:p>
                  <w:pPr>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102</w:t>
                  </w:r>
                </w:p>
              </w:tc>
              <w:tc>
                <w:tcPr>
                  <w:tcW w:w="1163" w:type="dxa"/>
                  <w:vMerge w:val="continue"/>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66" w:hRule="atLeast"/>
                <w:jc w:val="center"/>
              </w:trPr>
              <w:tc>
                <w:tcPr>
                  <w:tcW w:w="798" w:type="dxa"/>
                  <w:vAlign w:val="center"/>
                </w:tcPr>
                <w:p>
                  <w:pPr>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7</w:t>
                  </w:r>
                </w:p>
              </w:tc>
              <w:tc>
                <w:tcPr>
                  <w:tcW w:w="2023" w:type="dxa"/>
                  <w:vAlign w:val="center"/>
                </w:tcPr>
                <w:p>
                  <w:pPr>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水溶性树脂</w:t>
                  </w:r>
                </w:p>
              </w:tc>
              <w:tc>
                <w:tcPr>
                  <w:tcW w:w="1548" w:type="dxa"/>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主要成分为聚异氰酸酯</w:t>
                  </w:r>
                </w:p>
              </w:tc>
              <w:tc>
                <w:tcPr>
                  <w:tcW w:w="1179" w:type="dxa"/>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102</w:t>
                  </w:r>
                </w:p>
              </w:tc>
              <w:tc>
                <w:tcPr>
                  <w:tcW w:w="1163" w:type="dxa"/>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102</w:t>
                  </w:r>
                </w:p>
              </w:tc>
              <w:tc>
                <w:tcPr>
                  <w:tcW w:w="1383" w:type="dxa"/>
                  <w:vAlign w:val="center"/>
                </w:tcPr>
                <w:p>
                  <w:pPr>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102</w:t>
                  </w:r>
                </w:p>
              </w:tc>
              <w:tc>
                <w:tcPr>
                  <w:tcW w:w="1163" w:type="dxa"/>
                  <w:vMerge w:val="continue"/>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2" w:hRule="atLeast"/>
                <w:jc w:val="center"/>
              </w:trPr>
              <w:tc>
                <w:tcPr>
                  <w:tcW w:w="798" w:type="dxa"/>
                  <w:vAlign w:val="center"/>
                </w:tcPr>
                <w:p>
                  <w:pPr>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8</w:t>
                  </w:r>
                </w:p>
              </w:tc>
              <w:tc>
                <w:tcPr>
                  <w:tcW w:w="2023" w:type="dxa"/>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模具涂料</w:t>
                  </w:r>
                </w:p>
              </w:tc>
              <w:tc>
                <w:tcPr>
                  <w:tcW w:w="1548" w:type="dxa"/>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w:t>
                  </w:r>
                </w:p>
              </w:tc>
              <w:tc>
                <w:tcPr>
                  <w:tcW w:w="1179" w:type="dxa"/>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4.8</w:t>
                  </w:r>
                </w:p>
              </w:tc>
              <w:tc>
                <w:tcPr>
                  <w:tcW w:w="1163" w:type="dxa"/>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4.8</w:t>
                  </w:r>
                </w:p>
              </w:tc>
              <w:tc>
                <w:tcPr>
                  <w:tcW w:w="1383" w:type="dxa"/>
                  <w:vAlign w:val="center"/>
                </w:tcPr>
                <w:p>
                  <w:pPr>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4.8</w:t>
                  </w:r>
                </w:p>
              </w:tc>
              <w:tc>
                <w:tcPr>
                  <w:tcW w:w="1163" w:type="dxa"/>
                  <w:vMerge w:val="continue"/>
                  <w:vAlign w:val="center"/>
                </w:tcPr>
                <w:p>
                  <w:pPr>
                    <w:jc w:val="center"/>
                    <w:rPr>
                      <w:rFonts w:hint="eastAsia" w:ascii="Times New Roman" w:hAnsi="Times New Roman" w:eastAsia="宋体" w:cs="Times New Roman"/>
                      <w:color w:val="000000" w:themeColor="text1"/>
                      <w:sz w:val="21"/>
                      <w:szCs w:val="21"/>
                      <w:lang w:val="en-US" w:eastAsia="zh-CN"/>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2" w:hRule="atLeast"/>
                <w:jc w:val="center"/>
              </w:trPr>
              <w:tc>
                <w:tcPr>
                  <w:tcW w:w="798" w:type="dxa"/>
                  <w:vAlign w:val="center"/>
                </w:tcPr>
                <w:p>
                  <w:pPr>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9</w:t>
                  </w:r>
                </w:p>
              </w:tc>
              <w:tc>
                <w:tcPr>
                  <w:tcW w:w="2023" w:type="dxa"/>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工具涂料</w:t>
                  </w:r>
                </w:p>
              </w:tc>
              <w:tc>
                <w:tcPr>
                  <w:tcW w:w="1548" w:type="dxa"/>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w:t>
                  </w:r>
                </w:p>
              </w:tc>
              <w:tc>
                <w:tcPr>
                  <w:tcW w:w="1179" w:type="dxa"/>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2</w:t>
                  </w:r>
                </w:p>
              </w:tc>
              <w:tc>
                <w:tcPr>
                  <w:tcW w:w="1163" w:type="dxa"/>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2</w:t>
                  </w:r>
                </w:p>
              </w:tc>
              <w:tc>
                <w:tcPr>
                  <w:tcW w:w="1383" w:type="dxa"/>
                  <w:vAlign w:val="center"/>
                </w:tcPr>
                <w:p>
                  <w:pPr>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2</w:t>
                  </w:r>
                </w:p>
              </w:tc>
              <w:tc>
                <w:tcPr>
                  <w:tcW w:w="1163" w:type="dxa"/>
                  <w:vMerge w:val="continue"/>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2" w:hRule="atLeast"/>
                <w:jc w:val="center"/>
              </w:trPr>
              <w:tc>
                <w:tcPr>
                  <w:tcW w:w="798" w:type="dxa"/>
                  <w:vAlign w:val="center"/>
                </w:tcPr>
                <w:p>
                  <w:pPr>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10</w:t>
                  </w:r>
                </w:p>
              </w:tc>
              <w:tc>
                <w:tcPr>
                  <w:tcW w:w="2023" w:type="dxa"/>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氮气</w:t>
                  </w:r>
                </w:p>
              </w:tc>
              <w:tc>
                <w:tcPr>
                  <w:tcW w:w="1548" w:type="dxa"/>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w:t>
                  </w:r>
                </w:p>
              </w:tc>
              <w:tc>
                <w:tcPr>
                  <w:tcW w:w="1179" w:type="dxa"/>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300m</w:t>
                  </w:r>
                  <w:r>
                    <w:rPr>
                      <w:rFonts w:hint="default" w:ascii="Times New Roman" w:hAnsi="Times New Roman" w:eastAsia="宋体" w:cs="Times New Roman"/>
                      <w:color w:val="000000" w:themeColor="text1"/>
                      <w:sz w:val="21"/>
                      <w:szCs w:val="21"/>
                      <w:vertAlign w:val="superscript"/>
                      <w14:textFill>
                        <w14:solidFill>
                          <w14:schemeClr w14:val="tx1"/>
                        </w14:solidFill>
                      </w14:textFill>
                    </w:rPr>
                    <w:t>3</w:t>
                  </w:r>
                </w:p>
              </w:tc>
              <w:tc>
                <w:tcPr>
                  <w:tcW w:w="1163" w:type="dxa"/>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300m</w:t>
                  </w:r>
                  <w:r>
                    <w:rPr>
                      <w:rFonts w:hint="default" w:ascii="Times New Roman" w:hAnsi="Times New Roman" w:eastAsia="宋体" w:cs="Times New Roman"/>
                      <w:color w:val="000000" w:themeColor="text1"/>
                      <w:sz w:val="21"/>
                      <w:szCs w:val="21"/>
                      <w:vertAlign w:val="superscript"/>
                      <w14:textFill>
                        <w14:solidFill>
                          <w14:schemeClr w14:val="tx1"/>
                        </w14:solidFill>
                      </w14:textFill>
                    </w:rPr>
                    <w:t>3</w:t>
                  </w:r>
                </w:p>
              </w:tc>
              <w:tc>
                <w:tcPr>
                  <w:tcW w:w="1383" w:type="dxa"/>
                  <w:vAlign w:val="center"/>
                </w:tcPr>
                <w:p>
                  <w:pPr>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300m</w:t>
                  </w:r>
                  <w:r>
                    <w:rPr>
                      <w:rFonts w:hint="default" w:ascii="Times New Roman" w:hAnsi="Times New Roman" w:eastAsia="宋体" w:cs="Times New Roman"/>
                      <w:color w:val="000000" w:themeColor="text1"/>
                      <w:sz w:val="21"/>
                      <w:szCs w:val="21"/>
                      <w:highlight w:val="none"/>
                      <w:vertAlign w:val="superscript"/>
                      <w14:textFill>
                        <w14:solidFill>
                          <w14:schemeClr w14:val="tx1"/>
                        </w14:solidFill>
                      </w14:textFill>
                    </w:rPr>
                    <w:t>3</w:t>
                  </w:r>
                </w:p>
              </w:tc>
              <w:tc>
                <w:tcPr>
                  <w:tcW w:w="1163" w:type="dxa"/>
                  <w:vMerge w:val="restart"/>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不在本次验收范围</w:t>
                  </w:r>
                </w:p>
                <w:p>
                  <w:pPr>
                    <w:jc w:val="center"/>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2" w:hRule="atLeast"/>
                <w:jc w:val="center"/>
              </w:trPr>
              <w:tc>
                <w:tcPr>
                  <w:tcW w:w="798" w:type="dxa"/>
                  <w:vAlign w:val="center"/>
                </w:tcPr>
                <w:p>
                  <w:pPr>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11</w:t>
                  </w:r>
                </w:p>
              </w:tc>
              <w:tc>
                <w:tcPr>
                  <w:tcW w:w="2023" w:type="dxa"/>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白刚玉砂</w:t>
                  </w:r>
                </w:p>
              </w:tc>
              <w:tc>
                <w:tcPr>
                  <w:tcW w:w="1548" w:type="dxa"/>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AL</w:t>
                  </w:r>
                  <w:r>
                    <w:rPr>
                      <w:rFonts w:hint="default" w:ascii="Times New Roman" w:hAnsi="Times New Roman" w:eastAsia="宋体" w:cs="Times New Roman"/>
                      <w:color w:val="000000" w:themeColor="text1"/>
                      <w:sz w:val="21"/>
                      <w:szCs w:val="21"/>
                      <w:vertAlign w:val="subscript"/>
                      <w14:textFill>
                        <w14:solidFill>
                          <w14:schemeClr w14:val="tx1"/>
                        </w14:solidFill>
                      </w14:textFill>
                    </w:rPr>
                    <w:t>2</w:t>
                  </w:r>
                  <w:r>
                    <w:rPr>
                      <w:rFonts w:hint="default" w:ascii="Times New Roman" w:hAnsi="Times New Roman" w:eastAsia="宋体" w:cs="Times New Roman"/>
                      <w:color w:val="000000" w:themeColor="text1"/>
                      <w:sz w:val="21"/>
                      <w:szCs w:val="21"/>
                      <w14:textFill>
                        <w14:solidFill>
                          <w14:schemeClr w14:val="tx1"/>
                        </w14:solidFill>
                      </w14:textFill>
                    </w:rPr>
                    <w:t>O</w:t>
                  </w:r>
                  <w:r>
                    <w:rPr>
                      <w:rFonts w:hint="default" w:ascii="Times New Roman" w:hAnsi="Times New Roman" w:eastAsia="宋体" w:cs="Times New Roman"/>
                      <w:color w:val="000000" w:themeColor="text1"/>
                      <w:sz w:val="21"/>
                      <w:szCs w:val="21"/>
                      <w:vertAlign w:val="subscript"/>
                      <w14:textFill>
                        <w14:solidFill>
                          <w14:schemeClr w14:val="tx1"/>
                        </w14:solidFill>
                      </w14:textFill>
                    </w:rPr>
                    <w:t>3</w:t>
                  </w:r>
                </w:p>
              </w:tc>
              <w:tc>
                <w:tcPr>
                  <w:tcW w:w="1179" w:type="dxa"/>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2</w:t>
                  </w:r>
                </w:p>
              </w:tc>
              <w:tc>
                <w:tcPr>
                  <w:tcW w:w="1163" w:type="dxa"/>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2</w:t>
                  </w:r>
                </w:p>
              </w:tc>
              <w:tc>
                <w:tcPr>
                  <w:tcW w:w="1383" w:type="dxa"/>
                  <w:vAlign w:val="center"/>
                </w:tcPr>
                <w:p>
                  <w:pPr>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2</w:t>
                  </w:r>
                </w:p>
              </w:tc>
              <w:tc>
                <w:tcPr>
                  <w:tcW w:w="1163" w:type="dxa"/>
                  <w:vMerge w:val="continue"/>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2" w:hRule="atLeast"/>
                <w:jc w:val="center"/>
              </w:trPr>
              <w:tc>
                <w:tcPr>
                  <w:tcW w:w="798" w:type="dxa"/>
                  <w:vAlign w:val="center"/>
                </w:tcPr>
                <w:p>
                  <w:pPr>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12</w:t>
                  </w:r>
                </w:p>
              </w:tc>
              <w:tc>
                <w:tcPr>
                  <w:tcW w:w="2023" w:type="dxa"/>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钢丸</w:t>
                  </w:r>
                </w:p>
              </w:tc>
              <w:tc>
                <w:tcPr>
                  <w:tcW w:w="1548" w:type="dxa"/>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不锈钢</w:t>
                  </w:r>
                </w:p>
              </w:tc>
              <w:tc>
                <w:tcPr>
                  <w:tcW w:w="1179" w:type="dxa"/>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10</w:t>
                  </w:r>
                </w:p>
              </w:tc>
              <w:tc>
                <w:tcPr>
                  <w:tcW w:w="1163" w:type="dxa"/>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10</w:t>
                  </w:r>
                </w:p>
              </w:tc>
              <w:tc>
                <w:tcPr>
                  <w:tcW w:w="1383" w:type="dxa"/>
                  <w:vAlign w:val="center"/>
                </w:tcPr>
                <w:p>
                  <w:pPr>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10</w:t>
                  </w:r>
                </w:p>
              </w:tc>
              <w:tc>
                <w:tcPr>
                  <w:tcW w:w="1163" w:type="dxa"/>
                  <w:vMerge w:val="continue"/>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2" w:hRule="atLeast"/>
                <w:jc w:val="center"/>
              </w:trPr>
              <w:tc>
                <w:tcPr>
                  <w:tcW w:w="798" w:type="dxa"/>
                  <w:vAlign w:val="center"/>
                </w:tcPr>
                <w:p>
                  <w:pPr>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13</w:t>
                  </w:r>
                </w:p>
              </w:tc>
              <w:tc>
                <w:tcPr>
                  <w:tcW w:w="2023" w:type="dxa"/>
                  <w:vAlign w:val="center"/>
                </w:tcPr>
                <w:p>
                  <w:pPr>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三乙胺</w:t>
                  </w:r>
                </w:p>
              </w:tc>
              <w:tc>
                <w:tcPr>
                  <w:tcW w:w="1548" w:type="dxa"/>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w:t>
                  </w:r>
                </w:p>
              </w:tc>
              <w:tc>
                <w:tcPr>
                  <w:tcW w:w="1179" w:type="dxa"/>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20</w:t>
                  </w:r>
                </w:p>
              </w:tc>
              <w:tc>
                <w:tcPr>
                  <w:tcW w:w="1163" w:type="dxa"/>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20</w:t>
                  </w:r>
                </w:p>
              </w:tc>
              <w:tc>
                <w:tcPr>
                  <w:tcW w:w="1383" w:type="dxa"/>
                  <w:vAlign w:val="center"/>
                </w:tcPr>
                <w:p>
                  <w:pPr>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20</w:t>
                  </w:r>
                </w:p>
              </w:tc>
              <w:tc>
                <w:tcPr>
                  <w:tcW w:w="1163" w:type="dxa"/>
                  <w:vMerge w:val="continue"/>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06" w:hRule="atLeast"/>
                <w:jc w:val="center"/>
              </w:trPr>
              <w:tc>
                <w:tcPr>
                  <w:tcW w:w="798" w:type="dxa"/>
                  <w:vAlign w:val="center"/>
                </w:tcPr>
                <w:p>
                  <w:pPr>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14</w:t>
                  </w:r>
                </w:p>
              </w:tc>
              <w:tc>
                <w:tcPr>
                  <w:tcW w:w="2023" w:type="dxa"/>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机油</w:t>
                  </w:r>
                </w:p>
              </w:tc>
              <w:tc>
                <w:tcPr>
                  <w:tcW w:w="1548" w:type="dxa"/>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w:t>
                  </w:r>
                </w:p>
              </w:tc>
              <w:tc>
                <w:tcPr>
                  <w:tcW w:w="1179" w:type="dxa"/>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20</w:t>
                  </w:r>
                </w:p>
              </w:tc>
              <w:tc>
                <w:tcPr>
                  <w:tcW w:w="1163" w:type="dxa"/>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20</w:t>
                  </w:r>
                </w:p>
              </w:tc>
              <w:tc>
                <w:tcPr>
                  <w:tcW w:w="1383" w:type="dxa"/>
                  <w:vAlign w:val="center"/>
                </w:tcPr>
                <w:p>
                  <w:pPr>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20</w:t>
                  </w:r>
                </w:p>
              </w:tc>
              <w:tc>
                <w:tcPr>
                  <w:tcW w:w="1163" w:type="dxa"/>
                  <w:vMerge w:val="continue"/>
                  <w:vAlign w:val="center"/>
                </w:tcPr>
                <w:p>
                  <w:pPr>
                    <w:jc w:val="center"/>
                    <w:rPr>
                      <w:rFonts w:hint="eastAsia" w:ascii="Times New Roman" w:hAnsi="Times New Roman" w:eastAsia="宋体" w:cs="Times New Roman"/>
                      <w:color w:val="000000" w:themeColor="text1"/>
                      <w:sz w:val="21"/>
                      <w:szCs w:val="21"/>
                      <w:lang w:val="en-US" w:eastAsia="zh-CN"/>
                      <w14:textFill>
                        <w14:solidFill>
                          <w14:schemeClr w14:val="tx1"/>
                        </w14:solidFill>
                      </w14:textFill>
                    </w:rPr>
                  </w:pPr>
                </w:p>
              </w:tc>
            </w:tr>
          </w:tbl>
          <w:p>
            <w:pPr>
              <w:spacing w:line="360" w:lineRule="auto"/>
              <w:rPr>
                <w:rFonts w:hint="eastAsia" w:ascii="Times New Roman" w:hAnsi="Times New Roman" w:cs="Times New Roman"/>
                <w:color w:val="auto"/>
                <w:sz w:val="24"/>
                <w:highlight w:val="none"/>
                <w:lang w:val="en-US" w:eastAsia="zh-CN"/>
              </w:rPr>
            </w:pPr>
            <w:r>
              <w:rPr>
                <w:rFonts w:hint="eastAsia" w:ascii="Times New Roman" w:hAnsi="Times New Roman" w:cs="Times New Roman"/>
                <w:color w:val="auto"/>
                <w:sz w:val="24"/>
                <w:highlight w:val="none"/>
                <w:lang w:val="en-US" w:eastAsia="zh-CN"/>
              </w:rPr>
              <w:t xml:space="preserve">主要原辅材料理化性质： </w:t>
            </w:r>
          </w:p>
          <w:p>
            <w:pPr>
              <w:spacing w:line="360" w:lineRule="auto"/>
              <w:ind w:firstLine="480" w:firstLineChars="200"/>
              <w:rPr>
                <w:rFonts w:hint="eastAsia" w:ascii="宋体" w:hAnsi="宋体"/>
                <w:b/>
                <w:sz w:val="28"/>
                <w:szCs w:val="28"/>
                <w:highlight w:val="none"/>
              </w:rPr>
            </w:pPr>
            <w:r>
              <w:rPr>
                <w:rFonts w:hint="eastAsia" w:ascii="Times New Roman" w:hAnsi="Times New Roman" w:cs="Times New Roman"/>
                <w:color w:val="auto"/>
                <w:sz w:val="24"/>
                <w:highlight w:val="none"/>
                <w:lang w:val="en-US" w:eastAsia="zh-CN"/>
              </w:rPr>
              <w:t>脱模剂：主要成分矿物油、合成油脂、石蜡、硅油、乳化剂、添加剂、水等。水性乳液脱模剂，外观乳白色液体，一种用在模具与铸件表面的一个界面涂层，可使铸件易于脱离、光滑及洁净，使用时以水稀释，喷雾、涂布或抛光方式，具有稳定性高，无腐蚀、无毒、安全性高等特点</w:t>
            </w:r>
            <w:r>
              <w:rPr>
                <w:rFonts w:hint="eastAsia" w:cs="Times New Roman"/>
                <w:color w:val="auto"/>
                <w:sz w:val="24"/>
                <w:highlight w:val="none"/>
                <w:lang w:val="en-US" w:eastAsia="zh-CN"/>
              </w:rPr>
              <w:t>。</w:t>
            </w:r>
          </w:p>
          <w:p>
            <w:pPr>
              <w:spacing w:line="360" w:lineRule="auto"/>
              <w:jc w:val="left"/>
              <w:rPr>
                <w:rFonts w:hint="eastAsia" w:ascii="宋体" w:hAnsi="宋体"/>
                <w:b/>
                <w:sz w:val="28"/>
                <w:szCs w:val="28"/>
                <w:highlight w:val="yellow"/>
              </w:rPr>
            </w:pPr>
            <w:r>
              <w:rPr>
                <w:rFonts w:hint="eastAsia" w:ascii="宋体" w:hAnsi="宋体"/>
                <w:b/>
                <w:sz w:val="28"/>
                <w:szCs w:val="28"/>
              </w:rPr>
              <w:t>2、主要设备</w:t>
            </w:r>
          </w:p>
          <w:p>
            <w:pPr>
              <w:spacing w:line="360" w:lineRule="auto"/>
              <w:jc w:val="center"/>
              <w:rPr>
                <w:rFonts w:hint="eastAsia" w:ascii="宋体" w:hAnsi="宋体"/>
                <w:b/>
                <w:sz w:val="24"/>
                <w:highlight w:val="none"/>
              </w:rPr>
            </w:pPr>
            <w:bookmarkStart w:id="3" w:name="_Hlk22905781"/>
            <w:r>
              <w:rPr>
                <w:rFonts w:hint="eastAsia" w:ascii="宋体" w:hAnsi="宋体"/>
                <w:b/>
                <w:sz w:val="24"/>
                <w:highlight w:val="none"/>
              </w:rPr>
              <w:t>表2</w:t>
            </w:r>
            <w:r>
              <w:rPr>
                <w:rFonts w:ascii="宋体" w:hAnsi="宋体"/>
                <w:b/>
                <w:sz w:val="24"/>
                <w:highlight w:val="none"/>
              </w:rPr>
              <w:t>-</w:t>
            </w:r>
            <w:r>
              <w:rPr>
                <w:rFonts w:hint="eastAsia" w:ascii="宋体" w:hAnsi="宋体"/>
                <w:b/>
                <w:sz w:val="24"/>
                <w:highlight w:val="none"/>
                <w:lang w:val="en-US" w:eastAsia="zh-CN"/>
              </w:rPr>
              <w:t>4</w:t>
            </w:r>
            <w:r>
              <w:rPr>
                <w:rFonts w:hint="eastAsia" w:ascii="宋体" w:hAnsi="宋体"/>
                <w:b/>
                <w:sz w:val="24"/>
                <w:highlight w:val="none"/>
              </w:rPr>
              <w:tab/>
            </w:r>
            <w:r>
              <w:rPr>
                <w:rFonts w:hint="eastAsia" w:ascii="宋体" w:hAnsi="宋体"/>
                <w:b/>
                <w:sz w:val="24"/>
                <w:highlight w:val="none"/>
              </w:rPr>
              <w:t>项目</w:t>
            </w:r>
            <w:bookmarkStart w:id="4" w:name="_Hlk20139463"/>
            <w:r>
              <w:rPr>
                <w:rFonts w:hint="eastAsia" w:ascii="宋体" w:hAnsi="宋体"/>
                <w:b/>
                <w:sz w:val="24"/>
                <w:highlight w:val="none"/>
              </w:rPr>
              <w:t>设备清单</w:t>
            </w:r>
            <w:bookmarkEnd w:id="4"/>
          </w:p>
          <w:tbl>
            <w:tblPr>
              <w:tblStyle w:val="32"/>
              <w:tblW w:w="9218"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544"/>
              <w:gridCol w:w="762"/>
              <w:gridCol w:w="2979"/>
              <w:gridCol w:w="1330"/>
              <w:gridCol w:w="1346"/>
              <w:gridCol w:w="1186"/>
              <w:gridCol w:w="1071"/>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544" w:type="dxa"/>
                  <w:vMerge w:val="restart"/>
                  <w:vAlign w:val="center"/>
                </w:tcPr>
                <w:p>
                  <w:pPr>
                    <w:jc w:val="center"/>
                    <w:rPr>
                      <w:rFonts w:hint="default" w:ascii="Times New Roman" w:hAnsi="Times New Roman" w:eastAsia="宋体" w:cs="Times New Roman"/>
                      <w:b/>
                      <w:color w:val="000000" w:themeColor="text1"/>
                      <w:sz w:val="21"/>
                      <w:szCs w:val="21"/>
                      <w14:textFill>
                        <w14:solidFill>
                          <w14:schemeClr w14:val="tx1"/>
                        </w14:solidFill>
                      </w14:textFill>
                    </w:rPr>
                  </w:pPr>
                  <w:r>
                    <w:rPr>
                      <w:rFonts w:hint="default" w:ascii="Times New Roman" w:hAnsi="Times New Roman" w:eastAsia="宋体" w:cs="Times New Roman"/>
                      <w:b/>
                      <w:color w:val="000000" w:themeColor="text1"/>
                      <w:sz w:val="21"/>
                      <w:szCs w:val="21"/>
                      <w14:textFill>
                        <w14:solidFill>
                          <w14:schemeClr w14:val="tx1"/>
                        </w14:solidFill>
                      </w14:textFill>
                    </w:rPr>
                    <w:t>序号</w:t>
                  </w:r>
                </w:p>
              </w:tc>
              <w:tc>
                <w:tcPr>
                  <w:tcW w:w="762" w:type="dxa"/>
                  <w:vMerge w:val="restart"/>
                  <w:vAlign w:val="center"/>
                </w:tcPr>
                <w:p>
                  <w:pPr>
                    <w:jc w:val="center"/>
                    <w:rPr>
                      <w:rFonts w:hint="default" w:ascii="Times New Roman" w:hAnsi="Times New Roman" w:eastAsia="宋体" w:cs="Times New Roman"/>
                      <w:b/>
                      <w:color w:val="000000" w:themeColor="text1"/>
                      <w:sz w:val="21"/>
                      <w:szCs w:val="21"/>
                      <w14:textFill>
                        <w14:solidFill>
                          <w14:schemeClr w14:val="tx1"/>
                        </w14:solidFill>
                      </w14:textFill>
                    </w:rPr>
                  </w:pPr>
                  <w:r>
                    <w:rPr>
                      <w:rFonts w:hint="default" w:ascii="Times New Roman" w:hAnsi="Times New Roman" w:eastAsia="宋体" w:cs="Times New Roman"/>
                      <w:b/>
                      <w:color w:val="000000" w:themeColor="text1"/>
                      <w:sz w:val="21"/>
                      <w:szCs w:val="21"/>
                      <w14:textFill>
                        <w14:solidFill>
                          <w14:schemeClr w14:val="tx1"/>
                        </w14:solidFill>
                      </w14:textFill>
                    </w:rPr>
                    <w:t>单元</w:t>
                  </w:r>
                </w:p>
              </w:tc>
              <w:tc>
                <w:tcPr>
                  <w:tcW w:w="2979" w:type="dxa"/>
                  <w:vMerge w:val="restart"/>
                  <w:vAlign w:val="center"/>
                </w:tcPr>
                <w:p>
                  <w:pPr>
                    <w:jc w:val="center"/>
                    <w:rPr>
                      <w:rFonts w:hint="default" w:ascii="Times New Roman" w:hAnsi="Times New Roman" w:eastAsia="宋体" w:cs="Times New Roman"/>
                      <w:b/>
                      <w:color w:val="000000" w:themeColor="text1"/>
                      <w:sz w:val="21"/>
                      <w:szCs w:val="21"/>
                      <w14:textFill>
                        <w14:solidFill>
                          <w14:schemeClr w14:val="tx1"/>
                        </w14:solidFill>
                      </w14:textFill>
                    </w:rPr>
                  </w:pPr>
                  <w:r>
                    <w:rPr>
                      <w:rFonts w:hint="default" w:ascii="Times New Roman" w:hAnsi="Times New Roman" w:eastAsia="宋体" w:cs="Times New Roman"/>
                      <w:b/>
                      <w:color w:val="000000" w:themeColor="text1"/>
                      <w:sz w:val="21"/>
                      <w:szCs w:val="21"/>
                      <w14:textFill>
                        <w14:solidFill>
                          <w14:schemeClr w14:val="tx1"/>
                        </w14:solidFill>
                      </w14:textFill>
                    </w:rPr>
                    <w:t>设备名称</w:t>
                  </w:r>
                </w:p>
              </w:tc>
              <w:tc>
                <w:tcPr>
                  <w:tcW w:w="3862" w:type="dxa"/>
                  <w:gridSpan w:val="3"/>
                  <w:vAlign w:val="center"/>
                </w:tcPr>
                <w:p>
                  <w:pPr>
                    <w:jc w:val="center"/>
                    <w:rPr>
                      <w:rFonts w:hint="default" w:ascii="Times New Roman" w:hAnsi="Times New Roman" w:eastAsia="宋体" w:cs="Times New Roman"/>
                      <w:b/>
                      <w:color w:val="000000" w:themeColor="text1"/>
                      <w:sz w:val="21"/>
                      <w:szCs w:val="21"/>
                      <w14:textFill>
                        <w14:solidFill>
                          <w14:schemeClr w14:val="tx1"/>
                        </w14:solidFill>
                      </w14:textFill>
                    </w:rPr>
                  </w:pPr>
                  <w:r>
                    <w:rPr>
                      <w:rFonts w:hint="default" w:ascii="Times New Roman" w:hAnsi="Times New Roman" w:eastAsia="宋体" w:cs="Times New Roman"/>
                      <w:b/>
                      <w:color w:val="000000" w:themeColor="text1"/>
                      <w:sz w:val="21"/>
                      <w:szCs w:val="21"/>
                      <w14:textFill>
                        <w14:solidFill>
                          <w14:schemeClr w14:val="tx1"/>
                        </w14:solidFill>
                      </w14:textFill>
                    </w:rPr>
                    <w:t>数量（台/套）</w:t>
                  </w:r>
                </w:p>
              </w:tc>
              <w:tc>
                <w:tcPr>
                  <w:tcW w:w="1071" w:type="dxa"/>
                  <w:vMerge w:val="restart"/>
                  <w:vAlign w:val="center"/>
                </w:tcPr>
                <w:p>
                  <w:pPr>
                    <w:jc w:val="center"/>
                    <w:rPr>
                      <w:rFonts w:hint="default" w:ascii="Times New Roman" w:hAnsi="Times New Roman" w:eastAsia="宋体" w:cs="Times New Roman"/>
                      <w:b/>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b/>
                      <w:color w:val="000000" w:themeColor="text1"/>
                      <w:sz w:val="21"/>
                      <w:szCs w:val="21"/>
                      <w:lang w:val="en-US" w:eastAsia="zh-CN"/>
                      <w14:textFill>
                        <w14:solidFill>
                          <w14:schemeClr w14:val="tx1"/>
                        </w14:solidFill>
                      </w14:textFill>
                    </w:rPr>
                    <w:t>备注</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544" w:type="dxa"/>
                  <w:vMerge w:val="continue"/>
                  <w:vAlign w:val="center"/>
                </w:tcPr>
                <w:p>
                  <w:pPr>
                    <w:jc w:val="center"/>
                    <w:rPr>
                      <w:rFonts w:hint="default" w:ascii="Times New Roman" w:hAnsi="Times New Roman" w:eastAsia="宋体" w:cs="Times New Roman"/>
                      <w:b/>
                      <w:color w:val="000000" w:themeColor="text1"/>
                      <w:sz w:val="21"/>
                      <w:szCs w:val="21"/>
                      <w14:textFill>
                        <w14:solidFill>
                          <w14:schemeClr w14:val="tx1"/>
                        </w14:solidFill>
                      </w14:textFill>
                    </w:rPr>
                  </w:pPr>
                </w:p>
              </w:tc>
              <w:tc>
                <w:tcPr>
                  <w:tcW w:w="762" w:type="dxa"/>
                  <w:vMerge w:val="continue"/>
                  <w:vAlign w:val="center"/>
                </w:tcPr>
                <w:p>
                  <w:pPr>
                    <w:jc w:val="center"/>
                    <w:rPr>
                      <w:rFonts w:hint="default" w:ascii="Times New Roman" w:hAnsi="Times New Roman" w:eastAsia="宋体" w:cs="Times New Roman"/>
                      <w:b/>
                      <w:color w:val="000000" w:themeColor="text1"/>
                      <w:sz w:val="21"/>
                      <w:szCs w:val="21"/>
                      <w14:textFill>
                        <w14:solidFill>
                          <w14:schemeClr w14:val="tx1"/>
                        </w14:solidFill>
                      </w14:textFill>
                    </w:rPr>
                  </w:pPr>
                </w:p>
              </w:tc>
              <w:tc>
                <w:tcPr>
                  <w:tcW w:w="2979" w:type="dxa"/>
                  <w:vMerge w:val="continue"/>
                  <w:vAlign w:val="center"/>
                </w:tcPr>
                <w:p>
                  <w:pPr>
                    <w:jc w:val="center"/>
                    <w:rPr>
                      <w:rFonts w:hint="default" w:ascii="Times New Roman" w:hAnsi="Times New Roman" w:eastAsia="宋体" w:cs="Times New Roman"/>
                      <w:b/>
                      <w:color w:val="000000" w:themeColor="text1"/>
                      <w:sz w:val="21"/>
                      <w:szCs w:val="21"/>
                      <w14:textFill>
                        <w14:solidFill>
                          <w14:schemeClr w14:val="tx1"/>
                        </w14:solidFill>
                      </w14:textFill>
                    </w:rPr>
                  </w:pPr>
                </w:p>
              </w:tc>
              <w:tc>
                <w:tcPr>
                  <w:tcW w:w="1330" w:type="dxa"/>
                  <w:vAlign w:val="center"/>
                </w:tcPr>
                <w:p>
                  <w:pPr>
                    <w:jc w:val="center"/>
                    <w:rPr>
                      <w:rFonts w:hint="default" w:ascii="Times New Roman" w:hAnsi="Times New Roman" w:eastAsia="宋体" w:cs="Times New Roman"/>
                      <w:b/>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b/>
                      <w:color w:val="000000" w:themeColor="text1"/>
                      <w:sz w:val="21"/>
                      <w:szCs w:val="21"/>
                      <w:lang w:val="en-US" w:eastAsia="zh-CN"/>
                      <w14:textFill>
                        <w14:solidFill>
                          <w14:schemeClr w14:val="tx1"/>
                        </w14:solidFill>
                      </w14:textFill>
                    </w:rPr>
                    <w:t>原有数量</w:t>
                  </w:r>
                </w:p>
              </w:tc>
              <w:tc>
                <w:tcPr>
                  <w:tcW w:w="1346" w:type="dxa"/>
                  <w:vAlign w:val="center"/>
                </w:tcPr>
                <w:p>
                  <w:pPr>
                    <w:jc w:val="center"/>
                    <w:rPr>
                      <w:rFonts w:hint="default" w:ascii="Times New Roman" w:hAnsi="Times New Roman" w:eastAsia="宋体" w:cs="Times New Roman"/>
                      <w:b/>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b/>
                      <w:color w:val="000000" w:themeColor="text1"/>
                      <w:sz w:val="21"/>
                      <w:szCs w:val="21"/>
                      <w14:textFill>
                        <w14:solidFill>
                          <w14:schemeClr w14:val="tx1"/>
                        </w14:solidFill>
                      </w14:textFill>
                    </w:rPr>
                    <w:t>技改后</w:t>
                  </w:r>
                  <w:r>
                    <w:rPr>
                      <w:rFonts w:hint="default" w:ascii="Times New Roman" w:hAnsi="Times New Roman" w:eastAsia="宋体" w:cs="Times New Roman"/>
                      <w:b/>
                      <w:color w:val="000000" w:themeColor="text1"/>
                      <w:sz w:val="21"/>
                      <w:szCs w:val="21"/>
                      <w:lang w:val="en-US" w:eastAsia="zh-CN"/>
                      <w14:textFill>
                        <w14:solidFill>
                          <w14:schemeClr w14:val="tx1"/>
                        </w14:solidFill>
                      </w14:textFill>
                    </w:rPr>
                    <w:t>环评数量</w:t>
                  </w:r>
                </w:p>
              </w:tc>
              <w:tc>
                <w:tcPr>
                  <w:tcW w:w="1186" w:type="dxa"/>
                  <w:vAlign w:val="center"/>
                </w:tcPr>
                <w:p>
                  <w:pPr>
                    <w:jc w:val="center"/>
                    <w:rPr>
                      <w:rFonts w:hint="default" w:ascii="Times New Roman" w:hAnsi="Times New Roman" w:eastAsia="宋体" w:cs="Times New Roman"/>
                      <w:b/>
                      <w:color w:val="000000" w:themeColor="text1"/>
                      <w:sz w:val="21"/>
                      <w:szCs w:val="21"/>
                      <w:highlight w:val="none"/>
                      <w14:textFill>
                        <w14:solidFill>
                          <w14:schemeClr w14:val="tx1"/>
                        </w14:solidFill>
                      </w14:textFill>
                    </w:rPr>
                  </w:pPr>
                  <w:r>
                    <w:rPr>
                      <w:rFonts w:hint="default" w:ascii="Times New Roman" w:hAnsi="Times New Roman" w:eastAsia="宋体" w:cs="Times New Roman"/>
                      <w:b/>
                      <w:color w:val="000000" w:themeColor="text1"/>
                      <w:sz w:val="21"/>
                      <w:szCs w:val="21"/>
                      <w:highlight w:val="none"/>
                      <w14:textFill>
                        <w14:solidFill>
                          <w14:schemeClr w14:val="tx1"/>
                        </w14:solidFill>
                      </w14:textFill>
                    </w:rPr>
                    <w:t>技改后</w:t>
                  </w:r>
                  <w:r>
                    <w:rPr>
                      <w:rFonts w:hint="default" w:ascii="Times New Roman" w:hAnsi="Times New Roman" w:eastAsia="宋体" w:cs="Times New Roman"/>
                      <w:b/>
                      <w:color w:val="000000" w:themeColor="text1"/>
                      <w:sz w:val="21"/>
                      <w:szCs w:val="21"/>
                      <w:highlight w:val="none"/>
                      <w:lang w:val="en-US" w:eastAsia="zh-CN"/>
                      <w14:textFill>
                        <w14:solidFill>
                          <w14:schemeClr w14:val="tx1"/>
                        </w14:solidFill>
                      </w14:textFill>
                    </w:rPr>
                    <w:t>实际数量</w:t>
                  </w:r>
                </w:p>
              </w:tc>
              <w:tc>
                <w:tcPr>
                  <w:tcW w:w="1071" w:type="dxa"/>
                  <w:vMerge w:val="continue"/>
                  <w:vAlign w:val="center"/>
                </w:tcPr>
                <w:p>
                  <w:pPr>
                    <w:jc w:val="center"/>
                    <w:rPr>
                      <w:rFonts w:hint="default" w:ascii="Times New Roman" w:hAnsi="Times New Roman" w:eastAsia="宋体" w:cs="Times New Roman"/>
                      <w:b/>
                      <w:color w:val="000000" w:themeColor="text1"/>
                      <w:sz w:val="21"/>
                      <w:szCs w:val="21"/>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544" w:type="dxa"/>
                  <w:vMerge w:val="restart"/>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1</w:t>
                  </w:r>
                </w:p>
              </w:tc>
              <w:tc>
                <w:tcPr>
                  <w:tcW w:w="762" w:type="dxa"/>
                  <w:vMerge w:val="restart"/>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铸造工部</w:t>
                  </w:r>
                </w:p>
              </w:tc>
              <w:tc>
                <w:tcPr>
                  <w:tcW w:w="2979" w:type="dxa"/>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缸盖重力铸造机</w:t>
                  </w:r>
                </w:p>
              </w:tc>
              <w:tc>
                <w:tcPr>
                  <w:tcW w:w="1330" w:type="dxa"/>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18</w:t>
                  </w:r>
                </w:p>
              </w:tc>
              <w:tc>
                <w:tcPr>
                  <w:tcW w:w="1346" w:type="dxa"/>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18</w:t>
                  </w:r>
                </w:p>
              </w:tc>
              <w:tc>
                <w:tcPr>
                  <w:tcW w:w="1186" w:type="dxa"/>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18</w:t>
                  </w:r>
                </w:p>
              </w:tc>
              <w:tc>
                <w:tcPr>
                  <w:tcW w:w="1071" w:type="dxa"/>
                  <w:vMerge w:val="restart"/>
                  <w:vAlign w:val="center"/>
                </w:tcPr>
                <w:p>
                  <w:pPr>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原有项目设备，不在本次验收范围内</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544" w:type="dxa"/>
                  <w:vMerge w:val="continue"/>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p>
              </w:tc>
              <w:tc>
                <w:tcPr>
                  <w:tcW w:w="762" w:type="dxa"/>
                  <w:vMerge w:val="continue"/>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p>
              </w:tc>
              <w:tc>
                <w:tcPr>
                  <w:tcW w:w="2979" w:type="dxa"/>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CL3直行机器人浇注系统</w:t>
                  </w:r>
                </w:p>
              </w:tc>
              <w:tc>
                <w:tcPr>
                  <w:tcW w:w="1330" w:type="dxa"/>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8</w:t>
                  </w:r>
                </w:p>
              </w:tc>
              <w:tc>
                <w:tcPr>
                  <w:tcW w:w="1346" w:type="dxa"/>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8</w:t>
                  </w:r>
                </w:p>
              </w:tc>
              <w:tc>
                <w:tcPr>
                  <w:tcW w:w="1186" w:type="dxa"/>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8</w:t>
                  </w:r>
                </w:p>
              </w:tc>
              <w:tc>
                <w:tcPr>
                  <w:tcW w:w="1071" w:type="dxa"/>
                  <w:vMerge w:val="continue"/>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544" w:type="dxa"/>
                  <w:vMerge w:val="continue"/>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p>
              </w:tc>
              <w:tc>
                <w:tcPr>
                  <w:tcW w:w="762" w:type="dxa"/>
                  <w:vMerge w:val="continue"/>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p>
              </w:tc>
              <w:tc>
                <w:tcPr>
                  <w:tcW w:w="2979" w:type="dxa"/>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取件机器人及专用夹具</w:t>
                  </w:r>
                </w:p>
              </w:tc>
              <w:tc>
                <w:tcPr>
                  <w:tcW w:w="1330" w:type="dxa"/>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6</w:t>
                  </w:r>
                </w:p>
              </w:tc>
              <w:tc>
                <w:tcPr>
                  <w:tcW w:w="1346" w:type="dxa"/>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6</w:t>
                  </w:r>
                </w:p>
              </w:tc>
              <w:tc>
                <w:tcPr>
                  <w:tcW w:w="1186" w:type="dxa"/>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6</w:t>
                  </w:r>
                </w:p>
              </w:tc>
              <w:tc>
                <w:tcPr>
                  <w:tcW w:w="1071" w:type="dxa"/>
                  <w:vMerge w:val="continue"/>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544" w:type="dxa"/>
                  <w:vMerge w:val="continue"/>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p>
              </w:tc>
              <w:tc>
                <w:tcPr>
                  <w:tcW w:w="762" w:type="dxa"/>
                  <w:vMerge w:val="continue"/>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p>
              </w:tc>
              <w:tc>
                <w:tcPr>
                  <w:tcW w:w="2979" w:type="dxa"/>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电控系统</w:t>
                  </w:r>
                </w:p>
              </w:tc>
              <w:tc>
                <w:tcPr>
                  <w:tcW w:w="1330" w:type="dxa"/>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6</w:t>
                  </w:r>
                </w:p>
              </w:tc>
              <w:tc>
                <w:tcPr>
                  <w:tcW w:w="1346" w:type="dxa"/>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6</w:t>
                  </w:r>
                </w:p>
              </w:tc>
              <w:tc>
                <w:tcPr>
                  <w:tcW w:w="1186" w:type="dxa"/>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6</w:t>
                  </w:r>
                </w:p>
              </w:tc>
              <w:tc>
                <w:tcPr>
                  <w:tcW w:w="1071" w:type="dxa"/>
                  <w:vMerge w:val="continue"/>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544" w:type="dxa"/>
                  <w:vMerge w:val="continue"/>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p>
              </w:tc>
              <w:tc>
                <w:tcPr>
                  <w:tcW w:w="762" w:type="dxa"/>
                  <w:vMerge w:val="continue"/>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p>
              </w:tc>
              <w:tc>
                <w:tcPr>
                  <w:tcW w:w="2979" w:type="dxa"/>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液压工作站</w:t>
                  </w:r>
                </w:p>
              </w:tc>
              <w:tc>
                <w:tcPr>
                  <w:tcW w:w="1330" w:type="dxa"/>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6</w:t>
                  </w:r>
                </w:p>
              </w:tc>
              <w:tc>
                <w:tcPr>
                  <w:tcW w:w="1346" w:type="dxa"/>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6</w:t>
                  </w:r>
                </w:p>
              </w:tc>
              <w:tc>
                <w:tcPr>
                  <w:tcW w:w="1186" w:type="dxa"/>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6</w:t>
                  </w:r>
                </w:p>
              </w:tc>
              <w:tc>
                <w:tcPr>
                  <w:tcW w:w="1071" w:type="dxa"/>
                  <w:vMerge w:val="continue"/>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544" w:type="dxa"/>
                  <w:vMerge w:val="continue"/>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p>
              </w:tc>
              <w:tc>
                <w:tcPr>
                  <w:tcW w:w="762" w:type="dxa"/>
                  <w:vMerge w:val="continue"/>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p>
              </w:tc>
              <w:tc>
                <w:tcPr>
                  <w:tcW w:w="2979" w:type="dxa"/>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双工位2000kg加热保温炉</w:t>
                  </w:r>
                </w:p>
              </w:tc>
              <w:tc>
                <w:tcPr>
                  <w:tcW w:w="1330" w:type="dxa"/>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12</w:t>
                  </w:r>
                </w:p>
              </w:tc>
              <w:tc>
                <w:tcPr>
                  <w:tcW w:w="1346" w:type="dxa"/>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12</w:t>
                  </w:r>
                </w:p>
              </w:tc>
              <w:tc>
                <w:tcPr>
                  <w:tcW w:w="1186" w:type="dxa"/>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12</w:t>
                  </w:r>
                </w:p>
              </w:tc>
              <w:tc>
                <w:tcPr>
                  <w:tcW w:w="1071" w:type="dxa"/>
                  <w:vMerge w:val="continue"/>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544" w:type="dxa"/>
                  <w:vMerge w:val="continue"/>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p>
              </w:tc>
              <w:tc>
                <w:tcPr>
                  <w:tcW w:w="762" w:type="dxa"/>
                  <w:vMerge w:val="continue"/>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p>
              </w:tc>
              <w:tc>
                <w:tcPr>
                  <w:tcW w:w="2979" w:type="dxa"/>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进气管重力铸造机</w:t>
                  </w:r>
                </w:p>
              </w:tc>
              <w:tc>
                <w:tcPr>
                  <w:tcW w:w="1330" w:type="dxa"/>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8</w:t>
                  </w:r>
                </w:p>
              </w:tc>
              <w:tc>
                <w:tcPr>
                  <w:tcW w:w="1346" w:type="dxa"/>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8</w:t>
                  </w:r>
                </w:p>
              </w:tc>
              <w:tc>
                <w:tcPr>
                  <w:tcW w:w="1186" w:type="dxa"/>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8</w:t>
                  </w:r>
                </w:p>
              </w:tc>
              <w:tc>
                <w:tcPr>
                  <w:tcW w:w="1071" w:type="dxa"/>
                  <w:vMerge w:val="continue"/>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544" w:type="dxa"/>
                  <w:vMerge w:val="continue"/>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p>
              </w:tc>
              <w:tc>
                <w:tcPr>
                  <w:tcW w:w="762" w:type="dxa"/>
                  <w:vMerge w:val="continue"/>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p>
              </w:tc>
              <w:tc>
                <w:tcPr>
                  <w:tcW w:w="2979" w:type="dxa"/>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缸体重力铸造机</w:t>
                  </w:r>
                </w:p>
              </w:tc>
              <w:tc>
                <w:tcPr>
                  <w:tcW w:w="1330" w:type="dxa"/>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6</w:t>
                  </w:r>
                </w:p>
              </w:tc>
              <w:tc>
                <w:tcPr>
                  <w:tcW w:w="1346" w:type="dxa"/>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6</w:t>
                  </w:r>
                </w:p>
              </w:tc>
              <w:tc>
                <w:tcPr>
                  <w:tcW w:w="1186" w:type="dxa"/>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6</w:t>
                  </w:r>
                </w:p>
              </w:tc>
              <w:tc>
                <w:tcPr>
                  <w:tcW w:w="1071" w:type="dxa"/>
                  <w:vMerge w:val="continue"/>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544" w:type="dxa"/>
                  <w:vMerge w:val="continue"/>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p>
              </w:tc>
              <w:tc>
                <w:tcPr>
                  <w:tcW w:w="762" w:type="dxa"/>
                  <w:vMerge w:val="continue"/>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p>
              </w:tc>
              <w:tc>
                <w:tcPr>
                  <w:tcW w:w="2979" w:type="dxa"/>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下缸体重力铸造机</w:t>
                  </w:r>
                </w:p>
              </w:tc>
              <w:tc>
                <w:tcPr>
                  <w:tcW w:w="1330" w:type="dxa"/>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4</w:t>
                  </w:r>
                </w:p>
              </w:tc>
              <w:tc>
                <w:tcPr>
                  <w:tcW w:w="1346" w:type="dxa"/>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4</w:t>
                  </w:r>
                </w:p>
              </w:tc>
              <w:tc>
                <w:tcPr>
                  <w:tcW w:w="1186" w:type="dxa"/>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4</w:t>
                  </w:r>
                </w:p>
              </w:tc>
              <w:tc>
                <w:tcPr>
                  <w:tcW w:w="1071" w:type="dxa"/>
                  <w:vMerge w:val="continue"/>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544" w:type="dxa"/>
                  <w:vMerge w:val="continue"/>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p>
              </w:tc>
              <w:tc>
                <w:tcPr>
                  <w:tcW w:w="762" w:type="dxa"/>
                  <w:vMerge w:val="continue"/>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p>
              </w:tc>
              <w:tc>
                <w:tcPr>
                  <w:tcW w:w="2979" w:type="dxa"/>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缸盖重力铸造机</w:t>
                  </w:r>
                </w:p>
              </w:tc>
              <w:tc>
                <w:tcPr>
                  <w:tcW w:w="1330" w:type="dxa"/>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1</w:t>
                  </w:r>
                </w:p>
              </w:tc>
              <w:tc>
                <w:tcPr>
                  <w:tcW w:w="1346" w:type="dxa"/>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1</w:t>
                  </w:r>
                </w:p>
              </w:tc>
              <w:tc>
                <w:tcPr>
                  <w:tcW w:w="1186" w:type="dxa"/>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1</w:t>
                  </w:r>
                </w:p>
              </w:tc>
              <w:tc>
                <w:tcPr>
                  <w:tcW w:w="1071" w:type="dxa"/>
                  <w:vMerge w:val="continue"/>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283" w:hRule="atLeast"/>
                <w:jc w:val="center"/>
              </w:trPr>
              <w:tc>
                <w:tcPr>
                  <w:tcW w:w="544" w:type="dxa"/>
                  <w:vMerge w:val="continue"/>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p>
              </w:tc>
              <w:tc>
                <w:tcPr>
                  <w:tcW w:w="762" w:type="dxa"/>
                  <w:vMerge w:val="continue"/>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p>
              </w:tc>
              <w:tc>
                <w:tcPr>
                  <w:tcW w:w="2979" w:type="dxa"/>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500kg加热保温炉</w:t>
                  </w:r>
                </w:p>
              </w:tc>
              <w:tc>
                <w:tcPr>
                  <w:tcW w:w="1330" w:type="dxa"/>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1</w:t>
                  </w:r>
                </w:p>
              </w:tc>
              <w:tc>
                <w:tcPr>
                  <w:tcW w:w="1346" w:type="dxa"/>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1</w:t>
                  </w:r>
                </w:p>
              </w:tc>
              <w:tc>
                <w:tcPr>
                  <w:tcW w:w="1186" w:type="dxa"/>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1</w:t>
                  </w:r>
                </w:p>
              </w:tc>
              <w:tc>
                <w:tcPr>
                  <w:tcW w:w="1071" w:type="dxa"/>
                  <w:vMerge w:val="continue"/>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544" w:type="dxa"/>
                  <w:vMerge w:val="continue"/>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p>
              </w:tc>
              <w:tc>
                <w:tcPr>
                  <w:tcW w:w="762" w:type="dxa"/>
                  <w:vMerge w:val="continue"/>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p>
              </w:tc>
              <w:tc>
                <w:tcPr>
                  <w:tcW w:w="2979" w:type="dxa"/>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进气管重力铸造机</w:t>
                  </w:r>
                </w:p>
              </w:tc>
              <w:tc>
                <w:tcPr>
                  <w:tcW w:w="1330" w:type="dxa"/>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1</w:t>
                  </w:r>
                </w:p>
              </w:tc>
              <w:tc>
                <w:tcPr>
                  <w:tcW w:w="1346" w:type="dxa"/>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1</w:t>
                  </w:r>
                </w:p>
              </w:tc>
              <w:tc>
                <w:tcPr>
                  <w:tcW w:w="1186" w:type="dxa"/>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1</w:t>
                  </w:r>
                </w:p>
              </w:tc>
              <w:tc>
                <w:tcPr>
                  <w:tcW w:w="1071" w:type="dxa"/>
                  <w:vMerge w:val="continue"/>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544" w:type="dxa"/>
                  <w:vMerge w:val="restart"/>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2</w:t>
                  </w:r>
                </w:p>
              </w:tc>
              <w:tc>
                <w:tcPr>
                  <w:tcW w:w="762" w:type="dxa"/>
                  <w:vMerge w:val="restart"/>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熔化工部</w:t>
                  </w:r>
                </w:p>
              </w:tc>
              <w:tc>
                <w:tcPr>
                  <w:tcW w:w="2979" w:type="dxa"/>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1500kg/h集中熔化炉</w:t>
                  </w:r>
                </w:p>
              </w:tc>
              <w:tc>
                <w:tcPr>
                  <w:tcW w:w="1330" w:type="dxa"/>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4</w:t>
                  </w:r>
                </w:p>
              </w:tc>
              <w:tc>
                <w:tcPr>
                  <w:tcW w:w="1346" w:type="dxa"/>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4</w:t>
                  </w:r>
                </w:p>
              </w:tc>
              <w:tc>
                <w:tcPr>
                  <w:tcW w:w="1186" w:type="dxa"/>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4</w:t>
                  </w:r>
                </w:p>
              </w:tc>
              <w:tc>
                <w:tcPr>
                  <w:tcW w:w="1071" w:type="dxa"/>
                  <w:vMerge w:val="restart"/>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原有项目设备，不在本次验收范围内</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544" w:type="dxa"/>
                  <w:vMerge w:val="continue"/>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p>
              </w:tc>
              <w:tc>
                <w:tcPr>
                  <w:tcW w:w="762" w:type="dxa"/>
                  <w:vMerge w:val="continue"/>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p>
              </w:tc>
              <w:tc>
                <w:tcPr>
                  <w:tcW w:w="2979" w:type="dxa"/>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1000kg/h集中熔化炉</w:t>
                  </w:r>
                </w:p>
              </w:tc>
              <w:tc>
                <w:tcPr>
                  <w:tcW w:w="1330" w:type="dxa"/>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2</w:t>
                  </w:r>
                </w:p>
              </w:tc>
              <w:tc>
                <w:tcPr>
                  <w:tcW w:w="1346" w:type="dxa"/>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2</w:t>
                  </w:r>
                </w:p>
              </w:tc>
              <w:tc>
                <w:tcPr>
                  <w:tcW w:w="1186" w:type="dxa"/>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2</w:t>
                  </w:r>
                </w:p>
              </w:tc>
              <w:tc>
                <w:tcPr>
                  <w:tcW w:w="1071" w:type="dxa"/>
                  <w:vMerge w:val="continue"/>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544" w:type="dxa"/>
                  <w:vMerge w:val="continue"/>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p>
              </w:tc>
              <w:tc>
                <w:tcPr>
                  <w:tcW w:w="762" w:type="dxa"/>
                  <w:vMerge w:val="continue"/>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p>
              </w:tc>
              <w:tc>
                <w:tcPr>
                  <w:tcW w:w="2979" w:type="dxa"/>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25T平炉</w:t>
                  </w:r>
                </w:p>
              </w:tc>
              <w:tc>
                <w:tcPr>
                  <w:tcW w:w="1330" w:type="dxa"/>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1</w:t>
                  </w:r>
                </w:p>
              </w:tc>
              <w:tc>
                <w:tcPr>
                  <w:tcW w:w="1346" w:type="dxa"/>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1</w:t>
                  </w:r>
                </w:p>
              </w:tc>
              <w:tc>
                <w:tcPr>
                  <w:tcW w:w="1186" w:type="dxa"/>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1</w:t>
                  </w:r>
                </w:p>
              </w:tc>
              <w:tc>
                <w:tcPr>
                  <w:tcW w:w="1071" w:type="dxa"/>
                  <w:vMerge w:val="continue"/>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544" w:type="dxa"/>
                  <w:vMerge w:val="continue"/>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p>
              </w:tc>
              <w:tc>
                <w:tcPr>
                  <w:tcW w:w="762" w:type="dxa"/>
                  <w:vMerge w:val="continue"/>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p>
              </w:tc>
              <w:tc>
                <w:tcPr>
                  <w:tcW w:w="2979" w:type="dxa"/>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旋转除气机</w:t>
                  </w:r>
                </w:p>
              </w:tc>
              <w:tc>
                <w:tcPr>
                  <w:tcW w:w="1330" w:type="dxa"/>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5</w:t>
                  </w:r>
                </w:p>
              </w:tc>
              <w:tc>
                <w:tcPr>
                  <w:tcW w:w="1346" w:type="dxa"/>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5</w:t>
                  </w:r>
                </w:p>
              </w:tc>
              <w:tc>
                <w:tcPr>
                  <w:tcW w:w="1186" w:type="dxa"/>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5</w:t>
                  </w:r>
                </w:p>
              </w:tc>
              <w:tc>
                <w:tcPr>
                  <w:tcW w:w="1071" w:type="dxa"/>
                  <w:vMerge w:val="continue"/>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544" w:type="dxa"/>
                  <w:vMerge w:val="continue"/>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p>
              </w:tc>
              <w:tc>
                <w:tcPr>
                  <w:tcW w:w="762" w:type="dxa"/>
                  <w:vMerge w:val="continue"/>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p>
              </w:tc>
              <w:tc>
                <w:tcPr>
                  <w:tcW w:w="2979" w:type="dxa"/>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转运车</w:t>
                  </w:r>
                </w:p>
              </w:tc>
              <w:tc>
                <w:tcPr>
                  <w:tcW w:w="1330" w:type="dxa"/>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2</w:t>
                  </w:r>
                </w:p>
              </w:tc>
              <w:tc>
                <w:tcPr>
                  <w:tcW w:w="1346" w:type="dxa"/>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2</w:t>
                  </w:r>
                </w:p>
              </w:tc>
              <w:tc>
                <w:tcPr>
                  <w:tcW w:w="1186" w:type="dxa"/>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2</w:t>
                  </w:r>
                </w:p>
              </w:tc>
              <w:tc>
                <w:tcPr>
                  <w:tcW w:w="1071" w:type="dxa"/>
                  <w:vMerge w:val="continue"/>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544" w:type="dxa"/>
                  <w:vMerge w:val="continue"/>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p>
              </w:tc>
              <w:tc>
                <w:tcPr>
                  <w:tcW w:w="762" w:type="dxa"/>
                  <w:vMerge w:val="continue"/>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p>
              </w:tc>
              <w:tc>
                <w:tcPr>
                  <w:tcW w:w="2979" w:type="dxa"/>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500kg/h电加热保温炉</w:t>
                  </w:r>
                </w:p>
              </w:tc>
              <w:tc>
                <w:tcPr>
                  <w:tcW w:w="1330" w:type="dxa"/>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6</w:t>
                  </w:r>
                </w:p>
              </w:tc>
              <w:tc>
                <w:tcPr>
                  <w:tcW w:w="1346" w:type="dxa"/>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6</w:t>
                  </w:r>
                </w:p>
              </w:tc>
              <w:tc>
                <w:tcPr>
                  <w:tcW w:w="1186" w:type="dxa"/>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6</w:t>
                  </w:r>
                </w:p>
              </w:tc>
              <w:tc>
                <w:tcPr>
                  <w:tcW w:w="1071" w:type="dxa"/>
                  <w:vMerge w:val="continue"/>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544" w:type="dxa"/>
                  <w:vMerge w:val="continue"/>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p>
              </w:tc>
              <w:tc>
                <w:tcPr>
                  <w:tcW w:w="762" w:type="dxa"/>
                  <w:vMerge w:val="continue"/>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p>
              </w:tc>
              <w:tc>
                <w:tcPr>
                  <w:tcW w:w="2979" w:type="dxa"/>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反射熔化炉</w:t>
                  </w:r>
                </w:p>
              </w:tc>
              <w:tc>
                <w:tcPr>
                  <w:tcW w:w="1330" w:type="dxa"/>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1</w:t>
                  </w:r>
                </w:p>
              </w:tc>
              <w:tc>
                <w:tcPr>
                  <w:tcW w:w="1346" w:type="dxa"/>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1</w:t>
                  </w:r>
                </w:p>
              </w:tc>
              <w:tc>
                <w:tcPr>
                  <w:tcW w:w="1186" w:type="dxa"/>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1</w:t>
                  </w:r>
                </w:p>
              </w:tc>
              <w:tc>
                <w:tcPr>
                  <w:tcW w:w="1071" w:type="dxa"/>
                  <w:vMerge w:val="continue"/>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544" w:type="dxa"/>
                  <w:vMerge w:val="continue"/>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p>
              </w:tc>
              <w:tc>
                <w:tcPr>
                  <w:tcW w:w="762" w:type="dxa"/>
                  <w:vMerge w:val="continue"/>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p>
              </w:tc>
              <w:tc>
                <w:tcPr>
                  <w:tcW w:w="2979" w:type="dxa"/>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无料框回转式固溶炉</w:t>
                  </w:r>
                </w:p>
              </w:tc>
              <w:tc>
                <w:tcPr>
                  <w:tcW w:w="1330" w:type="dxa"/>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2</w:t>
                  </w:r>
                </w:p>
              </w:tc>
              <w:tc>
                <w:tcPr>
                  <w:tcW w:w="1346" w:type="dxa"/>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2</w:t>
                  </w:r>
                </w:p>
              </w:tc>
              <w:tc>
                <w:tcPr>
                  <w:tcW w:w="1186" w:type="dxa"/>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2</w:t>
                  </w:r>
                </w:p>
              </w:tc>
              <w:tc>
                <w:tcPr>
                  <w:tcW w:w="1071" w:type="dxa"/>
                  <w:vMerge w:val="continue"/>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544" w:type="dxa"/>
                  <w:vMerge w:val="continue"/>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p>
              </w:tc>
              <w:tc>
                <w:tcPr>
                  <w:tcW w:w="762" w:type="dxa"/>
                  <w:vMerge w:val="continue"/>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p>
              </w:tc>
              <w:tc>
                <w:tcPr>
                  <w:tcW w:w="2979" w:type="dxa"/>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旋转式热处理炉</w:t>
                  </w:r>
                </w:p>
              </w:tc>
              <w:tc>
                <w:tcPr>
                  <w:tcW w:w="1330" w:type="dxa"/>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1</w:t>
                  </w:r>
                </w:p>
              </w:tc>
              <w:tc>
                <w:tcPr>
                  <w:tcW w:w="1346" w:type="dxa"/>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1</w:t>
                  </w:r>
                </w:p>
              </w:tc>
              <w:tc>
                <w:tcPr>
                  <w:tcW w:w="1186" w:type="dxa"/>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1</w:t>
                  </w:r>
                </w:p>
              </w:tc>
              <w:tc>
                <w:tcPr>
                  <w:tcW w:w="1071" w:type="dxa"/>
                  <w:vMerge w:val="continue"/>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544" w:type="dxa"/>
                  <w:vMerge w:val="continue"/>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p>
              </w:tc>
              <w:tc>
                <w:tcPr>
                  <w:tcW w:w="762" w:type="dxa"/>
                  <w:vMerge w:val="continue"/>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p>
              </w:tc>
              <w:tc>
                <w:tcPr>
                  <w:tcW w:w="2979" w:type="dxa"/>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调合金炉</w:t>
                  </w:r>
                </w:p>
              </w:tc>
              <w:tc>
                <w:tcPr>
                  <w:tcW w:w="1330" w:type="dxa"/>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2</w:t>
                  </w:r>
                </w:p>
              </w:tc>
              <w:tc>
                <w:tcPr>
                  <w:tcW w:w="1346" w:type="dxa"/>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2</w:t>
                  </w:r>
                </w:p>
              </w:tc>
              <w:tc>
                <w:tcPr>
                  <w:tcW w:w="1186" w:type="dxa"/>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2</w:t>
                  </w:r>
                </w:p>
              </w:tc>
              <w:tc>
                <w:tcPr>
                  <w:tcW w:w="1071" w:type="dxa"/>
                  <w:vMerge w:val="continue"/>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544" w:type="dxa"/>
                  <w:vMerge w:val="restart"/>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3</w:t>
                  </w:r>
                </w:p>
              </w:tc>
              <w:tc>
                <w:tcPr>
                  <w:tcW w:w="762" w:type="dxa"/>
                  <w:vMerge w:val="restart"/>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制芯工部</w:t>
                  </w:r>
                </w:p>
              </w:tc>
              <w:tc>
                <w:tcPr>
                  <w:tcW w:w="2979" w:type="dxa"/>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20L射芯机</w:t>
                  </w:r>
                </w:p>
              </w:tc>
              <w:tc>
                <w:tcPr>
                  <w:tcW w:w="1330" w:type="dxa"/>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12</w:t>
                  </w:r>
                </w:p>
              </w:tc>
              <w:tc>
                <w:tcPr>
                  <w:tcW w:w="1346" w:type="dxa"/>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12</w:t>
                  </w:r>
                </w:p>
              </w:tc>
              <w:tc>
                <w:tcPr>
                  <w:tcW w:w="1186" w:type="dxa"/>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12</w:t>
                  </w:r>
                </w:p>
              </w:tc>
              <w:tc>
                <w:tcPr>
                  <w:tcW w:w="1071" w:type="dxa"/>
                  <w:vMerge w:val="restart"/>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原有项目设备，不在本次验收范围内</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544" w:type="dxa"/>
                  <w:vMerge w:val="continue"/>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p>
              </w:tc>
              <w:tc>
                <w:tcPr>
                  <w:tcW w:w="762" w:type="dxa"/>
                  <w:vMerge w:val="continue"/>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p>
              </w:tc>
              <w:tc>
                <w:tcPr>
                  <w:tcW w:w="2979" w:type="dxa"/>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砂处理系统</w:t>
                  </w:r>
                </w:p>
              </w:tc>
              <w:tc>
                <w:tcPr>
                  <w:tcW w:w="1330" w:type="dxa"/>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4</w:t>
                  </w:r>
                </w:p>
              </w:tc>
              <w:tc>
                <w:tcPr>
                  <w:tcW w:w="1346" w:type="dxa"/>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4</w:t>
                  </w:r>
                </w:p>
              </w:tc>
              <w:tc>
                <w:tcPr>
                  <w:tcW w:w="1186" w:type="dxa"/>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4</w:t>
                  </w:r>
                </w:p>
              </w:tc>
              <w:tc>
                <w:tcPr>
                  <w:tcW w:w="1071" w:type="dxa"/>
                  <w:vMerge w:val="continue"/>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544" w:type="dxa"/>
                  <w:vMerge w:val="continue"/>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p>
              </w:tc>
              <w:tc>
                <w:tcPr>
                  <w:tcW w:w="762" w:type="dxa"/>
                  <w:vMerge w:val="continue"/>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p>
              </w:tc>
              <w:tc>
                <w:tcPr>
                  <w:tcW w:w="2979" w:type="dxa"/>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壳芯机</w:t>
                  </w:r>
                </w:p>
              </w:tc>
              <w:tc>
                <w:tcPr>
                  <w:tcW w:w="1330" w:type="dxa"/>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13</w:t>
                  </w:r>
                </w:p>
              </w:tc>
              <w:tc>
                <w:tcPr>
                  <w:tcW w:w="1346" w:type="dxa"/>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13</w:t>
                  </w:r>
                </w:p>
              </w:tc>
              <w:tc>
                <w:tcPr>
                  <w:tcW w:w="1186" w:type="dxa"/>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13</w:t>
                  </w:r>
                </w:p>
              </w:tc>
              <w:tc>
                <w:tcPr>
                  <w:tcW w:w="1071" w:type="dxa"/>
                  <w:vMerge w:val="continue"/>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544" w:type="dxa"/>
                  <w:vMerge w:val="continue"/>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p>
              </w:tc>
              <w:tc>
                <w:tcPr>
                  <w:tcW w:w="762" w:type="dxa"/>
                  <w:vMerge w:val="continue"/>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p>
              </w:tc>
              <w:tc>
                <w:tcPr>
                  <w:tcW w:w="2979" w:type="dxa"/>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热芯机</w:t>
                  </w:r>
                </w:p>
              </w:tc>
              <w:tc>
                <w:tcPr>
                  <w:tcW w:w="1330" w:type="dxa"/>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1</w:t>
                  </w:r>
                </w:p>
              </w:tc>
              <w:tc>
                <w:tcPr>
                  <w:tcW w:w="1346" w:type="dxa"/>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1</w:t>
                  </w:r>
                </w:p>
              </w:tc>
              <w:tc>
                <w:tcPr>
                  <w:tcW w:w="1186" w:type="dxa"/>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1</w:t>
                  </w:r>
                </w:p>
              </w:tc>
              <w:tc>
                <w:tcPr>
                  <w:tcW w:w="1071" w:type="dxa"/>
                  <w:vMerge w:val="continue"/>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544" w:type="dxa"/>
                  <w:vMerge w:val="restart"/>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4</w:t>
                  </w:r>
                </w:p>
              </w:tc>
              <w:tc>
                <w:tcPr>
                  <w:tcW w:w="762" w:type="dxa"/>
                  <w:vMerge w:val="restart"/>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清理工部</w:t>
                  </w:r>
                </w:p>
              </w:tc>
              <w:tc>
                <w:tcPr>
                  <w:tcW w:w="2979" w:type="dxa"/>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双工位高频振芯机</w:t>
                  </w:r>
                </w:p>
              </w:tc>
              <w:tc>
                <w:tcPr>
                  <w:tcW w:w="1330" w:type="dxa"/>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5</w:t>
                  </w:r>
                </w:p>
              </w:tc>
              <w:tc>
                <w:tcPr>
                  <w:tcW w:w="1346" w:type="dxa"/>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5</w:t>
                  </w:r>
                </w:p>
              </w:tc>
              <w:tc>
                <w:tcPr>
                  <w:tcW w:w="1186" w:type="dxa"/>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5</w:t>
                  </w:r>
                </w:p>
              </w:tc>
              <w:tc>
                <w:tcPr>
                  <w:tcW w:w="1071" w:type="dxa"/>
                  <w:vMerge w:val="continue"/>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544" w:type="dxa"/>
                  <w:vMerge w:val="continue"/>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p>
              </w:tc>
              <w:tc>
                <w:tcPr>
                  <w:tcW w:w="762" w:type="dxa"/>
                  <w:vMerge w:val="continue"/>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p>
              </w:tc>
              <w:tc>
                <w:tcPr>
                  <w:tcW w:w="2979" w:type="dxa"/>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新安特振芯机</w:t>
                  </w:r>
                </w:p>
              </w:tc>
              <w:tc>
                <w:tcPr>
                  <w:tcW w:w="1330" w:type="dxa"/>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1</w:t>
                  </w:r>
                </w:p>
              </w:tc>
              <w:tc>
                <w:tcPr>
                  <w:tcW w:w="1346" w:type="dxa"/>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1</w:t>
                  </w:r>
                </w:p>
              </w:tc>
              <w:tc>
                <w:tcPr>
                  <w:tcW w:w="1186" w:type="dxa"/>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1</w:t>
                  </w:r>
                </w:p>
              </w:tc>
              <w:tc>
                <w:tcPr>
                  <w:tcW w:w="1071" w:type="dxa"/>
                  <w:vMerge w:val="continue"/>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544" w:type="dxa"/>
                  <w:vMerge w:val="continue"/>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p>
              </w:tc>
              <w:tc>
                <w:tcPr>
                  <w:tcW w:w="762" w:type="dxa"/>
                  <w:vMerge w:val="continue"/>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p>
              </w:tc>
              <w:tc>
                <w:tcPr>
                  <w:tcW w:w="2979" w:type="dxa"/>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冒口切割机</w:t>
                  </w:r>
                </w:p>
              </w:tc>
              <w:tc>
                <w:tcPr>
                  <w:tcW w:w="1330" w:type="dxa"/>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8</w:t>
                  </w:r>
                </w:p>
              </w:tc>
              <w:tc>
                <w:tcPr>
                  <w:tcW w:w="1346" w:type="dxa"/>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8</w:t>
                  </w:r>
                </w:p>
              </w:tc>
              <w:tc>
                <w:tcPr>
                  <w:tcW w:w="1186" w:type="dxa"/>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8</w:t>
                  </w:r>
                </w:p>
              </w:tc>
              <w:tc>
                <w:tcPr>
                  <w:tcW w:w="1071" w:type="dxa"/>
                  <w:vMerge w:val="continue"/>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544" w:type="dxa"/>
                  <w:vMerge w:val="continue"/>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p>
              </w:tc>
              <w:tc>
                <w:tcPr>
                  <w:tcW w:w="762" w:type="dxa"/>
                  <w:vMerge w:val="continue"/>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p>
              </w:tc>
              <w:tc>
                <w:tcPr>
                  <w:tcW w:w="2979" w:type="dxa"/>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输送辊道</w:t>
                  </w:r>
                </w:p>
              </w:tc>
              <w:tc>
                <w:tcPr>
                  <w:tcW w:w="1330" w:type="dxa"/>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2</w:t>
                  </w:r>
                </w:p>
              </w:tc>
              <w:tc>
                <w:tcPr>
                  <w:tcW w:w="1346" w:type="dxa"/>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2</w:t>
                  </w:r>
                </w:p>
              </w:tc>
              <w:tc>
                <w:tcPr>
                  <w:tcW w:w="1186" w:type="dxa"/>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2</w:t>
                  </w:r>
                </w:p>
              </w:tc>
              <w:tc>
                <w:tcPr>
                  <w:tcW w:w="1071" w:type="dxa"/>
                  <w:vMerge w:val="continue"/>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544" w:type="dxa"/>
                  <w:vMerge w:val="continue"/>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p>
              </w:tc>
              <w:tc>
                <w:tcPr>
                  <w:tcW w:w="762" w:type="dxa"/>
                  <w:vMerge w:val="continue"/>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p>
              </w:tc>
              <w:tc>
                <w:tcPr>
                  <w:tcW w:w="2979" w:type="dxa"/>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立式快速固熔热处理炉</w:t>
                  </w:r>
                </w:p>
              </w:tc>
              <w:tc>
                <w:tcPr>
                  <w:tcW w:w="1330" w:type="dxa"/>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2</w:t>
                  </w:r>
                </w:p>
              </w:tc>
              <w:tc>
                <w:tcPr>
                  <w:tcW w:w="1346" w:type="dxa"/>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2</w:t>
                  </w:r>
                </w:p>
              </w:tc>
              <w:tc>
                <w:tcPr>
                  <w:tcW w:w="1186" w:type="dxa"/>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2</w:t>
                  </w:r>
                </w:p>
              </w:tc>
              <w:tc>
                <w:tcPr>
                  <w:tcW w:w="1071" w:type="dxa"/>
                  <w:vMerge w:val="continue"/>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544" w:type="dxa"/>
                  <w:vMerge w:val="continue"/>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p>
              </w:tc>
              <w:tc>
                <w:tcPr>
                  <w:tcW w:w="762" w:type="dxa"/>
                  <w:vMerge w:val="continue"/>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p>
              </w:tc>
              <w:tc>
                <w:tcPr>
                  <w:tcW w:w="2979" w:type="dxa"/>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铸件清理生产线</w:t>
                  </w:r>
                </w:p>
              </w:tc>
              <w:tc>
                <w:tcPr>
                  <w:tcW w:w="1330" w:type="dxa"/>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7</w:t>
                  </w:r>
                </w:p>
              </w:tc>
              <w:tc>
                <w:tcPr>
                  <w:tcW w:w="1346" w:type="dxa"/>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7</w:t>
                  </w:r>
                </w:p>
              </w:tc>
              <w:tc>
                <w:tcPr>
                  <w:tcW w:w="1186" w:type="dxa"/>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7</w:t>
                  </w:r>
                </w:p>
              </w:tc>
              <w:tc>
                <w:tcPr>
                  <w:tcW w:w="1071" w:type="dxa"/>
                  <w:vMerge w:val="continue"/>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544" w:type="dxa"/>
                  <w:vMerge w:val="restart"/>
                  <w:shd w:val="solid" w:color="CFCECE" w:themeColor="background2" w:themeShade="E5" w:fill="auto"/>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5</w:t>
                  </w:r>
                </w:p>
              </w:tc>
              <w:tc>
                <w:tcPr>
                  <w:tcW w:w="762" w:type="dxa"/>
                  <w:vMerge w:val="restart"/>
                  <w:shd w:val="solid" w:color="CFCECE" w:themeColor="background2" w:themeShade="E5" w:fill="auto"/>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压铸工部</w:t>
                  </w:r>
                </w:p>
              </w:tc>
              <w:tc>
                <w:tcPr>
                  <w:tcW w:w="2979" w:type="dxa"/>
                  <w:shd w:val="solid" w:color="CFCECE" w:themeColor="background2" w:themeShade="E5" w:fill="auto"/>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2700T压铸单元</w:t>
                  </w:r>
                </w:p>
              </w:tc>
              <w:tc>
                <w:tcPr>
                  <w:tcW w:w="1330" w:type="dxa"/>
                  <w:shd w:val="solid" w:color="CFCECE" w:themeColor="background2" w:themeShade="E5" w:fill="auto"/>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1</w:t>
                  </w:r>
                </w:p>
              </w:tc>
              <w:tc>
                <w:tcPr>
                  <w:tcW w:w="1346" w:type="dxa"/>
                  <w:shd w:val="solid" w:color="CFCECE" w:themeColor="background2" w:themeShade="E5" w:fill="auto"/>
                  <w:vAlign w:val="center"/>
                </w:tcPr>
                <w:p>
                  <w:pPr>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1</w:t>
                  </w:r>
                </w:p>
              </w:tc>
              <w:tc>
                <w:tcPr>
                  <w:tcW w:w="1186" w:type="dxa"/>
                  <w:shd w:val="solid" w:color="CFCECE" w:themeColor="background2" w:themeShade="E5" w:fill="auto"/>
                  <w:vAlign w:val="center"/>
                </w:tcPr>
                <w:p>
                  <w:pPr>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1</w:t>
                  </w:r>
                </w:p>
              </w:tc>
              <w:tc>
                <w:tcPr>
                  <w:tcW w:w="1071" w:type="dxa"/>
                  <w:vMerge w:val="restart"/>
                  <w:shd w:val="solid" w:color="CFCECE" w:themeColor="background2" w:themeShade="E5" w:fill="auto"/>
                  <w:vAlign w:val="center"/>
                </w:tcPr>
                <w:p>
                  <w:pPr>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本次技改项目设备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544" w:type="dxa"/>
                  <w:vMerge w:val="continue"/>
                  <w:shd w:val="solid" w:color="CFCECE" w:themeColor="background2" w:themeShade="E5" w:fill="auto"/>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p>
              </w:tc>
              <w:tc>
                <w:tcPr>
                  <w:tcW w:w="762" w:type="dxa"/>
                  <w:vMerge w:val="continue"/>
                  <w:shd w:val="solid" w:color="CFCECE" w:themeColor="background2" w:themeShade="E5" w:fill="auto"/>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p>
              </w:tc>
              <w:tc>
                <w:tcPr>
                  <w:tcW w:w="2979" w:type="dxa"/>
                  <w:shd w:val="solid" w:color="CFCECE" w:themeColor="background2" w:themeShade="E5" w:fill="auto"/>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1#1600T压铸单元</w:t>
                  </w:r>
                </w:p>
              </w:tc>
              <w:tc>
                <w:tcPr>
                  <w:tcW w:w="1330" w:type="dxa"/>
                  <w:shd w:val="solid" w:color="CFCECE" w:themeColor="background2" w:themeShade="E5" w:fill="auto"/>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1</w:t>
                  </w:r>
                </w:p>
              </w:tc>
              <w:tc>
                <w:tcPr>
                  <w:tcW w:w="1346" w:type="dxa"/>
                  <w:shd w:val="solid" w:color="CFCECE" w:themeColor="background2" w:themeShade="E5" w:fill="auto"/>
                  <w:vAlign w:val="center"/>
                </w:tcPr>
                <w:p>
                  <w:pPr>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1</w:t>
                  </w:r>
                </w:p>
              </w:tc>
              <w:tc>
                <w:tcPr>
                  <w:tcW w:w="1186" w:type="dxa"/>
                  <w:shd w:val="solid" w:color="CFCECE" w:themeColor="background2" w:themeShade="E5" w:fill="auto"/>
                  <w:vAlign w:val="center"/>
                </w:tcPr>
                <w:p>
                  <w:pPr>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1</w:t>
                  </w:r>
                </w:p>
              </w:tc>
              <w:tc>
                <w:tcPr>
                  <w:tcW w:w="1071" w:type="dxa"/>
                  <w:vMerge w:val="continue"/>
                  <w:shd w:val="solid" w:color="CFCECE" w:themeColor="background2" w:themeShade="E5" w:fill="auto"/>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544" w:type="dxa"/>
                  <w:vMerge w:val="continue"/>
                  <w:shd w:val="solid" w:color="CFCECE" w:themeColor="background2" w:themeShade="E5" w:fill="auto"/>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p>
              </w:tc>
              <w:tc>
                <w:tcPr>
                  <w:tcW w:w="762" w:type="dxa"/>
                  <w:vMerge w:val="continue"/>
                  <w:shd w:val="solid" w:color="CFCECE" w:themeColor="background2" w:themeShade="E5" w:fill="auto"/>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p>
              </w:tc>
              <w:tc>
                <w:tcPr>
                  <w:tcW w:w="2979" w:type="dxa"/>
                  <w:shd w:val="solid" w:color="CFCECE" w:themeColor="background2" w:themeShade="E5" w:fill="auto"/>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2#1600T压铸单元</w:t>
                  </w:r>
                </w:p>
              </w:tc>
              <w:tc>
                <w:tcPr>
                  <w:tcW w:w="1330" w:type="dxa"/>
                  <w:shd w:val="solid" w:color="CFCECE" w:themeColor="background2" w:themeShade="E5" w:fill="auto"/>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1</w:t>
                  </w:r>
                </w:p>
              </w:tc>
              <w:tc>
                <w:tcPr>
                  <w:tcW w:w="1346" w:type="dxa"/>
                  <w:shd w:val="solid" w:color="CFCECE" w:themeColor="background2" w:themeShade="E5" w:fill="auto"/>
                  <w:vAlign w:val="center"/>
                </w:tcPr>
                <w:p>
                  <w:pPr>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1</w:t>
                  </w:r>
                </w:p>
              </w:tc>
              <w:tc>
                <w:tcPr>
                  <w:tcW w:w="1186" w:type="dxa"/>
                  <w:shd w:val="solid" w:color="CFCECE" w:themeColor="background2" w:themeShade="E5" w:fill="auto"/>
                  <w:vAlign w:val="center"/>
                </w:tcPr>
                <w:p>
                  <w:pPr>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1</w:t>
                  </w:r>
                </w:p>
              </w:tc>
              <w:tc>
                <w:tcPr>
                  <w:tcW w:w="1071" w:type="dxa"/>
                  <w:vMerge w:val="continue"/>
                  <w:shd w:val="solid" w:color="CFCECE" w:themeColor="background2" w:themeShade="E5" w:fill="auto"/>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544" w:type="dxa"/>
                  <w:vMerge w:val="continue"/>
                  <w:shd w:val="solid" w:color="CFCECE" w:themeColor="background2" w:themeShade="E5" w:fill="auto"/>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p>
              </w:tc>
              <w:tc>
                <w:tcPr>
                  <w:tcW w:w="762" w:type="dxa"/>
                  <w:vMerge w:val="continue"/>
                  <w:shd w:val="solid" w:color="CFCECE" w:themeColor="background2" w:themeShade="E5" w:fill="auto"/>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p>
              </w:tc>
              <w:tc>
                <w:tcPr>
                  <w:tcW w:w="2979" w:type="dxa"/>
                  <w:shd w:val="solid" w:color="CFCECE" w:themeColor="background2" w:themeShade="E5" w:fill="auto"/>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1250T压铸单元</w:t>
                  </w:r>
                </w:p>
              </w:tc>
              <w:tc>
                <w:tcPr>
                  <w:tcW w:w="1330" w:type="dxa"/>
                  <w:shd w:val="solid" w:color="CFCECE" w:themeColor="background2" w:themeShade="E5" w:fill="auto"/>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1</w:t>
                  </w:r>
                </w:p>
              </w:tc>
              <w:tc>
                <w:tcPr>
                  <w:tcW w:w="1346" w:type="dxa"/>
                  <w:shd w:val="solid" w:color="CFCECE" w:themeColor="background2" w:themeShade="E5" w:fill="auto"/>
                  <w:vAlign w:val="center"/>
                </w:tcPr>
                <w:p>
                  <w:pPr>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1</w:t>
                  </w:r>
                </w:p>
              </w:tc>
              <w:tc>
                <w:tcPr>
                  <w:tcW w:w="1186" w:type="dxa"/>
                  <w:shd w:val="solid" w:color="CFCECE" w:themeColor="background2" w:themeShade="E5" w:fill="auto"/>
                  <w:vAlign w:val="center"/>
                </w:tcPr>
                <w:p>
                  <w:pPr>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1</w:t>
                  </w:r>
                </w:p>
              </w:tc>
              <w:tc>
                <w:tcPr>
                  <w:tcW w:w="1071" w:type="dxa"/>
                  <w:vMerge w:val="continue"/>
                  <w:shd w:val="solid" w:color="CFCECE" w:themeColor="background2" w:themeShade="E5" w:fill="auto"/>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544" w:type="dxa"/>
                  <w:vMerge w:val="continue"/>
                  <w:shd w:val="solid" w:color="CFCECE" w:themeColor="background2" w:themeShade="E5" w:fill="auto"/>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p>
              </w:tc>
              <w:tc>
                <w:tcPr>
                  <w:tcW w:w="762" w:type="dxa"/>
                  <w:vMerge w:val="continue"/>
                  <w:shd w:val="solid" w:color="CFCECE" w:themeColor="background2" w:themeShade="E5" w:fill="auto"/>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p>
              </w:tc>
              <w:tc>
                <w:tcPr>
                  <w:tcW w:w="2979" w:type="dxa"/>
                  <w:shd w:val="solid" w:color="CFCECE" w:themeColor="background2" w:themeShade="E5" w:fill="auto"/>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1000T压铸单元</w:t>
                  </w:r>
                </w:p>
              </w:tc>
              <w:tc>
                <w:tcPr>
                  <w:tcW w:w="1330" w:type="dxa"/>
                  <w:shd w:val="solid" w:color="CFCECE" w:themeColor="background2" w:themeShade="E5" w:fill="auto"/>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1</w:t>
                  </w:r>
                </w:p>
              </w:tc>
              <w:tc>
                <w:tcPr>
                  <w:tcW w:w="1346" w:type="dxa"/>
                  <w:shd w:val="solid" w:color="CFCECE" w:themeColor="background2" w:themeShade="E5" w:fill="auto"/>
                  <w:vAlign w:val="center"/>
                </w:tcPr>
                <w:p>
                  <w:pPr>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1</w:t>
                  </w:r>
                </w:p>
              </w:tc>
              <w:tc>
                <w:tcPr>
                  <w:tcW w:w="1186" w:type="dxa"/>
                  <w:shd w:val="solid" w:color="CFCECE" w:themeColor="background2" w:themeShade="E5" w:fill="auto"/>
                  <w:vAlign w:val="center"/>
                </w:tcPr>
                <w:p>
                  <w:pPr>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1</w:t>
                  </w:r>
                </w:p>
              </w:tc>
              <w:tc>
                <w:tcPr>
                  <w:tcW w:w="1071" w:type="dxa"/>
                  <w:vMerge w:val="continue"/>
                  <w:shd w:val="solid" w:color="CFCECE" w:themeColor="background2" w:themeShade="E5" w:fill="auto"/>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544" w:type="dxa"/>
                  <w:vMerge w:val="continue"/>
                  <w:shd w:val="solid" w:color="CFCECE" w:themeColor="background2" w:themeShade="E5" w:fill="auto"/>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p>
              </w:tc>
              <w:tc>
                <w:tcPr>
                  <w:tcW w:w="762" w:type="dxa"/>
                  <w:vMerge w:val="continue"/>
                  <w:shd w:val="solid" w:color="CFCECE" w:themeColor="background2" w:themeShade="E5" w:fill="auto"/>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p>
              </w:tc>
              <w:tc>
                <w:tcPr>
                  <w:tcW w:w="2979" w:type="dxa"/>
                  <w:shd w:val="solid" w:color="CFCECE" w:themeColor="background2" w:themeShade="E5" w:fill="auto"/>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400T压铸单元</w:t>
                  </w:r>
                </w:p>
              </w:tc>
              <w:tc>
                <w:tcPr>
                  <w:tcW w:w="1330" w:type="dxa"/>
                  <w:shd w:val="solid" w:color="CFCECE" w:themeColor="background2" w:themeShade="E5" w:fill="auto"/>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1</w:t>
                  </w:r>
                </w:p>
              </w:tc>
              <w:tc>
                <w:tcPr>
                  <w:tcW w:w="1346" w:type="dxa"/>
                  <w:shd w:val="solid" w:color="CFCECE" w:themeColor="background2" w:themeShade="E5" w:fill="auto"/>
                  <w:vAlign w:val="center"/>
                </w:tcPr>
                <w:p>
                  <w:pPr>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0</w:t>
                  </w:r>
                </w:p>
              </w:tc>
              <w:tc>
                <w:tcPr>
                  <w:tcW w:w="1186" w:type="dxa"/>
                  <w:shd w:val="solid" w:color="CFCECE" w:themeColor="background2" w:themeShade="E5" w:fill="auto"/>
                  <w:vAlign w:val="center"/>
                </w:tcPr>
                <w:p>
                  <w:pPr>
                    <w:jc w:val="center"/>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0</w:t>
                  </w:r>
                </w:p>
              </w:tc>
              <w:tc>
                <w:tcPr>
                  <w:tcW w:w="1071" w:type="dxa"/>
                  <w:vMerge w:val="continue"/>
                  <w:shd w:val="solid" w:color="CFCECE" w:themeColor="background2" w:themeShade="E5" w:fill="auto"/>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544" w:type="dxa"/>
                  <w:vMerge w:val="continue"/>
                  <w:shd w:val="solid" w:color="CFCECE" w:themeColor="background2" w:themeShade="E5" w:fill="auto"/>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p>
              </w:tc>
              <w:tc>
                <w:tcPr>
                  <w:tcW w:w="762" w:type="dxa"/>
                  <w:vMerge w:val="continue"/>
                  <w:shd w:val="solid" w:color="CFCECE" w:themeColor="background2" w:themeShade="E5" w:fill="auto"/>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p>
              </w:tc>
              <w:tc>
                <w:tcPr>
                  <w:tcW w:w="2979" w:type="dxa"/>
                  <w:shd w:val="solid" w:color="CFCECE" w:themeColor="background2" w:themeShade="E5" w:fill="auto"/>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3000T压铸单元</w:t>
                  </w:r>
                </w:p>
              </w:tc>
              <w:tc>
                <w:tcPr>
                  <w:tcW w:w="1330" w:type="dxa"/>
                  <w:shd w:val="solid" w:color="CFCECE" w:themeColor="background2" w:themeShade="E5" w:fill="auto"/>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0</w:t>
                  </w:r>
                </w:p>
              </w:tc>
              <w:tc>
                <w:tcPr>
                  <w:tcW w:w="1346" w:type="dxa"/>
                  <w:shd w:val="solid" w:color="CFCECE" w:themeColor="background2" w:themeShade="E5" w:fill="auto"/>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2</w:t>
                  </w:r>
                </w:p>
              </w:tc>
              <w:tc>
                <w:tcPr>
                  <w:tcW w:w="1186" w:type="dxa"/>
                  <w:shd w:val="solid" w:color="CFCECE" w:themeColor="background2" w:themeShade="E5" w:fill="auto"/>
                  <w:vAlign w:val="center"/>
                </w:tcPr>
                <w:p>
                  <w:pPr>
                    <w:jc w:val="cente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eastAsia" w:cs="Times New Roman"/>
                      <w:color w:val="000000" w:themeColor="text1"/>
                      <w:sz w:val="21"/>
                      <w:szCs w:val="21"/>
                      <w:highlight w:val="none"/>
                      <w:lang w:val="en-US" w:eastAsia="zh-CN"/>
                      <w14:textFill>
                        <w14:solidFill>
                          <w14:schemeClr w14:val="tx1"/>
                        </w14:solidFill>
                      </w14:textFill>
                    </w:rPr>
                    <w:t>0</w:t>
                  </w:r>
                </w:p>
              </w:tc>
              <w:tc>
                <w:tcPr>
                  <w:tcW w:w="1071" w:type="dxa"/>
                  <w:vMerge w:val="continue"/>
                  <w:shd w:val="solid" w:color="CFCECE" w:themeColor="background2" w:themeShade="E5" w:fill="auto"/>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544" w:type="dxa"/>
                  <w:vMerge w:val="continue"/>
                  <w:shd w:val="solid" w:color="CFCECE" w:themeColor="background2" w:themeShade="E5" w:fill="auto"/>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p>
              </w:tc>
              <w:tc>
                <w:tcPr>
                  <w:tcW w:w="762" w:type="dxa"/>
                  <w:vMerge w:val="continue"/>
                  <w:shd w:val="solid" w:color="CFCECE" w:themeColor="background2" w:themeShade="E5" w:fill="auto"/>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p>
              </w:tc>
              <w:tc>
                <w:tcPr>
                  <w:tcW w:w="2979" w:type="dxa"/>
                  <w:shd w:val="solid" w:color="CFCECE" w:themeColor="background2" w:themeShade="E5" w:fill="auto"/>
                  <w:vAlign w:val="center"/>
                </w:tcPr>
                <w:p>
                  <w:pPr>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3050T压铸单元</w:t>
                  </w:r>
                </w:p>
              </w:tc>
              <w:tc>
                <w:tcPr>
                  <w:tcW w:w="1330" w:type="dxa"/>
                  <w:shd w:val="solid" w:color="CFCECE" w:themeColor="background2" w:themeShade="E5" w:fill="auto"/>
                  <w:vAlign w:val="center"/>
                </w:tcPr>
                <w:p>
                  <w:pPr>
                    <w:jc w:val="center"/>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0</w:t>
                  </w:r>
                </w:p>
              </w:tc>
              <w:tc>
                <w:tcPr>
                  <w:tcW w:w="1346" w:type="dxa"/>
                  <w:shd w:val="solid" w:color="CFCECE" w:themeColor="background2" w:themeShade="E5" w:fill="auto"/>
                  <w:vAlign w:val="center"/>
                </w:tcPr>
                <w:p>
                  <w:pPr>
                    <w:jc w:val="center"/>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0</w:t>
                  </w:r>
                </w:p>
              </w:tc>
              <w:tc>
                <w:tcPr>
                  <w:tcW w:w="1186" w:type="dxa"/>
                  <w:shd w:val="solid" w:color="CFCECE" w:themeColor="background2" w:themeShade="E5" w:fill="auto"/>
                  <w:vAlign w:val="center"/>
                </w:tcPr>
                <w:p>
                  <w:pPr>
                    <w:jc w:val="center"/>
                    <w:rPr>
                      <w:rFonts w:hint="eastAsia" w:ascii="Times New Roman" w:hAnsi="Times New Roman" w:eastAsia="宋体" w:cs="Times New Roman"/>
                      <w:color w:val="000000" w:themeColor="text1"/>
                      <w:sz w:val="21"/>
                      <w:szCs w:val="21"/>
                      <w:highlight w:val="yellow"/>
                      <w:lang w:val="en-US" w:eastAsia="zh-CN"/>
                      <w14:textFill>
                        <w14:solidFill>
                          <w14:schemeClr w14:val="tx1"/>
                        </w14:solidFill>
                      </w14:textFill>
                    </w:rPr>
                  </w:pPr>
                  <w:r>
                    <w:rPr>
                      <w:rFonts w:hint="eastAsia" w:cs="Times New Roman"/>
                      <w:color w:val="000000" w:themeColor="text1"/>
                      <w:sz w:val="21"/>
                      <w:szCs w:val="21"/>
                      <w:highlight w:val="none"/>
                      <w:lang w:val="en-US" w:eastAsia="zh-CN"/>
                      <w14:textFill>
                        <w14:solidFill>
                          <w14:schemeClr w14:val="tx1"/>
                        </w14:solidFill>
                      </w14:textFill>
                    </w:rPr>
                    <w:t>1</w:t>
                  </w:r>
                </w:p>
              </w:tc>
              <w:tc>
                <w:tcPr>
                  <w:tcW w:w="1071" w:type="dxa"/>
                  <w:vMerge w:val="continue"/>
                  <w:shd w:val="solid" w:color="CFCECE" w:themeColor="background2" w:themeShade="E5" w:fill="auto"/>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544" w:type="dxa"/>
                  <w:vMerge w:val="continue"/>
                  <w:shd w:val="solid" w:color="CFCECE" w:themeColor="background2" w:themeShade="E5" w:fill="auto"/>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p>
              </w:tc>
              <w:tc>
                <w:tcPr>
                  <w:tcW w:w="762" w:type="dxa"/>
                  <w:vMerge w:val="continue"/>
                  <w:shd w:val="solid" w:color="CFCECE" w:themeColor="background2" w:themeShade="E5" w:fill="auto"/>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p>
              </w:tc>
              <w:tc>
                <w:tcPr>
                  <w:tcW w:w="2979" w:type="dxa"/>
                  <w:shd w:val="solid" w:color="CFCECE" w:themeColor="background2" w:themeShade="E5" w:fill="auto"/>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VMC1060立式加工中心</w:t>
                  </w:r>
                </w:p>
              </w:tc>
              <w:tc>
                <w:tcPr>
                  <w:tcW w:w="1330" w:type="dxa"/>
                  <w:shd w:val="solid" w:color="CFCECE" w:themeColor="background2" w:themeShade="E5" w:fill="auto"/>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0</w:t>
                  </w:r>
                </w:p>
              </w:tc>
              <w:tc>
                <w:tcPr>
                  <w:tcW w:w="1346" w:type="dxa"/>
                  <w:shd w:val="solid" w:color="CFCECE" w:themeColor="background2" w:themeShade="E5" w:fill="auto"/>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15</w:t>
                  </w:r>
                </w:p>
              </w:tc>
              <w:tc>
                <w:tcPr>
                  <w:tcW w:w="1186" w:type="dxa"/>
                  <w:shd w:val="solid" w:color="CFCECE" w:themeColor="background2" w:themeShade="E5" w:fill="auto"/>
                  <w:vAlign w:val="center"/>
                </w:tcPr>
                <w:p>
                  <w:pPr>
                    <w:jc w:val="center"/>
                    <w:rPr>
                      <w:rFonts w:hint="eastAsia" w:ascii="Times New Roman" w:hAnsi="Times New Roman" w:eastAsia="宋体" w:cs="Times New Roman"/>
                      <w:color w:val="000000" w:themeColor="text1"/>
                      <w:sz w:val="21"/>
                      <w:szCs w:val="21"/>
                      <w:highlight w:val="none"/>
                      <w:lang w:eastAsia="zh-CN"/>
                      <w14:textFill>
                        <w14:solidFill>
                          <w14:schemeClr w14:val="tx1"/>
                        </w14:solidFill>
                      </w14:textFill>
                    </w:rPr>
                  </w:pPr>
                  <w:r>
                    <w:rPr>
                      <w:rFonts w:hint="eastAsia" w:cs="Times New Roman"/>
                      <w:color w:val="000000" w:themeColor="text1"/>
                      <w:sz w:val="21"/>
                      <w:szCs w:val="21"/>
                      <w:highlight w:val="none"/>
                      <w:lang w:val="en-US" w:eastAsia="zh-CN"/>
                      <w14:textFill>
                        <w14:solidFill>
                          <w14:schemeClr w14:val="tx1"/>
                        </w14:solidFill>
                      </w14:textFill>
                    </w:rPr>
                    <w:t>0</w:t>
                  </w:r>
                </w:p>
              </w:tc>
              <w:tc>
                <w:tcPr>
                  <w:tcW w:w="1071" w:type="dxa"/>
                  <w:vMerge w:val="continue"/>
                  <w:shd w:val="solid" w:color="CFCECE" w:themeColor="background2" w:themeShade="E5" w:fill="auto"/>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544" w:type="dxa"/>
                  <w:vMerge w:val="continue"/>
                  <w:shd w:val="solid" w:color="CFCECE" w:themeColor="background2" w:themeShade="E5" w:fill="auto"/>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p>
              </w:tc>
              <w:tc>
                <w:tcPr>
                  <w:tcW w:w="762" w:type="dxa"/>
                  <w:vMerge w:val="continue"/>
                  <w:shd w:val="solid" w:color="CFCECE" w:themeColor="background2" w:themeShade="E5" w:fill="auto"/>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p>
              </w:tc>
              <w:tc>
                <w:tcPr>
                  <w:tcW w:w="2979" w:type="dxa"/>
                  <w:shd w:val="solid" w:color="CFCECE" w:themeColor="background2" w:themeShade="E5" w:fill="auto"/>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浸渗机</w:t>
                  </w:r>
                </w:p>
              </w:tc>
              <w:tc>
                <w:tcPr>
                  <w:tcW w:w="1330" w:type="dxa"/>
                  <w:shd w:val="solid" w:color="CFCECE" w:themeColor="background2" w:themeShade="E5" w:fill="auto"/>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0</w:t>
                  </w:r>
                </w:p>
              </w:tc>
              <w:tc>
                <w:tcPr>
                  <w:tcW w:w="1346" w:type="dxa"/>
                  <w:shd w:val="solid" w:color="CFCECE" w:themeColor="background2" w:themeShade="E5" w:fill="auto"/>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1</w:t>
                  </w:r>
                </w:p>
              </w:tc>
              <w:tc>
                <w:tcPr>
                  <w:tcW w:w="1186" w:type="dxa"/>
                  <w:shd w:val="solid" w:color="CFCECE" w:themeColor="background2" w:themeShade="E5" w:fill="auto"/>
                  <w:vAlign w:val="center"/>
                </w:tcPr>
                <w:p>
                  <w:pPr>
                    <w:jc w:val="center"/>
                    <w:rPr>
                      <w:rFonts w:hint="eastAsia" w:ascii="Times New Roman" w:hAnsi="Times New Roman" w:eastAsia="宋体" w:cs="Times New Roman"/>
                      <w:color w:val="000000" w:themeColor="text1"/>
                      <w:sz w:val="21"/>
                      <w:szCs w:val="21"/>
                      <w:highlight w:val="none"/>
                      <w:lang w:eastAsia="zh-CN"/>
                      <w14:textFill>
                        <w14:solidFill>
                          <w14:schemeClr w14:val="tx1"/>
                        </w14:solidFill>
                      </w14:textFill>
                    </w:rPr>
                  </w:pPr>
                  <w:r>
                    <w:rPr>
                      <w:rFonts w:hint="eastAsia" w:cs="Times New Roman"/>
                      <w:color w:val="000000" w:themeColor="text1"/>
                      <w:sz w:val="21"/>
                      <w:szCs w:val="21"/>
                      <w:highlight w:val="none"/>
                      <w:lang w:val="en-US" w:eastAsia="zh-CN"/>
                      <w14:textFill>
                        <w14:solidFill>
                          <w14:schemeClr w14:val="tx1"/>
                        </w14:solidFill>
                      </w14:textFill>
                    </w:rPr>
                    <w:t>0</w:t>
                  </w:r>
                </w:p>
              </w:tc>
              <w:tc>
                <w:tcPr>
                  <w:tcW w:w="1071" w:type="dxa"/>
                  <w:vMerge w:val="continue"/>
                  <w:shd w:val="solid" w:color="CFCECE" w:themeColor="background2" w:themeShade="E5" w:fill="auto"/>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p>
              </w:tc>
            </w:tr>
          </w:tbl>
          <w:p>
            <w:pPr>
              <w:pStyle w:val="2"/>
              <w:rPr>
                <w:rFonts w:hint="eastAsia" w:ascii="宋体" w:hAnsi="宋体"/>
                <w:b/>
                <w:sz w:val="24"/>
                <w:highlight w:val="yellow"/>
              </w:rPr>
            </w:pPr>
          </w:p>
          <w:bookmarkEnd w:id="3"/>
          <w:p>
            <w:pPr>
              <w:spacing w:line="360" w:lineRule="auto"/>
              <w:jc w:val="left"/>
              <w:rPr>
                <w:rFonts w:ascii="宋体" w:hAnsi="宋体"/>
                <w:b/>
                <w:sz w:val="28"/>
                <w:szCs w:val="28"/>
                <w:highlight w:val="yellow"/>
              </w:rPr>
            </w:pPr>
            <w:r>
              <w:rPr>
                <w:rFonts w:hint="eastAsia" w:ascii="宋体" w:hAnsi="宋体"/>
                <w:b/>
                <w:sz w:val="28"/>
                <w:szCs w:val="28"/>
                <w:highlight w:val="none"/>
              </w:rPr>
              <w:t>3、用水及水平衡</w:t>
            </w:r>
          </w:p>
          <w:p>
            <w:pPr>
              <w:adjustRightInd w:val="0"/>
              <w:spacing w:line="360" w:lineRule="auto"/>
              <w:ind w:firstLine="480" w:firstLineChars="200"/>
              <w:jc w:val="left"/>
              <w:rPr>
                <w:rFonts w:hint="default" w:ascii="宋体" w:hAnsi="宋体"/>
                <w:color w:val="000000" w:themeColor="text1"/>
                <w:sz w:val="24"/>
                <w:highlight w:val="none"/>
                <w:lang w:val="en-US"/>
                <w14:textFill>
                  <w14:solidFill>
                    <w14:schemeClr w14:val="tx1"/>
                  </w14:solidFill>
                </w14:textFill>
              </w:rPr>
            </w:pPr>
            <w:r>
              <w:rPr>
                <w:rFonts w:hint="eastAsia" w:ascii="宋体" w:hAnsi="宋体"/>
                <w:color w:val="000000" w:themeColor="text1"/>
                <w:sz w:val="24"/>
                <w:highlight w:val="none"/>
                <w:lang w:val="en-US" w:eastAsia="zh-CN"/>
                <w14:textFill>
                  <w14:solidFill>
                    <w14:schemeClr w14:val="tx1"/>
                  </w14:solidFill>
                </w14:textFill>
              </w:rPr>
              <w:t>本次技改项目用水主要为脱模剂用水、热处理中的淬火冷却水、气密封水检用水。项目产能未增加，全长废水总量未增加。本技改项目废水产生量如下。</w:t>
            </w:r>
          </w:p>
          <w:p>
            <w:pPr>
              <w:adjustRightInd w:val="0"/>
              <w:spacing w:line="360" w:lineRule="auto"/>
              <w:ind w:firstLine="480" w:firstLineChars="200"/>
              <w:jc w:val="left"/>
              <w:rPr>
                <w:rFonts w:hint="default" w:ascii="Times New Roman" w:hAnsi="Times New Roman" w:cs="Times New Roman"/>
                <w:color w:val="000000" w:themeColor="text1"/>
                <w:sz w:val="24"/>
                <w:highlight w:val="none"/>
                <w:lang w:val="en-US" w:eastAsia="zh-CN"/>
                <w14:textFill>
                  <w14:solidFill>
                    <w14:schemeClr w14:val="tx1"/>
                  </w14:solidFill>
                </w14:textFill>
              </w:rPr>
            </w:pPr>
            <w:r>
              <w:rPr>
                <w:rFonts w:hint="default" w:ascii="Times New Roman" w:hAnsi="Times New Roman" w:cs="Times New Roman"/>
                <w:color w:val="000000" w:themeColor="text1"/>
                <w:sz w:val="24"/>
                <w:highlight w:val="none"/>
                <w:lang w:val="en-US" w:eastAsia="zh-CN"/>
                <w14:textFill>
                  <w14:solidFill>
                    <w14:schemeClr w14:val="tx1"/>
                  </w14:solidFill>
                </w14:textFill>
              </w:rPr>
              <w:t>（1）脱模废水</w:t>
            </w:r>
          </w:p>
          <w:p>
            <w:pPr>
              <w:adjustRightInd w:val="0"/>
              <w:spacing w:line="360" w:lineRule="auto"/>
              <w:ind w:firstLine="480" w:firstLineChars="200"/>
              <w:jc w:val="left"/>
              <w:rPr>
                <w:rFonts w:hint="default" w:ascii="Times New Roman" w:hAnsi="Times New Roman" w:cs="Times New Roman"/>
                <w:color w:val="000000" w:themeColor="text1"/>
                <w:sz w:val="24"/>
                <w:highlight w:val="none"/>
                <w:lang w:val="en-US" w:eastAsia="zh-CN"/>
                <w14:textFill>
                  <w14:solidFill>
                    <w14:schemeClr w14:val="tx1"/>
                  </w14:solidFill>
                </w14:textFill>
              </w:rPr>
            </w:pPr>
            <w:r>
              <w:rPr>
                <w:rFonts w:hint="default" w:ascii="Times New Roman" w:hAnsi="Times New Roman" w:cs="Times New Roman"/>
                <w:color w:val="000000" w:themeColor="text1"/>
                <w:sz w:val="24"/>
                <w:highlight w:val="none"/>
                <w:lang w:val="en-US" w:eastAsia="zh-CN"/>
                <w14:textFill>
                  <w14:solidFill>
                    <w14:schemeClr w14:val="tx1"/>
                  </w14:solidFill>
                </w14:textFill>
              </w:rPr>
              <w:t>脱模过程会产生一定的脱模废水，本项目使用的脱模剂和水的比例为1：100，则本技改项目水用量约</w:t>
            </w:r>
            <w:r>
              <w:rPr>
                <w:rFonts w:hint="eastAsia" w:cs="Times New Roman"/>
                <w:color w:val="000000" w:themeColor="text1"/>
                <w:sz w:val="24"/>
                <w:highlight w:val="none"/>
                <w:lang w:val="en-US" w:eastAsia="zh-CN"/>
                <w14:textFill>
                  <w14:solidFill>
                    <w14:schemeClr w14:val="tx1"/>
                  </w14:solidFill>
                </w14:textFill>
              </w:rPr>
              <w:t>150</w:t>
            </w:r>
            <w:r>
              <w:rPr>
                <w:rFonts w:hint="default" w:ascii="Times New Roman" w:hAnsi="Times New Roman" w:cs="Times New Roman"/>
                <w:color w:val="000000" w:themeColor="text1"/>
                <w:sz w:val="24"/>
                <w:highlight w:val="none"/>
                <w:lang w:val="en-US" w:eastAsia="zh-CN"/>
                <w14:textFill>
                  <w14:solidFill>
                    <w14:schemeClr w14:val="tx1"/>
                  </w14:solidFill>
                </w14:textFill>
              </w:rPr>
              <w:t>t/a，此部分用水除部分损耗外（约20%），项目产生的脱模废水</w:t>
            </w:r>
            <w:r>
              <w:rPr>
                <w:rFonts w:hint="eastAsia" w:cs="Times New Roman"/>
                <w:color w:val="000000" w:themeColor="text1"/>
                <w:sz w:val="24"/>
                <w:highlight w:val="none"/>
                <w:lang w:val="en-US" w:eastAsia="zh-CN"/>
                <w14:textFill>
                  <w14:solidFill>
                    <w14:schemeClr w14:val="tx1"/>
                  </w14:solidFill>
                </w14:textFill>
              </w:rPr>
              <w:t>120</w:t>
            </w:r>
            <w:r>
              <w:rPr>
                <w:rFonts w:hint="default" w:ascii="Times New Roman" w:hAnsi="Times New Roman" w:cs="Times New Roman"/>
                <w:color w:val="000000" w:themeColor="text1"/>
                <w:sz w:val="24"/>
                <w:highlight w:val="none"/>
                <w:lang w:val="en-US" w:eastAsia="zh-CN"/>
                <w14:textFill>
                  <w14:solidFill>
                    <w14:schemeClr w14:val="tx1"/>
                  </w14:solidFill>
                </w14:textFill>
              </w:rPr>
              <w:t>t/a</w:t>
            </w:r>
            <w:r>
              <w:rPr>
                <w:rFonts w:hint="eastAsia" w:cs="Times New Roman"/>
                <w:color w:val="000000" w:themeColor="text1"/>
                <w:sz w:val="24"/>
                <w:highlight w:val="none"/>
                <w:lang w:val="en-US" w:eastAsia="zh-CN"/>
                <w14:textFill>
                  <w14:solidFill>
                    <w14:schemeClr w14:val="tx1"/>
                  </w14:solidFill>
                </w14:textFill>
              </w:rPr>
              <w:t>。</w:t>
            </w:r>
          </w:p>
          <w:p>
            <w:pPr>
              <w:adjustRightInd w:val="0"/>
              <w:spacing w:line="360" w:lineRule="auto"/>
              <w:ind w:firstLine="480" w:firstLineChars="200"/>
              <w:jc w:val="left"/>
              <w:rPr>
                <w:rFonts w:hint="default" w:ascii="Times New Roman" w:hAnsi="Times New Roman" w:cs="Times New Roman"/>
                <w:color w:val="000000" w:themeColor="text1"/>
                <w:sz w:val="24"/>
                <w:highlight w:val="none"/>
                <w:lang w:val="en-US" w:eastAsia="zh-CN"/>
                <w14:textFill>
                  <w14:solidFill>
                    <w14:schemeClr w14:val="tx1"/>
                  </w14:solidFill>
                </w14:textFill>
              </w:rPr>
            </w:pPr>
            <w:r>
              <w:rPr>
                <w:rFonts w:hint="default" w:ascii="Times New Roman" w:hAnsi="Times New Roman" w:cs="Times New Roman"/>
                <w:color w:val="000000" w:themeColor="text1"/>
                <w:sz w:val="24"/>
                <w:highlight w:val="none"/>
                <w:lang w:val="en-US" w:eastAsia="zh-CN"/>
                <w14:textFill>
                  <w14:solidFill>
                    <w14:schemeClr w14:val="tx1"/>
                  </w14:solidFill>
                </w14:textFill>
              </w:rPr>
              <w:t>（2）淬火冷却水</w:t>
            </w:r>
          </w:p>
          <w:p>
            <w:pPr>
              <w:adjustRightInd w:val="0"/>
              <w:spacing w:line="360" w:lineRule="auto"/>
              <w:ind w:firstLine="480" w:firstLineChars="200"/>
              <w:jc w:val="left"/>
              <w:rPr>
                <w:rFonts w:hint="default" w:ascii="Times New Roman" w:hAnsi="Times New Roman" w:cs="Times New Roman"/>
                <w:color w:val="000000" w:themeColor="text1"/>
                <w:sz w:val="24"/>
                <w:highlight w:val="none"/>
                <w:lang w:val="en-US" w:eastAsia="zh-CN"/>
                <w14:textFill>
                  <w14:solidFill>
                    <w14:schemeClr w14:val="tx1"/>
                  </w14:solidFill>
                </w14:textFill>
              </w:rPr>
            </w:pPr>
            <w:r>
              <w:rPr>
                <w:rFonts w:hint="default" w:ascii="Times New Roman" w:hAnsi="Times New Roman" w:cs="Times New Roman"/>
                <w:color w:val="000000" w:themeColor="text1"/>
                <w:sz w:val="24"/>
                <w:highlight w:val="none"/>
                <w:lang w:val="en-US" w:eastAsia="zh-CN"/>
                <w14:textFill>
                  <w14:solidFill>
                    <w14:schemeClr w14:val="tx1"/>
                  </w14:solidFill>
                </w14:textFill>
              </w:rPr>
              <w:t>项目淬火过程中的冷却水为循环用水，定期补充不外排，补充量为3000t/a。</w:t>
            </w:r>
          </w:p>
          <w:p>
            <w:pPr>
              <w:adjustRightInd w:val="0"/>
              <w:spacing w:line="360" w:lineRule="auto"/>
              <w:ind w:firstLine="480" w:firstLineChars="200"/>
              <w:jc w:val="left"/>
              <w:rPr>
                <w:rFonts w:hint="default" w:ascii="Times New Roman" w:hAnsi="Times New Roman" w:cs="Times New Roman"/>
                <w:color w:val="000000" w:themeColor="text1"/>
                <w:sz w:val="24"/>
                <w:highlight w:val="none"/>
                <w:lang w:val="en-US" w:eastAsia="zh-CN"/>
                <w14:textFill>
                  <w14:solidFill>
                    <w14:schemeClr w14:val="tx1"/>
                  </w14:solidFill>
                </w14:textFill>
              </w:rPr>
            </w:pPr>
            <w:r>
              <w:rPr>
                <w:rFonts w:hint="default" w:ascii="Times New Roman" w:hAnsi="Times New Roman" w:cs="Times New Roman"/>
                <w:color w:val="000000" w:themeColor="text1"/>
                <w:sz w:val="24"/>
                <w:highlight w:val="none"/>
                <w:lang w:val="en-US" w:eastAsia="zh-CN"/>
                <w14:textFill>
                  <w14:solidFill>
                    <w14:schemeClr w14:val="tx1"/>
                  </w14:solidFill>
                </w14:textFill>
              </w:rPr>
              <w:t>（3）气密封废水</w:t>
            </w:r>
          </w:p>
          <w:p>
            <w:pPr>
              <w:adjustRightInd w:val="0"/>
              <w:spacing w:line="360" w:lineRule="auto"/>
              <w:ind w:firstLine="480" w:firstLineChars="200"/>
              <w:jc w:val="left"/>
              <w:rPr>
                <w:rFonts w:hint="default" w:ascii="Times New Roman" w:hAnsi="Times New Roman" w:cs="Times New Roman"/>
                <w:color w:val="000000" w:themeColor="text1"/>
                <w:sz w:val="24"/>
                <w:highlight w:val="none"/>
                <w:lang w:val="en-US" w:eastAsia="zh-CN"/>
                <w14:textFill>
                  <w14:solidFill>
                    <w14:schemeClr w14:val="tx1"/>
                  </w14:solidFill>
                </w14:textFill>
              </w:rPr>
            </w:pPr>
            <w:r>
              <w:rPr>
                <w:rFonts w:hint="default" w:ascii="Times New Roman" w:hAnsi="Times New Roman" w:cs="Times New Roman"/>
                <w:color w:val="000000" w:themeColor="text1"/>
                <w:sz w:val="24"/>
                <w:highlight w:val="none"/>
                <w:lang w:val="en-US" w:eastAsia="zh-CN"/>
                <w14:textFill>
                  <w14:solidFill>
                    <w14:schemeClr w14:val="tx1"/>
                  </w14:solidFill>
                </w14:textFill>
              </w:rPr>
              <w:t>项目气密封水检用水量</w:t>
            </w:r>
            <w:r>
              <w:rPr>
                <w:rFonts w:hint="eastAsia" w:cs="Times New Roman"/>
                <w:color w:val="000000" w:themeColor="text1"/>
                <w:sz w:val="24"/>
                <w:highlight w:val="none"/>
                <w:lang w:val="en-US" w:eastAsia="zh-CN"/>
                <w14:textFill>
                  <w14:solidFill>
                    <w14:schemeClr w14:val="tx1"/>
                  </w14:solidFill>
                </w14:textFill>
              </w:rPr>
              <w:t>约</w:t>
            </w:r>
            <w:r>
              <w:rPr>
                <w:rFonts w:hint="default" w:ascii="Times New Roman" w:hAnsi="Times New Roman" w:cs="Times New Roman"/>
                <w:color w:val="000000" w:themeColor="text1"/>
                <w:sz w:val="24"/>
                <w:highlight w:val="none"/>
                <w:lang w:val="en-US" w:eastAsia="zh-CN"/>
                <w14:textFill>
                  <w14:solidFill>
                    <w14:schemeClr w14:val="tx1"/>
                  </w14:solidFill>
                </w14:textFill>
              </w:rPr>
              <w:t>1300t/a。</w:t>
            </w:r>
          </w:p>
          <w:p>
            <w:pPr>
              <w:adjustRightInd w:val="0"/>
              <w:spacing w:line="360" w:lineRule="auto"/>
              <w:ind w:firstLine="480" w:firstLineChars="200"/>
              <w:jc w:val="left"/>
              <w:rPr>
                <w:rFonts w:hint="default" w:ascii="Times New Roman" w:hAnsi="Times New Roman" w:cs="Times New Roman"/>
                <w:color w:val="000000" w:themeColor="text1"/>
                <w:sz w:val="24"/>
                <w:highlight w:val="none"/>
                <w:lang w:val="en-US" w:eastAsia="zh-CN"/>
                <w14:textFill>
                  <w14:solidFill>
                    <w14:schemeClr w14:val="tx1"/>
                  </w14:solidFill>
                </w14:textFill>
              </w:rPr>
            </w:pPr>
            <w:r>
              <w:rPr>
                <w:rFonts w:hint="default" w:ascii="Times New Roman" w:hAnsi="Times New Roman" w:cs="Times New Roman"/>
                <w:color w:val="000000" w:themeColor="text1"/>
                <w:sz w:val="24"/>
                <w:highlight w:val="none"/>
                <w:lang w:val="en-US" w:eastAsia="zh-CN"/>
                <w14:textFill>
                  <w14:solidFill>
                    <w14:schemeClr w14:val="tx1"/>
                  </w14:solidFill>
                </w14:textFill>
              </w:rPr>
              <w:t>（4）员工生活用水</w:t>
            </w:r>
          </w:p>
          <w:p>
            <w:pPr>
              <w:adjustRightInd w:val="0"/>
              <w:spacing w:line="360" w:lineRule="auto"/>
              <w:ind w:firstLine="480" w:firstLineChars="200"/>
              <w:jc w:val="left"/>
              <w:rPr>
                <w:rFonts w:hint="default" w:ascii="宋体" w:hAnsi="宋体"/>
                <w:color w:val="000000" w:themeColor="text1"/>
                <w:sz w:val="24"/>
                <w:highlight w:val="none"/>
                <w:lang w:val="en-US" w:eastAsia="zh-CN"/>
                <w14:textFill>
                  <w14:solidFill>
                    <w14:schemeClr w14:val="tx1"/>
                  </w14:solidFill>
                </w14:textFill>
              </w:rPr>
            </w:pPr>
            <w:r>
              <w:rPr>
                <w:rFonts w:hint="default" w:ascii="Times New Roman" w:hAnsi="Times New Roman" w:cs="Times New Roman"/>
                <w:color w:val="000000" w:themeColor="text1"/>
                <w:sz w:val="24"/>
                <w:highlight w:val="none"/>
                <w:lang w:val="en-US" w:eastAsia="zh-CN"/>
                <w14:textFill>
                  <w14:solidFill>
                    <w14:schemeClr w14:val="tx1"/>
                  </w14:solidFill>
                </w14:textFill>
              </w:rPr>
              <w:t>本次技改项目员工无变动，不新增生活污水。</w:t>
            </w:r>
          </w:p>
          <w:p>
            <w:pPr>
              <w:adjustRightInd w:val="0"/>
              <w:spacing w:line="360" w:lineRule="auto"/>
              <w:ind w:firstLine="480" w:firstLineChars="200"/>
              <w:jc w:val="left"/>
              <w:rPr>
                <w:rFonts w:hint="eastAsia"/>
                <w:color w:val="000000" w:themeColor="text1"/>
                <w:kern w:val="0"/>
                <w:sz w:val="24"/>
                <w:szCs w:val="23"/>
                <w:highlight w:val="none"/>
                <w14:textFill>
                  <w14:solidFill>
                    <w14:schemeClr w14:val="tx1"/>
                  </w14:solidFill>
                </w14:textFill>
              </w:rPr>
            </w:pPr>
            <w:r>
              <w:rPr>
                <w:rFonts w:hint="eastAsia"/>
                <w:color w:val="000000" w:themeColor="text1"/>
                <w:kern w:val="0"/>
                <w:sz w:val="24"/>
                <w:szCs w:val="23"/>
                <w:highlight w:val="none"/>
                <w:lang w:val="en-US" w:eastAsia="zh-CN"/>
                <w14:textFill>
                  <w14:solidFill>
                    <w14:schemeClr w14:val="tx1"/>
                  </w14:solidFill>
                </w14:textFill>
              </w:rPr>
              <w:t>技改</w:t>
            </w:r>
            <w:r>
              <w:rPr>
                <w:rFonts w:hint="eastAsia"/>
                <w:color w:val="000000" w:themeColor="text1"/>
                <w:kern w:val="0"/>
                <w:sz w:val="24"/>
                <w:szCs w:val="23"/>
                <w:highlight w:val="none"/>
                <w14:textFill>
                  <w14:solidFill>
                    <w14:schemeClr w14:val="tx1"/>
                  </w14:solidFill>
                </w14:textFill>
              </w:rPr>
              <w:t>项目水平衡图见图2-1。</w:t>
            </w:r>
          </w:p>
          <w:p>
            <w:pPr>
              <w:pStyle w:val="2"/>
              <w:rPr>
                <w:rFonts w:hint="eastAsia"/>
                <w:lang w:eastAsia="zh-CN"/>
              </w:rPr>
            </w:pPr>
          </w:p>
          <w:p>
            <w:pPr>
              <w:adjustRightInd w:val="0"/>
              <w:spacing w:line="360" w:lineRule="auto"/>
              <w:ind w:firstLine="480" w:firstLineChars="200"/>
              <w:jc w:val="center"/>
              <w:rPr>
                <w:rFonts w:ascii="宋体" w:hAnsi="宋体"/>
                <w:sz w:val="24"/>
                <w:highlight w:val="yellow"/>
              </w:rPr>
            </w:pPr>
            <w:r>
              <w:rPr>
                <w:sz w:val="24"/>
                <w:highlight w:val="none"/>
              </w:rPr>
              <mc:AlternateContent>
                <mc:Choice Requires="wpc">
                  <w:drawing>
                    <wp:inline distT="0" distB="0" distL="114300" distR="114300">
                      <wp:extent cx="5345430" cy="2266315"/>
                      <wp:effectExtent l="0" t="0" r="0" b="0"/>
                      <wp:docPr id="3" name="画布 3"/>
                      <wp:cNvGraphicFramePr/>
                      <a:graphic xmlns:a="http://schemas.openxmlformats.org/drawingml/2006/main">
                        <a:graphicData uri="http://schemas.microsoft.com/office/word/2010/wordprocessingCanvas">
                          <wpc:wpc>
                            <wpc:bg>
                              <a:noFill/>
                            </wpc:bg>
                            <wpc:whole>
                              <a:ln>
                                <a:noFill/>
                              </a:ln>
                            </wpc:whole>
                            <wps:wsp>
                              <wps:cNvPr id="252" name="直接箭头连接符 29"/>
                              <wps:cNvCnPr>
                                <a:stCxn id="190" idx="3"/>
                                <a:endCxn id="191" idx="1"/>
                              </wps:cNvCnPr>
                              <wps:spPr>
                                <a:xfrm flipV="1">
                                  <a:off x="1630045" y="584200"/>
                                  <a:ext cx="578485" cy="635"/>
                                </a:xfrm>
                                <a:prstGeom prst="straightConnector1">
                                  <a:avLst/>
                                </a:prstGeom>
                                <a:ln>
                                  <a:solidFill>
                                    <a:schemeClr val="tx1"/>
                                  </a:solidFill>
                                  <a:tailEnd type="triangle" w="med" len="sm"/>
                                </a:ln>
                              </wps:spPr>
                              <wps:style>
                                <a:lnRef idx="1">
                                  <a:schemeClr val="accent1"/>
                                </a:lnRef>
                                <a:fillRef idx="0">
                                  <a:schemeClr val="accent1"/>
                                </a:fillRef>
                                <a:effectRef idx="0">
                                  <a:schemeClr val="accent1"/>
                                </a:effectRef>
                                <a:fontRef idx="minor">
                                  <a:schemeClr val="tx1"/>
                                </a:fontRef>
                              </wps:style>
                              <wps:bodyPr/>
                            </wps:wsp>
                            <wps:wsp>
                              <wps:cNvPr id="254" name="直接箭头连接符 31"/>
                              <wps:cNvCnPr>
                                <a:stCxn id="270" idx="3"/>
                                <a:endCxn id="266" idx="1"/>
                              </wps:cNvCnPr>
                              <wps:spPr>
                                <a:xfrm flipV="1">
                                  <a:off x="3493770" y="1217295"/>
                                  <a:ext cx="401955" cy="9525"/>
                                </a:xfrm>
                                <a:prstGeom prst="straightConnector1">
                                  <a:avLst/>
                                </a:prstGeom>
                                <a:ln w="0">
                                  <a:solidFill>
                                    <a:schemeClr val="tx1"/>
                                  </a:solidFill>
                                  <a:tailEnd type="triangle" w="med" len="sm"/>
                                </a:ln>
                              </wps:spPr>
                              <wps:style>
                                <a:lnRef idx="1">
                                  <a:schemeClr val="accent1"/>
                                </a:lnRef>
                                <a:fillRef idx="0">
                                  <a:schemeClr val="accent1"/>
                                </a:fillRef>
                                <a:effectRef idx="0">
                                  <a:schemeClr val="accent1"/>
                                </a:effectRef>
                                <a:fontRef idx="minor">
                                  <a:schemeClr val="tx1"/>
                                </a:fontRef>
                              </wps:style>
                              <wps:bodyPr/>
                            </wps:wsp>
                            <wps:wsp>
                              <wps:cNvPr id="255" name="直接箭头连接符 32"/>
                              <wps:cNvCnPr>
                                <a:stCxn id="196" idx="3"/>
                              </wps:cNvCnPr>
                              <wps:spPr>
                                <a:xfrm flipV="1">
                                  <a:off x="1607820" y="1803400"/>
                                  <a:ext cx="336550" cy="8890"/>
                                </a:xfrm>
                                <a:prstGeom prst="straightConnector1">
                                  <a:avLst/>
                                </a:prstGeom>
                                <a:ln>
                                  <a:solidFill>
                                    <a:schemeClr val="tx1"/>
                                  </a:solidFill>
                                  <a:prstDash val="sysDash"/>
                                  <a:tailEnd type="triangle" w="med" len="sm"/>
                                </a:ln>
                              </wps:spPr>
                              <wps:style>
                                <a:lnRef idx="1">
                                  <a:schemeClr val="accent1"/>
                                </a:lnRef>
                                <a:fillRef idx="0">
                                  <a:schemeClr val="accent1"/>
                                </a:fillRef>
                                <a:effectRef idx="0">
                                  <a:schemeClr val="accent1"/>
                                </a:effectRef>
                                <a:fontRef idx="minor">
                                  <a:schemeClr val="tx1"/>
                                </a:fontRef>
                              </wps:style>
                              <wps:bodyPr/>
                            </wps:wsp>
                            <wps:wsp>
                              <wps:cNvPr id="256" name="直接箭头连接符 37"/>
                              <wps:cNvCnPr>
                                <a:endCxn id="161" idx="1"/>
                              </wps:cNvCnPr>
                              <wps:spPr>
                                <a:xfrm>
                                  <a:off x="0" y="1231900"/>
                                  <a:ext cx="865505" cy="635"/>
                                </a:xfrm>
                                <a:prstGeom prst="straightConnector1">
                                  <a:avLst/>
                                </a:prstGeom>
                                <a:ln>
                                  <a:solidFill>
                                    <a:schemeClr val="tx1"/>
                                  </a:solidFill>
                                  <a:tailEnd type="triangle" w="med" len="sm"/>
                                </a:ln>
                              </wps:spPr>
                              <wps:style>
                                <a:lnRef idx="1">
                                  <a:schemeClr val="accent1"/>
                                </a:lnRef>
                                <a:fillRef idx="0">
                                  <a:schemeClr val="accent1"/>
                                </a:fillRef>
                                <a:effectRef idx="0">
                                  <a:schemeClr val="accent1"/>
                                </a:effectRef>
                                <a:fontRef idx="minor">
                                  <a:schemeClr val="tx1"/>
                                </a:fontRef>
                              </wps:style>
                              <wps:bodyPr/>
                            </wps:wsp>
                            <wps:wsp>
                              <wps:cNvPr id="261" name="直接箭头连接符 48"/>
                              <wps:cNvCnPr/>
                              <wps:spPr>
                                <a:xfrm>
                                  <a:off x="4375785" y="1403350"/>
                                  <a:ext cx="1905" cy="337185"/>
                                </a:xfrm>
                                <a:prstGeom prst="straightConnector1">
                                  <a:avLst/>
                                </a:prstGeom>
                                <a:ln w="0">
                                  <a:solidFill>
                                    <a:schemeClr val="tx1"/>
                                  </a:solidFill>
                                  <a:tailEnd type="triangle" w="med" len="sm"/>
                                </a:ln>
                              </wps:spPr>
                              <wps:style>
                                <a:lnRef idx="1">
                                  <a:schemeClr val="accent1"/>
                                </a:lnRef>
                                <a:fillRef idx="0">
                                  <a:schemeClr val="accent1"/>
                                </a:fillRef>
                                <a:effectRef idx="0">
                                  <a:schemeClr val="accent1"/>
                                </a:effectRef>
                                <a:fontRef idx="minor">
                                  <a:schemeClr val="tx1"/>
                                </a:fontRef>
                              </wps:style>
                              <wps:bodyPr/>
                            </wps:wsp>
                            <wps:wsp>
                              <wps:cNvPr id="262" name="文本框 151"/>
                              <wps:cNvSpPr txBox="1"/>
                              <wps:spPr>
                                <a:xfrm>
                                  <a:off x="877570" y="419100"/>
                                  <a:ext cx="752475" cy="313690"/>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pPr>
                                      <w:spacing w:line="240" w:lineRule="auto"/>
                                      <w:jc w:val="left"/>
                                      <w:rPr>
                                        <w:rFonts w:hint="eastAsia" w:eastAsia="宋体"/>
                                        <w:sz w:val="21"/>
                                        <w:szCs w:val="21"/>
                                        <w:lang w:val="en-US" w:eastAsia="zh-CN"/>
                                      </w:rPr>
                                    </w:pPr>
                                    <w:r>
                                      <w:rPr>
                                        <w:rFonts w:hint="eastAsia"/>
                                        <w:sz w:val="21"/>
                                        <w:szCs w:val="21"/>
                                        <w:lang w:val="en-US" w:eastAsia="zh-CN"/>
                                      </w:rPr>
                                      <w:t>脱模用水</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263" name="文本框 152"/>
                              <wps:cNvSpPr txBox="1"/>
                              <wps:spPr>
                                <a:xfrm>
                                  <a:off x="2208530" y="406400"/>
                                  <a:ext cx="1152525" cy="342265"/>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pPr>
                                      <w:rPr>
                                        <w:rFonts w:hint="default" w:eastAsia="宋体"/>
                                        <w:lang w:val="en-US" w:eastAsia="zh-CN"/>
                                      </w:rPr>
                                    </w:pPr>
                                    <w:r>
                                      <w:rPr>
                                        <w:rFonts w:hint="eastAsia"/>
                                        <w:lang w:val="en-US" w:eastAsia="zh-CN"/>
                                      </w:rPr>
                                      <w:t>厂区污水处理站</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266" name="文本框 155"/>
                              <wps:cNvSpPr txBox="1"/>
                              <wps:spPr>
                                <a:xfrm>
                                  <a:off x="3895725" y="1060450"/>
                                  <a:ext cx="1292860" cy="313690"/>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pPr>
                                      <w:rPr>
                                        <w:rFonts w:hint="default" w:eastAsia="宋体"/>
                                        <w:lang w:val="en-US" w:eastAsia="zh-CN"/>
                                      </w:rPr>
                                    </w:pPr>
                                    <w:r>
                                      <w:rPr>
                                        <w:rFonts w:hint="eastAsia"/>
                                        <w:lang w:val="en-US" w:eastAsia="zh-CN"/>
                                      </w:rPr>
                                      <w:t>朱家桥污水处理厂</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268" name="文本框 159"/>
                              <wps:cNvSpPr txBox="1"/>
                              <wps:spPr>
                                <a:xfrm>
                                  <a:off x="875030" y="1651000"/>
                                  <a:ext cx="866140" cy="323215"/>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pPr>
                                      <w:rPr>
                                        <w:rFonts w:hint="default" w:eastAsia="宋体"/>
                                        <w:lang w:val="en-US" w:eastAsia="zh-CN"/>
                                      </w:rPr>
                                    </w:pPr>
                                    <w:r>
                                      <w:rPr>
                                        <w:rFonts w:hint="eastAsia"/>
                                        <w:lang w:val="en-US" w:eastAsia="zh-CN"/>
                                      </w:rPr>
                                      <w:t>淬火冷却水</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269" name="文本框 161"/>
                              <wps:cNvSpPr txBox="1"/>
                              <wps:spPr>
                                <a:xfrm>
                                  <a:off x="865505" y="1079500"/>
                                  <a:ext cx="904240" cy="313690"/>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pPr>
                                      <w:spacing w:line="240" w:lineRule="auto"/>
                                      <w:jc w:val="left"/>
                                      <w:rPr>
                                        <w:rFonts w:hint="default" w:eastAsia="宋体"/>
                                        <w:sz w:val="21"/>
                                        <w:szCs w:val="21"/>
                                        <w:lang w:val="en-US" w:eastAsia="zh-CN"/>
                                      </w:rPr>
                                    </w:pPr>
                                    <w:r>
                                      <w:rPr>
                                        <w:rFonts w:hint="eastAsia"/>
                                        <w:sz w:val="21"/>
                                        <w:szCs w:val="21"/>
                                        <w:lang w:val="en-US" w:eastAsia="zh-CN"/>
                                      </w:rPr>
                                      <w:t>气密封用水</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270" name="文本框 162"/>
                              <wps:cNvSpPr txBox="1"/>
                              <wps:spPr>
                                <a:xfrm>
                                  <a:off x="2446655" y="1069975"/>
                                  <a:ext cx="1047115" cy="313690"/>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pPr>
                                      <w:spacing w:line="240" w:lineRule="auto"/>
                                      <w:jc w:val="left"/>
                                      <w:rPr>
                                        <w:rFonts w:hint="default" w:eastAsia="宋体"/>
                                        <w:sz w:val="21"/>
                                        <w:szCs w:val="21"/>
                                        <w:lang w:val="en-US" w:eastAsia="zh-CN"/>
                                      </w:rPr>
                                    </w:pPr>
                                    <w:r>
                                      <w:rPr>
                                        <w:rFonts w:hint="eastAsia"/>
                                        <w:sz w:val="21"/>
                                        <w:szCs w:val="21"/>
                                        <w:lang w:val="en-US" w:eastAsia="zh-CN"/>
                                      </w:rPr>
                                      <w:t>园区污水管网</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271" name="文本框 163"/>
                              <wps:cNvSpPr txBox="1"/>
                              <wps:spPr>
                                <a:xfrm>
                                  <a:off x="1465580" y="0"/>
                                  <a:ext cx="695325" cy="32321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default" w:eastAsia="宋体"/>
                                        <w:lang w:val="en-US" w:eastAsia="zh-CN"/>
                                      </w:rPr>
                                    </w:pPr>
                                    <w:r>
                                      <w:rPr>
                                        <w:rFonts w:hint="eastAsia"/>
                                        <w:lang w:val="en-US" w:eastAsia="zh-CN"/>
                                      </w:rPr>
                                      <w:t>30</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272" name="文本框 164"/>
                              <wps:cNvSpPr txBox="1"/>
                              <wps:spPr>
                                <a:xfrm>
                                  <a:off x="1713230" y="292100"/>
                                  <a:ext cx="485775" cy="32321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default" w:eastAsia="宋体"/>
                                        <w:lang w:val="en-US" w:eastAsia="zh-CN"/>
                                      </w:rPr>
                                    </w:pPr>
                                    <w:r>
                                      <w:rPr>
                                        <w:rFonts w:hint="eastAsia"/>
                                        <w:lang w:val="en-US" w:eastAsia="zh-CN"/>
                                      </w:rPr>
                                      <w:t>120</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273" name="文本框 165"/>
                              <wps:cNvSpPr txBox="1"/>
                              <wps:spPr>
                                <a:xfrm>
                                  <a:off x="2684780" y="749300"/>
                                  <a:ext cx="533400" cy="32321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default" w:eastAsia="宋体"/>
                                        <w:lang w:val="en-US" w:eastAsia="zh-CN"/>
                                      </w:rPr>
                                    </w:pPr>
                                    <w:r>
                                      <w:rPr>
                                        <w:rFonts w:hint="eastAsia"/>
                                        <w:lang w:val="en-US" w:eastAsia="zh-CN"/>
                                      </w:rPr>
                                      <w:t>1420</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274" name="文本框 166"/>
                              <wps:cNvSpPr txBox="1"/>
                              <wps:spPr>
                                <a:xfrm>
                                  <a:off x="1732280" y="879475"/>
                                  <a:ext cx="695325" cy="32321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default" w:eastAsia="宋体"/>
                                        <w:lang w:val="en-US" w:eastAsia="zh-CN"/>
                                      </w:rPr>
                                    </w:pPr>
                                    <w:r>
                                      <w:rPr>
                                        <w:rFonts w:hint="eastAsia"/>
                                        <w:lang w:val="en-US" w:eastAsia="zh-CN"/>
                                      </w:rPr>
                                      <w:t>1300</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275" name="文本框 167"/>
                              <wps:cNvSpPr txBox="1"/>
                              <wps:spPr>
                                <a:xfrm>
                                  <a:off x="1722755" y="1517650"/>
                                  <a:ext cx="695325" cy="32321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default" w:eastAsia="宋体"/>
                                        <w:lang w:val="en-US" w:eastAsia="zh-CN"/>
                                      </w:rPr>
                                    </w:pPr>
                                    <w:r>
                                      <w:rPr>
                                        <w:rFonts w:hint="eastAsia"/>
                                        <w:lang w:val="en-US" w:eastAsia="zh-CN"/>
                                      </w:rPr>
                                      <w:t>3000</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276" name="文本框 168"/>
                              <wps:cNvSpPr txBox="1"/>
                              <wps:spPr>
                                <a:xfrm>
                                  <a:off x="427990" y="1558925"/>
                                  <a:ext cx="466725" cy="32321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default" w:eastAsia="宋体"/>
                                        <w:lang w:val="en-US" w:eastAsia="zh-CN"/>
                                      </w:rPr>
                                    </w:pPr>
                                    <w:r>
                                      <w:rPr>
                                        <w:rFonts w:hint="eastAsia"/>
                                        <w:lang w:val="en-US" w:eastAsia="zh-CN"/>
                                      </w:rPr>
                                      <w:t>3000</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277" name="文本框 169"/>
                              <wps:cNvSpPr txBox="1"/>
                              <wps:spPr>
                                <a:xfrm>
                                  <a:off x="400050" y="330200"/>
                                  <a:ext cx="495300" cy="32321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default" w:eastAsia="宋体"/>
                                        <w:lang w:val="en-US" w:eastAsia="zh-CN"/>
                                      </w:rPr>
                                    </w:pPr>
                                    <w:r>
                                      <w:rPr>
                                        <w:rFonts w:hint="eastAsia"/>
                                        <w:lang w:val="en-US" w:eastAsia="zh-CN"/>
                                      </w:rPr>
                                      <w:t>150</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278" name="文本框 170"/>
                              <wps:cNvSpPr txBox="1"/>
                              <wps:spPr>
                                <a:xfrm>
                                  <a:off x="465455" y="1003300"/>
                                  <a:ext cx="695325" cy="32321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default" w:eastAsia="宋体"/>
                                        <w:lang w:val="en-US" w:eastAsia="zh-CN"/>
                                      </w:rPr>
                                    </w:pPr>
                                    <w:r>
                                      <w:rPr>
                                        <w:rFonts w:hint="eastAsia"/>
                                        <w:lang w:val="en-US" w:eastAsia="zh-CN"/>
                                      </w:rPr>
                                      <w:t>1300</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279" name="文本框 171"/>
                              <wps:cNvSpPr txBox="1"/>
                              <wps:spPr>
                                <a:xfrm>
                                  <a:off x="19050" y="1270000"/>
                                  <a:ext cx="542925" cy="32321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default" w:eastAsia="宋体"/>
                                        <w:lang w:val="en-US" w:eastAsia="zh-CN"/>
                                      </w:rPr>
                                    </w:pPr>
                                    <w:r>
                                      <w:rPr>
                                        <w:rFonts w:hint="eastAsia"/>
                                        <w:lang w:val="en-US" w:eastAsia="zh-CN"/>
                                      </w:rPr>
                                      <w:t>4450</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280" name="文本框 172"/>
                              <wps:cNvSpPr txBox="1"/>
                              <wps:spPr>
                                <a:xfrm>
                                  <a:off x="0" y="952500"/>
                                  <a:ext cx="591185" cy="32321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default" w:eastAsia="宋体"/>
                                        <w:lang w:val="en-US" w:eastAsia="zh-CN"/>
                                      </w:rPr>
                                    </w:pPr>
                                    <w:r>
                                      <w:rPr>
                                        <w:rFonts w:hint="eastAsia"/>
                                        <w:lang w:val="en-US" w:eastAsia="zh-CN"/>
                                      </w:rPr>
                                      <w:t>自来水</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281" name="文本框 173"/>
                              <wps:cNvSpPr txBox="1"/>
                              <wps:spPr>
                                <a:xfrm>
                                  <a:off x="1932305" y="1689100"/>
                                  <a:ext cx="808990" cy="32321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default" w:eastAsia="宋体"/>
                                        <w:lang w:val="en-US" w:eastAsia="zh-CN"/>
                                      </w:rPr>
                                    </w:pPr>
                                    <w:r>
                                      <w:rPr>
                                        <w:rFonts w:hint="eastAsia"/>
                                        <w:lang w:val="en-US" w:eastAsia="zh-CN"/>
                                      </w:rPr>
                                      <w:t>循环损耗</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284" name="文本框 176"/>
                              <wps:cNvSpPr txBox="1"/>
                              <wps:spPr>
                                <a:xfrm>
                                  <a:off x="4189730" y="1784350"/>
                                  <a:ext cx="695325" cy="32321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default" w:eastAsia="宋体"/>
                                        <w:lang w:val="en-US" w:eastAsia="zh-CN"/>
                                      </w:rPr>
                                    </w:pPr>
                                    <w:r>
                                      <w:rPr>
                                        <w:rFonts w:hint="eastAsia"/>
                                        <w:lang w:val="en-US" w:eastAsia="zh-CN"/>
                                      </w:rPr>
                                      <w:t>长江</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285" name="直接箭头连接符 32"/>
                              <wps:cNvCnPr/>
                              <wps:spPr>
                                <a:xfrm flipV="1">
                                  <a:off x="1263650" y="187325"/>
                                  <a:ext cx="285115" cy="222885"/>
                                </a:xfrm>
                                <a:prstGeom prst="straightConnector1">
                                  <a:avLst/>
                                </a:prstGeom>
                                <a:ln>
                                  <a:solidFill>
                                    <a:schemeClr val="tx1"/>
                                  </a:solidFill>
                                  <a:prstDash val="sysDash"/>
                                  <a:tailEnd type="triangle" w="med" len="sm"/>
                                </a:ln>
                              </wps:spPr>
                              <wps:style>
                                <a:lnRef idx="1">
                                  <a:schemeClr val="accent1"/>
                                </a:lnRef>
                                <a:fillRef idx="0">
                                  <a:schemeClr val="accent1"/>
                                </a:fillRef>
                                <a:effectRef idx="0">
                                  <a:schemeClr val="accent1"/>
                                </a:effectRef>
                                <a:fontRef idx="minor">
                                  <a:schemeClr val="tx1"/>
                                </a:fontRef>
                              </wps:style>
                              <wps:bodyPr/>
                            </wps:wsp>
                            <wps:wsp>
                              <wps:cNvPr id="287" name="肘形连接符 179"/>
                              <wps:cNvCnPr>
                                <a:stCxn id="151" idx="1"/>
                                <a:endCxn id="159" idx="1"/>
                              </wps:cNvCnPr>
                              <wps:spPr>
                                <a:xfrm rot="10800000" flipV="1">
                                  <a:off x="875030" y="584200"/>
                                  <a:ext cx="2540" cy="1235075"/>
                                </a:xfrm>
                                <a:prstGeom prst="bentConnector3">
                                  <a:avLst>
                                    <a:gd name="adj1" fmla="val 15475000"/>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2" name="直接箭头连接符 48"/>
                              <wps:cNvCnPr/>
                              <wps:spPr>
                                <a:xfrm>
                                  <a:off x="2658745" y="735330"/>
                                  <a:ext cx="8890" cy="314960"/>
                                </a:xfrm>
                                <a:prstGeom prst="straightConnector1">
                                  <a:avLst/>
                                </a:prstGeom>
                                <a:ln w="0">
                                  <a:solidFill>
                                    <a:schemeClr val="tx1"/>
                                  </a:solidFill>
                                  <a:tailEnd type="triangle" w="med" len="sm"/>
                                </a:ln>
                              </wps:spPr>
                              <wps:style>
                                <a:lnRef idx="1">
                                  <a:schemeClr val="accent1"/>
                                </a:lnRef>
                                <a:fillRef idx="0">
                                  <a:schemeClr val="accent1"/>
                                </a:fillRef>
                                <a:effectRef idx="0">
                                  <a:schemeClr val="accent1"/>
                                </a:effectRef>
                                <a:fontRef idx="minor">
                                  <a:schemeClr val="tx1"/>
                                </a:fontRef>
                              </wps:style>
                              <wps:bodyPr/>
                            </wps:wsp>
                            <wps:wsp>
                              <wps:cNvPr id="4" name="文本框 173"/>
                              <wps:cNvSpPr txBox="1"/>
                              <wps:spPr>
                                <a:xfrm>
                                  <a:off x="3437255" y="932180"/>
                                  <a:ext cx="808990" cy="32321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default" w:eastAsia="宋体"/>
                                        <w:lang w:val="en-US" w:eastAsia="zh-CN"/>
                                      </w:rPr>
                                    </w:pPr>
                                    <w:r>
                                      <w:rPr>
                                        <w:rFonts w:hint="eastAsia"/>
                                        <w:lang w:val="en-US" w:eastAsia="zh-CN"/>
                                      </w:rPr>
                                      <w:t>1420</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6" name="文本框 173"/>
                              <wps:cNvSpPr txBox="1"/>
                              <wps:spPr>
                                <a:xfrm>
                                  <a:off x="4323080" y="1408430"/>
                                  <a:ext cx="808990" cy="32321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default" w:eastAsia="宋体"/>
                                        <w:lang w:val="en-US" w:eastAsia="zh-CN"/>
                                      </w:rPr>
                                    </w:pPr>
                                    <w:r>
                                      <w:rPr>
                                        <w:rFonts w:hint="eastAsia"/>
                                        <w:lang w:val="en-US" w:eastAsia="zh-CN"/>
                                      </w:rPr>
                                      <w:t>1420</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8" name="直接箭头连接符 48"/>
                              <wps:cNvCnPr/>
                              <wps:spPr>
                                <a:xfrm>
                                  <a:off x="1058545" y="209550"/>
                                  <a:ext cx="6350" cy="208915"/>
                                </a:xfrm>
                                <a:prstGeom prst="straightConnector1">
                                  <a:avLst/>
                                </a:prstGeom>
                                <a:ln w="0">
                                  <a:solidFill>
                                    <a:schemeClr val="tx1"/>
                                  </a:solidFill>
                                  <a:tailEnd type="triangle" w="med" len="sm"/>
                                </a:ln>
                              </wps:spPr>
                              <wps:style>
                                <a:lnRef idx="1">
                                  <a:schemeClr val="accent1"/>
                                </a:lnRef>
                                <a:fillRef idx="0">
                                  <a:schemeClr val="accent1"/>
                                </a:fillRef>
                                <a:effectRef idx="0">
                                  <a:schemeClr val="accent1"/>
                                </a:effectRef>
                                <a:fontRef idx="minor">
                                  <a:schemeClr val="tx1"/>
                                </a:fontRef>
                              </wps:style>
                              <wps:bodyPr/>
                            </wps:wsp>
                            <wps:wsp>
                              <wps:cNvPr id="11" name="文本框 173"/>
                              <wps:cNvSpPr txBox="1"/>
                              <wps:spPr>
                                <a:xfrm>
                                  <a:off x="466090" y="0"/>
                                  <a:ext cx="922655" cy="32321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default" w:eastAsia="宋体"/>
                                        <w:lang w:val="en-US" w:eastAsia="zh-CN"/>
                                      </w:rPr>
                                    </w:pPr>
                                    <w:r>
                                      <w:rPr>
                                        <w:rFonts w:hint="eastAsia"/>
                                        <w:lang w:val="en-US" w:eastAsia="zh-CN"/>
                                      </w:rPr>
                                      <w:t>脱模剂7</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5" name="肘形连接符 5"/>
                              <wps:cNvCnPr/>
                              <wps:spPr>
                                <a:xfrm flipV="1">
                                  <a:off x="1779270" y="748665"/>
                                  <a:ext cx="545465" cy="497205"/>
                                </a:xfrm>
                                <a:prstGeom prst="bentConnector3">
                                  <a:avLst>
                                    <a:gd name="adj1" fmla="val 100698"/>
                                  </a:avLst>
                                </a:prstGeom>
                                <a:ln>
                                  <a:solidFill>
                                    <a:schemeClr val="tx1"/>
                                  </a:solidFill>
                                  <a:tailEnd type="triangle" w="med" len="sm"/>
                                </a:ln>
                              </wps:spPr>
                              <wps:style>
                                <a:lnRef idx="1">
                                  <a:schemeClr val="accent1"/>
                                </a:lnRef>
                                <a:fillRef idx="0">
                                  <a:schemeClr val="accent1"/>
                                </a:fillRef>
                                <a:effectRef idx="0">
                                  <a:schemeClr val="accent1"/>
                                </a:effectRef>
                                <a:fontRef idx="minor">
                                  <a:schemeClr val="tx1"/>
                                </a:fontRef>
                              </wps:style>
                              <wps:bodyPr/>
                            </wps:wsp>
                          </wpc:wpc>
                        </a:graphicData>
                      </a:graphic>
                    </wp:inline>
                  </w:drawing>
                </mc:Choice>
                <mc:Fallback>
                  <w:pict>
                    <v:group id="_x0000_s1026" o:spid="_x0000_s1026" o:spt="203" style="height:178.45pt;width:420.9pt;" coordsize="5345430,2266315" editas="canvas" o:gfxdata="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">
                      <o:lock v:ext="edit" aspectratio="f"/>
                      <v:shape id="_x0000_s1026" o:spid="_x0000_s1026" style="position:absolute;left:0;top:0;height:2266315;width:5345430;" filled="f" stroked="f" coordsize="21600,21600" o:gfxdata="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">
                        <v:fill on="f" focussize="0,0"/>
                        <v:stroke on="f"/>
                        <v:imagedata o:title=""/>
                        <o:lock v:ext="edit" aspectratio="f"/>
                      </v:shape>
                      <v:shape id="直接箭头连接符 29" o:spid="_x0000_s1026" o:spt="32" type="#_x0000_t32" style="position:absolute;left:1630045;top:584200;flip:y;height:635;width:578485;" filled="f" stroked="t" coordsize="21600,21600" o:gfxdata="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">
                        <v:fill on="f" focussize="0,0"/>
                        <v:stroke weight="0.5pt" color="#000000 [3213]" miterlimit="8" joinstyle="miter" endarrow="block" endarrowlength="short"/>
                        <v:imagedata o:title=""/>
                        <o:lock v:ext="edit" aspectratio="f"/>
                      </v:shape>
                      <v:shape id="直接箭头连接符 31" o:spid="_x0000_s1026" o:spt="32" type="#_x0000_t32" style="position:absolute;left:3493770;top:1217295;flip:y;height:9525;width:401955;" filled="f" stroked="t" coordsize="21600,21600" o:gfxdata="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">
                        <v:fill on="f" focussize="0,0"/>
                        <v:stroke weight="0pt" color="#000000 [3213]" miterlimit="8" joinstyle="miter" endarrow="block" endarrowlength="short"/>
                        <v:imagedata o:title=""/>
                        <o:lock v:ext="edit" aspectratio="f"/>
                      </v:shape>
                      <v:shape id="直接箭头连接符 32" o:spid="_x0000_s1026" o:spt="32" type="#_x0000_t32" style="position:absolute;left:1607820;top:1803400;flip:y;height:8890;width:336550;" filled="f" stroked="t" coordsize="21600,21600" o:gfxdata="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GJBBlHYAAAA&#10;BQEAAA8AAAAAAAAAAQAgAAAAIgAAAGRycy9kb3ducmV2LnhtbFBLAQIUABQAAAAIAIdO4kAPJKMm&#10;HQIAAOkDAAAOAAAAAAAAAAEAIAAAACcBAABkcnMvZTJvRG9jLnhtbFBLBQYAAAAABgAGAFkBAAC2&#10;BQAAAAA=&#10;">
                        <v:fill on="f" focussize="0,0"/>
                        <v:stroke weight="0.5pt" color="#000000 [3213]" miterlimit="8" joinstyle="miter" dashstyle="3 1" endarrow="block" endarrowlength="short"/>
                        <v:imagedata o:title=""/>
                        <o:lock v:ext="edit" aspectratio="f"/>
                      </v:shape>
                      <v:shape id="直接箭头连接符 37" o:spid="_x0000_s1026" o:spt="32" type="#_x0000_t32" style="position:absolute;left:0;top:1231900;height:635;width:865505;" filled="f" stroked="t" coordsize="21600,21600" o:gfxdata="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DtfgbE1gAAAAUBAAAPAAAAAAAAAAEAIAAA&#10;ACIAAABkcnMvZG93bnJldi54bWxQSwECFAAUAAAACACHTuJA+AaNBg4CAADXAwAADgAAAAAAAAAB&#10;ACAAAAAlAQAAZHJzL2Uyb0RvYy54bWxQSwUGAAAAAAYABgBZAQAApQUAAAAA&#10;">
                        <v:fill on="f" focussize="0,0"/>
                        <v:stroke weight="0.5pt" color="#000000 [3213]" miterlimit="8" joinstyle="miter" endarrow="block" endarrowlength="short"/>
                        <v:imagedata o:title=""/>
                        <o:lock v:ext="edit" aspectratio="f"/>
                      </v:shape>
                      <v:shape id="直接箭头连接符 48" o:spid="_x0000_s1026" o:spt="32" type="#_x0000_t32" style="position:absolute;left:4375785;top:1403350;height:337185;width:1905;" filled="f" stroked="t" coordsize="21600,21600" o:gfxdata="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A3OLg11QAAAAUBAAAPAAAAAAAAAAEAIAAAACIAAABkcnMvZG93&#10;bnJldi54bWxQSwECFAAUAAAACACHTuJADvGTVwMCAACyAwAADgAAAAAAAAABACAAAAAkAQAAZHJz&#10;L2Uyb0RvYy54bWxQSwUGAAAAAAYABgBZAQAAmQUAAAAA&#10;">
                        <v:fill on="f" focussize="0,0"/>
                        <v:stroke weight="0pt" color="#000000 [3213]" miterlimit="8" joinstyle="miter" endarrow="block" endarrowlength="short"/>
                        <v:imagedata o:title=""/>
                        <o:lock v:ext="edit" aspectratio="f"/>
                      </v:shape>
                      <v:shape id="文本框 151" o:spid="_x0000_s1026" o:spt="202" type="#_x0000_t202" style="position:absolute;left:877570;top:419100;height:313690;width:752475;" fillcolor="#FFFFFF [3201]" filled="t" stroked="t" coordsize="21600,21600" o:gfxdata="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">
                        <v:fill on="t" focussize="0,0"/>
                        <v:stroke weight="0.5pt" color="#000000 [3204]" joinstyle="round"/>
                        <v:imagedata o:title=""/>
                        <o:lock v:ext="edit" aspectratio="f"/>
                        <v:textbox>
                          <w:txbxContent>
                            <w:p>
                              <w:pPr>
                                <w:spacing w:line="240" w:lineRule="auto"/>
                                <w:jc w:val="left"/>
                                <w:rPr>
                                  <w:rFonts w:hint="eastAsia" w:eastAsia="宋体"/>
                                  <w:sz w:val="21"/>
                                  <w:szCs w:val="21"/>
                                  <w:lang w:val="en-US" w:eastAsia="zh-CN"/>
                                </w:rPr>
                              </w:pPr>
                              <w:r>
                                <w:rPr>
                                  <w:rFonts w:hint="eastAsia"/>
                                  <w:sz w:val="21"/>
                                  <w:szCs w:val="21"/>
                                  <w:lang w:val="en-US" w:eastAsia="zh-CN"/>
                                </w:rPr>
                                <w:t>脱模用水</w:t>
                              </w:r>
                            </w:p>
                          </w:txbxContent>
                        </v:textbox>
                      </v:shape>
                      <v:shape id="文本框 152" o:spid="_x0000_s1026" o:spt="202" type="#_x0000_t202" style="position:absolute;left:2208530;top:406400;height:342265;width:1152525;" fillcolor="#FFFFFF [3201]" filled="t" stroked="t" coordsize="21600,21600" o:gfxdata="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">
                        <v:fill on="t" focussize="0,0"/>
                        <v:stroke weight="0.5pt" color="#000000 [3204]" joinstyle="round"/>
                        <v:imagedata o:title=""/>
                        <o:lock v:ext="edit" aspectratio="f"/>
                        <v:textbox>
                          <w:txbxContent>
                            <w:p>
                              <w:pPr>
                                <w:rPr>
                                  <w:rFonts w:hint="default" w:eastAsia="宋体"/>
                                  <w:lang w:val="en-US" w:eastAsia="zh-CN"/>
                                </w:rPr>
                              </w:pPr>
                              <w:r>
                                <w:rPr>
                                  <w:rFonts w:hint="eastAsia"/>
                                  <w:lang w:val="en-US" w:eastAsia="zh-CN"/>
                                </w:rPr>
                                <w:t>厂区污水处理站</w:t>
                              </w:r>
                            </w:p>
                          </w:txbxContent>
                        </v:textbox>
                      </v:shape>
                      <v:shape id="文本框 155" o:spid="_x0000_s1026" o:spt="202" type="#_x0000_t202" style="position:absolute;left:3895725;top:1060450;height:313690;width:1292860;" fillcolor="#FFFFFF [3201]" filled="t" stroked="t" coordsize="21600,21600" o:gfxdata="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">
                        <v:fill on="t" focussize="0,0"/>
                        <v:stroke weight="0.5pt" color="#000000 [3204]" joinstyle="round"/>
                        <v:imagedata o:title=""/>
                        <o:lock v:ext="edit" aspectratio="f"/>
                        <v:textbox>
                          <w:txbxContent>
                            <w:p>
                              <w:pPr>
                                <w:rPr>
                                  <w:rFonts w:hint="default" w:eastAsia="宋体"/>
                                  <w:lang w:val="en-US" w:eastAsia="zh-CN"/>
                                </w:rPr>
                              </w:pPr>
                              <w:r>
                                <w:rPr>
                                  <w:rFonts w:hint="eastAsia"/>
                                  <w:lang w:val="en-US" w:eastAsia="zh-CN"/>
                                </w:rPr>
                                <w:t>朱家桥污水处理厂</w:t>
                              </w:r>
                            </w:p>
                          </w:txbxContent>
                        </v:textbox>
                      </v:shape>
                      <v:shape id="文本框 159" o:spid="_x0000_s1026" o:spt="202" type="#_x0000_t202" style="position:absolute;left:875030;top:1651000;height:323215;width:866140;" fillcolor="#FFFFFF [3201]" filled="t" stroked="t" coordsize="21600,21600" o:gfxdata="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">
                        <v:fill on="t" focussize="0,0"/>
                        <v:stroke weight="0.5pt" color="#000000 [3204]" joinstyle="round"/>
                        <v:imagedata o:title=""/>
                        <o:lock v:ext="edit" aspectratio="f"/>
                        <v:textbox>
                          <w:txbxContent>
                            <w:p>
                              <w:pPr>
                                <w:rPr>
                                  <w:rFonts w:hint="default" w:eastAsia="宋体"/>
                                  <w:lang w:val="en-US" w:eastAsia="zh-CN"/>
                                </w:rPr>
                              </w:pPr>
                              <w:r>
                                <w:rPr>
                                  <w:rFonts w:hint="eastAsia"/>
                                  <w:lang w:val="en-US" w:eastAsia="zh-CN"/>
                                </w:rPr>
                                <w:t>淬火冷却水</w:t>
                              </w:r>
                            </w:p>
                          </w:txbxContent>
                        </v:textbox>
                      </v:shape>
                      <v:shape id="文本框 161" o:spid="_x0000_s1026" o:spt="202" type="#_x0000_t202" style="position:absolute;left:865505;top:1079500;height:313690;width:904240;" fillcolor="#FFFFFF [3201]" filled="t" stroked="t" coordsize="21600,21600" o:gfxdata="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">
                        <v:fill on="t" focussize="0,0"/>
                        <v:stroke weight="0.5pt" color="#000000 [3204]" joinstyle="round"/>
                        <v:imagedata o:title=""/>
                        <o:lock v:ext="edit" aspectratio="f"/>
                        <v:textbox>
                          <w:txbxContent>
                            <w:p>
                              <w:pPr>
                                <w:spacing w:line="240" w:lineRule="auto"/>
                                <w:jc w:val="left"/>
                                <w:rPr>
                                  <w:rFonts w:hint="default" w:eastAsia="宋体"/>
                                  <w:sz w:val="21"/>
                                  <w:szCs w:val="21"/>
                                  <w:lang w:val="en-US" w:eastAsia="zh-CN"/>
                                </w:rPr>
                              </w:pPr>
                              <w:r>
                                <w:rPr>
                                  <w:rFonts w:hint="eastAsia"/>
                                  <w:sz w:val="21"/>
                                  <w:szCs w:val="21"/>
                                  <w:lang w:val="en-US" w:eastAsia="zh-CN"/>
                                </w:rPr>
                                <w:t>气密封用水</w:t>
                              </w:r>
                            </w:p>
                          </w:txbxContent>
                        </v:textbox>
                      </v:shape>
                      <v:shape id="文本框 162" o:spid="_x0000_s1026" o:spt="202" type="#_x0000_t202" style="position:absolute;left:2446655;top:1069975;height:313690;width:1047115;" fillcolor="#FFFFFF [3201]" filled="t" stroked="t" coordsize="21600,21600" o:gfxdata="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">
                        <v:fill on="t" focussize="0,0"/>
                        <v:stroke weight="0.5pt" color="#000000 [3204]" joinstyle="round"/>
                        <v:imagedata o:title=""/>
                        <o:lock v:ext="edit" aspectratio="f"/>
                        <v:textbox>
                          <w:txbxContent>
                            <w:p>
                              <w:pPr>
                                <w:spacing w:line="240" w:lineRule="auto"/>
                                <w:jc w:val="left"/>
                                <w:rPr>
                                  <w:rFonts w:hint="default" w:eastAsia="宋体"/>
                                  <w:sz w:val="21"/>
                                  <w:szCs w:val="21"/>
                                  <w:lang w:val="en-US" w:eastAsia="zh-CN"/>
                                </w:rPr>
                              </w:pPr>
                              <w:r>
                                <w:rPr>
                                  <w:rFonts w:hint="eastAsia"/>
                                  <w:sz w:val="21"/>
                                  <w:szCs w:val="21"/>
                                  <w:lang w:val="en-US" w:eastAsia="zh-CN"/>
                                </w:rPr>
                                <w:t>园区污水管网</w:t>
                              </w:r>
                            </w:p>
                          </w:txbxContent>
                        </v:textbox>
                      </v:shape>
                      <v:shape id="文本框 163" o:spid="_x0000_s1026" o:spt="202" type="#_x0000_t202" style="position:absolute;left:1465580;top:0;height:323215;width:695325;" filled="f" stroked="f" coordsize="21600,21600" o:gfxdata="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">
                        <v:fill on="f" focussize="0,0"/>
                        <v:stroke on="f" weight="0.5pt"/>
                        <v:imagedata o:title=""/>
                        <o:lock v:ext="edit" aspectratio="f"/>
                        <v:textbox>
                          <w:txbxContent>
                            <w:p>
                              <w:pPr>
                                <w:rPr>
                                  <w:rFonts w:hint="default" w:eastAsia="宋体"/>
                                  <w:lang w:val="en-US" w:eastAsia="zh-CN"/>
                                </w:rPr>
                              </w:pPr>
                              <w:r>
                                <w:rPr>
                                  <w:rFonts w:hint="eastAsia"/>
                                  <w:lang w:val="en-US" w:eastAsia="zh-CN"/>
                                </w:rPr>
                                <w:t>30</w:t>
                              </w:r>
                            </w:p>
                          </w:txbxContent>
                        </v:textbox>
                      </v:shape>
                      <v:shape id="文本框 164" o:spid="_x0000_s1026" o:spt="202" type="#_x0000_t202" style="position:absolute;left:1713230;top:292100;height:323215;width:485775;" filled="f" stroked="f" coordsize="21600,21600" o:gfxdata="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DzpTmR2AAAAAUBAAAPAAAAAAAAAAEAIAAAACIAAABkcnMvZG93bnJldi54bWxQSwECFAAU&#10;AAAACACHTuJAiw/QlCoCAAAmBAAADgAAAAAAAAABACAAAAAnAQAAZHJzL2Uyb0RvYy54bWxQSwUG&#10;AAAAAAYABgBZAQAAwwUAAAAA&#10;">
                        <v:fill on="f" focussize="0,0"/>
                        <v:stroke on="f" weight="0.5pt"/>
                        <v:imagedata o:title=""/>
                        <o:lock v:ext="edit" aspectratio="f"/>
                        <v:textbox>
                          <w:txbxContent>
                            <w:p>
                              <w:pPr>
                                <w:rPr>
                                  <w:rFonts w:hint="default" w:eastAsia="宋体"/>
                                  <w:lang w:val="en-US" w:eastAsia="zh-CN"/>
                                </w:rPr>
                              </w:pPr>
                              <w:r>
                                <w:rPr>
                                  <w:rFonts w:hint="eastAsia"/>
                                  <w:lang w:val="en-US" w:eastAsia="zh-CN"/>
                                </w:rPr>
                                <w:t>120</w:t>
                              </w:r>
                            </w:p>
                          </w:txbxContent>
                        </v:textbox>
                      </v:shape>
                      <v:shape id="文本框 165" o:spid="_x0000_s1026" o:spt="202" type="#_x0000_t202" style="position:absolute;left:2684780;top:749300;height:323215;width:533400;" filled="f" stroked="f" coordsize="21600,21600" o:gfxdata="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POlOZHYAAAABQEAAA8AAAAAAAAAAQAgAAAAIgAAAGRycy9kb3ducmV2LnhtbFBLAQIU&#10;ABQAAAAIAIdO4kAs8i2MLAIAACYEAAAOAAAAAAAAAAEAIAAAACcBAABkcnMvZTJvRG9jLnhtbFBL&#10;BQYAAAAABgAGAFkBAADFBQAAAAA=&#10;">
                        <v:fill on="f" focussize="0,0"/>
                        <v:stroke on="f" weight="0.5pt"/>
                        <v:imagedata o:title=""/>
                        <o:lock v:ext="edit" aspectratio="f"/>
                        <v:textbox>
                          <w:txbxContent>
                            <w:p>
                              <w:pPr>
                                <w:rPr>
                                  <w:rFonts w:hint="default" w:eastAsia="宋体"/>
                                  <w:lang w:val="en-US" w:eastAsia="zh-CN"/>
                                </w:rPr>
                              </w:pPr>
                              <w:r>
                                <w:rPr>
                                  <w:rFonts w:hint="eastAsia"/>
                                  <w:lang w:val="en-US" w:eastAsia="zh-CN"/>
                                </w:rPr>
                                <w:t>1420</w:t>
                              </w:r>
                            </w:p>
                          </w:txbxContent>
                        </v:textbox>
                      </v:shape>
                      <v:shape id="文本框 166" o:spid="_x0000_s1026" o:spt="202" type="#_x0000_t202" style="position:absolute;left:1732280;top:879475;height:323215;width:695325;" filled="f" stroked="f" coordsize="21600,21600" o:gfxdata="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POlOZHYAAAABQEAAA8AAAAAAAAAAQAgAAAAIgAAAGRycy9kb3ducmV2LnhtbFBLAQIU&#10;ABQAAAAIAIdO4kAK4SdrLAIAACYEAAAOAAAAAAAAAAEAIAAAACcBAABkcnMvZTJvRG9jLnhtbFBL&#10;BQYAAAAABgAGAFkBAADFBQAAAAA=&#10;">
                        <v:fill on="f" focussize="0,0"/>
                        <v:stroke on="f" weight="0.5pt"/>
                        <v:imagedata o:title=""/>
                        <o:lock v:ext="edit" aspectratio="f"/>
                        <v:textbox>
                          <w:txbxContent>
                            <w:p>
                              <w:pPr>
                                <w:rPr>
                                  <w:rFonts w:hint="default" w:eastAsia="宋体"/>
                                  <w:lang w:val="en-US" w:eastAsia="zh-CN"/>
                                </w:rPr>
                              </w:pPr>
                              <w:r>
                                <w:rPr>
                                  <w:rFonts w:hint="eastAsia"/>
                                  <w:lang w:val="en-US" w:eastAsia="zh-CN"/>
                                </w:rPr>
                                <w:t>1300</w:t>
                              </w:r>
                            </w:p>
                          </w:txbxContent>
                        </v:textbox>
                      </v:shape>
                      <v:shape id="文本框 167" o:spid="_x0000_s1026" o:spt="202" type="#_x0000_t202" style="position:absolute;left:1722755;top:1517650;height:323215;width:695325;" filled="f" stroked="f" coordsize="21600,21600" o:gfxdata="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AAAAAGRycy9QSwECFAAUAAAACACH&#10;TuJA86U5kdgAAAAFAQAADwAAAAAAAAABACAAAAAiAAAAZHJzL2Rvd25yZXYueG1sUEsBAhQAFAAA&#10;AAgAh07iQH7x3nEoAgAAJwQAAA4AAAAAAAAAAQAgAAAAJwEAAGRycy9lMm9Eb2MueG1sUEsFBgAA&#10;AAAGAAYAWQEAAMEFAAAAAA==&#10;">
                        <v:fill on="f" focussize="0,0"/>
                        <v:stroke on="f" weight="0.5pt"/>
                        <v:imagedata o:title=""/>
                        <o:lock v:ext="edit" aspectratio="f"/>
                        <v:textbox>
                          <w:txbxContent>
                            <w:p>
                              <w:pPr>
                                <w:rPr>
                                  <w:rFonts w:hint="default" w:eastAsia="宋体"/>
                                  <w:lang w:val="en-US" w:eastAsia="zh-CN"/>
                                </w:rPr>
                              </w:pPr>
                              <w:r>
                                <w:rPr>
                                  <w:rFonts w:hint="eastAsia"/>
                                  <w:lang w:val="en-US" w:eastAsia="zh-CN"/>
                                </w:rPr>
                                <w:t>3000</w:t>
                              </w:r>
                            </w:p>
                          </w:txbxContent>
                        </v:textbox>
                      </v:shape>
                      <v:shape id="文本框 168" o:spid="_x0000_s1026" o:spt="202" type="#_x0000_t202" style="position:absolute;left:427990;top:1558925;height:323215;width:466725;" filled="f" stroked="f" coordsize="21600,21600" o:gfxdata="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POlOZHYAAAABQEAAA8AAAAAAAAAAQAgAAAAIgAAAGRycy9kb3ducmV2LnhtbFBLAQIU&#10;ABQAAAAIAIdO4kBmW3L8LAIAACYEAAAOAAAAAAAAAAEAIAAAACcBAABkcnMvZTJvRG9jLnhtbFBL&#10;BQYAAAAABgAGAFkBAADFBQAAAAA=&#10;">
                        <v:fill on="f" focussize="0,0"/>
                        <v:stroke on="f" weight="0.5pt"/>
                        <v:imagedata o:title=""/>
                        <o:lock v:ext="edit" aspectratio="f"/>
                        <v:textbox>
                          <w:txbxContent>
                            <w:p>
                              <w:pPr>
                                <w:rPr>
                                  <w:rFonts w:hint="default" w:eastAsia="宋体"/>
                                  <w:lang w:val="en-US" w:eastAsia="zh-CN"/>
                                </w:rPr>
                              </w:pPr>
                              <w:r>
                                <w:rPr>
                                  <w:rFonts w:hint="eastAsia"/>
                                  <w:lang w:val="en-US" w:eastAsia="zh-CN"/>
                                </w:rPr>
                                <w:t>3000</w:t>
                              </w:r>
                            </w:p>
                          </w:txbxContent>
                        </v:textbox>
                      </v:shape>
                      <v:shape id="文本框 169" o:spid="_x0000_s1026" o:spt="202" type="#_x0000_t202" style="position:absolute;left:400050;top:330200;height:323215;width:495300;" filled="f" stroked="f" coordsize="21600,21600" o:gfxdata="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">
                        <v:fill on="f" focussize="0,0"/>
                        <v:stroke on="f" weight="0.5pt"/>
                        <v:imagedata o:title=""/>
                        <o:lock v:ext="edit" aspectratio="f"/>
                        <v:textbox>
                          <w:txbxContent>
                            <w:p>
                              <w:pPr>
                                <w:rPr>
                                  <w:rFonts w:hint="default" w:eastAsia="宋体"/>
                                  <w:lang w:val="en-US" w:eastAsia="zh-CN"/>
                                </w:rPr>
                              </w:pPr>
                              <w:r>
                                <w:rPr>
                                  <w:rFonts w:hint="eastAsia"/>
                                  <w:lang w:val="en-US" w:eastAsia="zh-CN"/>
                                </w:rPr>
                                <w:t>150</w:t>
                              </w:r>
                            </w:p>
                          </w:txbxContent>
                        </v:textbox>
                      </v:shape>
                      <v:shape id="文本框 170" o:spid="_x0000_s1026" o:spt="202" type="#_x0000_t202" style="position:absolute;left:465455;top:1003300;height:323215;width:695325;" filled="f" stroked="f" coordsize="21600,21600" o:gfxdata="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DzpTmR2AAAAAUBAAAPAAAAAAAAAAEAIAAAACIAAABkcnMvZG93bnJldi54bWxQSwECFAAU&#10;AAAACACHTuJAvdRDHyoCAAAmBAAADgAAAAAAAAABACAAAAAnAQAAZHJzL2Uyb0RvYy54bWxQSwUG&#10;AAAAAAYABgBZAQAAwwUAAAAA&#10;">
                        <v:fill on="f" focussize="0,0"/>
                        <v:stroke on="f" weight="0.5pt"/>
                        <v:imagedata o:title=""/>
                        <o:lock v:ext="edit" aspectratio="f"/>
                        <v:textbox>
                          <w:txbxContent>
                            <w:p>
                              <w:pPr>
                                <w:rPr>
                                  <w:rFonts w:hint="default" w:eastAsia="宋体"/>
                                  <w:lang w:val="en-US" w:eastAsia="zh-CN"/>
                                </w:rPr>
                              </w:pPr>
                              <w:r>
                                <w:rPr>
                                  <w:rFonts w:hint="eastAsia"/>
                                  <w:lang w:val="en-US" w:eastAsia="zh-CN"/>
                                </w:rPr>
                                <w:t>1300</w:t>
                              </w:r>
                            </w:p>
                          </w:txbxContent>
                        </v:textbox>
                      </v:shape>
                      <v:shape id="文本框 171" o:spid="_x0000_s1026" o:spt="202" type="#_x0000_t202" style="position:absolute;left:19050;top:1270000;height:323215;width:542925;" filled="f" stroked="f" coordsize="21600,21600" o:gfxdata="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POlOZHYAAAABQEAAA8AAAAAAAAAAQAgAAAAIgAAAGRycy9kb3ducmV2LnhtbFBLAQIUABQA&#10;AAAIAIdO4kCqBpVyKQIAACUEAAAOAAAAAAAAAAEAIAAAACcBAABkcnMvZTJvRG9jLnhtbFBLBQYA&#10;AAAABgAGAFkBAADCBQAAAAA=&#10;">
                        <v:fill on="f" focussize="0,0"/>
                        <v:stroke on="f" weight="0.5pt"/>
                        <v:imagedata o:title=""/>
                        <o:lock v:ext="edit" aspectratio="f"/>
                        <v:textbox>
                          <w:txbxContent>
                            <w:p>
                              <w:pPr>
                                <w:rPr>
                                  <w:rFonts w:hint="default" w:eastAsia="宋体"/>
                                  <w:lang w:val="en-US" w:eastAsia="zh-CN"/>
                                </w:rPr>
                              </w:pPr>
                              <w:r>
                                <w:rPr>
                                  <w:rFonts w:hint="eastAsia"/>
                                  <w:lang w:val="en-US" w:eastAsia="zh-CN"/>
                                </w:rPr>
                                <w:t>4450</w:t>
                              </w:r>
                            </w:p>
                          </w:txbxContent>
                        </v:textbox>
                      </v:shape>
                      <v:shape id="文本框 172" o:spid="_x0000_s1026" o:spt="202" type="#_x0000_t202" style="position:absolute;left:0;top:952500;height:323215;width:591185;" filled="f" stroked="f" coordsize="21600,21600" o:gfxdata="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">
                        <v:fill on="f" focussize="0,0"/>
                        <v:stroke on="f" weight="0.5pt"/>
                        <v:imagedata o:title=""/>
                        <o:lock v:ext="edit" aspectratio="f"/>
                        <v:textbox>
                          <w:txbxContent>
                            <w:p>
                              <w:pPr>
                                <w:rPr>
                                  <w:rFonts w:hint="default" w:eastAsia="宋体"/>
                                  <w:lang w:val="en-US" w:eastAsia="zh-CN"/>
                                </w:rPr>
                              </w:pPr>
                              <w:r>
                                <w:rPr>
                                  <w:rFonts w:hint="eastAsia"/>
                                  <w:lang w:val="en-US" w:eastAsia="zh-CN"/>
                                </w:rPr>
                                <w:t>自来水</w:t>
                              </w:r>
                            </w:p>
                          </w:txbxContent>
                        </v:textbox>
                      </v:shape>
                      <v:shape id="文本框 173" o:spid="_x0000_s1026" o:spt="202" type="#_x0000_t202" style="position:absolute;left:1932305;top:1689100;height:323215;width:808990;" filled="f" stroked="f" coordsize="21600,21600" o:gfxdata="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DzpTmR2AAAAAUBAAAPAAAAAAAAAAEAIAAAACIAAABkcnMvZG93bnJldi54bWxQSwECFAAU&#10;AAAACACHTuJAcXYofioCAAAnBAAADgAAAAAAAAABACAAAAAnAQAAZHJzL2Uyb0RvYy54bWxQSwUG&#10;AAAAAAYABgBZAQAAwwUAAAAA&#10;">
                        <v:fill on="f" focussize="0,0"/>
                        <v:stroke on="f" weight="0.5pt"/>
                        <v:imagedata o:title=""/>
                        <o:lock v:ext="edit" aspectratio="f"/>
                        <v:textbox>
                          <w:txbxContent>
                            <w:p>
                              <w:pPr>
                                <w:rPr>
                                  <w:rFonts w:hint="default" w:eastAsia="宋体"/>
                                  <w:lang w:val="en-US" w:eastAsia="zh-CN"/>
                                </w:rPr>
                              </w:pPr>
                              <w:r>
                                <w:rPr>
                                  <w:rFonts w:hint="eastAsia"/>
                                  <w:lang w:val="en-US" w:eastAsia="zh-CN"/>
                                </w:rPr>
                                <w:t>循环损耗</w:t>
                              </w:r>
                            </w:p>
                          </w:txbxContent>
                        </v:textbox>
                      </v:shape>
                      <v:shape id="文本框 176" o:spid="_x0000_s1026" o:spt="202" type="#_x0000_t202" style="position:absolute;left:4189730;top:1784350;height:323215;width:695325;" filled="f" stroked="f" coordsize="21600,21600" o:gfxdata="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DzpTmR2AAAAAUBAAAPAAAAAAAAAAEAIAAAACIAAABkcnMvZG93bnJldi54bWxQSwECFAAU&#10;AAAACACHTuJA4KqtBioCAAAnBAAADgAAAAAAAAABACAAAAAnAQAAZHJzL2Uyb0RvYy54bWxQSwUG&#10;AAAAAAYABgBZAQAAwwUAAAAA&#10;">
                        <v:fill on="f" focussize="0,0"/>
                        <v:stroke on="f" weight="0.5pt"/>
                        <v:imagedata o:title=""/>
                        <o:lock v:ext="edit" aspectratio="f"/>
                        <v:textbox>
                          <w:txbxContent>
                            <w:p>
                              <w:pPr>
                                <w:rPr>
                                  <w:rFonts w:hint="default" w:eastAsia="宋体"/>
                                  <w:lang w:val="en-US" w:eastAsia="zh-CN"/>
                                </w:rPr>
                              </w:pPr>
                              <w:r>
                                <w:rPr>
                                  <w:rFonts w:hint="eastAsia"/>
                                  <w:lang w:val="en-US" w:eastAsia="zh-CN"/>
                                </w:rPr>
                                <w:t>长江</w:t>
                              </w:r>
                            </w:p>
                          </w:txbxContent>
                        </v:textbox>
                      </v:shape>
                      <v:shape id="直接箭头连接符 32" o:spid="_x0000_s1026" o:spt="32" type="#_x0000_t32" style="position:absolute;left:1263650;top:187325;flip:y;height:222885;width:285115;" filled="f" stroked="t" coordsize="21600,21600" o:gfxdata="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YkEGUdgAAAAFAQAADwAAAAAAAAABACAAAAAi&#10;AAAAZHJzL2Rvd25yZXYueG1sUEsBAhQAFAAAAAgAh07iQAiXHHsKAgAAwgMAAA4AAAAAAAAAAQAg&#10;AAAAJwEAAGRycy9lMm9Eb2MueG1sUEsFBgAAAAAGAAYAWQEAAKMFAAAAAA==&#10;">
                        <v:fill on="f" focussize="0,0"/>
                        <v:stroke weight="0.5pt" color="#000000 [3213]" miterlimit="8" joinstyle="miter" dashstyle="3 1" endarrow="block" endarrowlength="short"/>
                        <v:imagedata o:title=""/>
                        <o:lock v:ext="edit" aspectratio="f"/>
                      </v:shape>
                      <v:shape id="肘形连接符 179" o:spid="_x0000_s1026" o:spt="34" type="#_x0000_t34" style="position:absolute;left:875030;top:584200;flip:y;height:1235075;width:2540;rotation:11796480f;" filled="f" stroked="t" coordsize="21600,21600" o:gfxdata="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" adj="3342600">
                        <v:fill on="f" focussize="0,0"/>
                        <v:stroke weight="0.5pt" color="#000000 [3213]" miterlimit="8" joinstyle="miter"/>
                        <v:imagedata o:title=""/>
                        <o:lock v:ext="edit" aspectratio="f"/>
                      </v:shape>
                      <v:shape id="直接箭头连接符 48" o:spid="_x0000_s1026" o:spt="32" type="#_x0000_t32" style="position:absolute;left:2658745;top:735330;height:314960;width:8890;" filled="f" stroked="t" coordsize="21600,21600" o:gfxdata="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Dc4uDXVAAAABQEAAA8AAAAAAAAAAQAgAAAAIgAAAGRycy9kb3ducmV2&#10;LnhtbFBLAQIUABQAAAAIAIdO4kBrUwpd/wEAAK8DAAAOAAAAAAAAAAEAIAAAACQBAABkcnMvZTJv&#10;RG9jLnhtbFBLBQYAAAAABgAGAFkBAACVBQAAAAA=&#10;">
                        <v:fill on="f" focussize="0,0"/>
                        <v:stroke weight="0pt" color="#000000 [3213]" miterlimit="8" joinstyle="miter" endarrow="block" endarrowlength="short"/>
                        <v:imagedata o:title=""/>
                        <o:lock v:ext="edit" aspectratio="f"/>
                      </v:shape>
                      <v:shape id="文本框 173" o:spid="_x0000_s1026" o:spt="202" type="#_x0000_t202" style="position:absolute;left:3437255;top:932180;height:323215;width:808990;" filled="f" stroked="f" coordsize="21600,21600" o:gfxdata="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DzpTmR2AAAAAUBAAAPAAAAAAAAAAEAIAAAACIAAABkcnMvZG93bnJldi54bWxQSwECFAAU&#10;AAAACACHTuJAZWv+SSoCAAAkBAAADgAAAAAAAAABACAAAAAnAQAAZHJzL2Uyb0RvYy54bWxQSwUG&#10;AAAAAAYABgBZAQAAwwUAAAAA&#10;">
                        <v:fill on="f" focussize="0,0"/>
                        <v:stroke on="f" weight="0.5pt"/>
                        <v:imagedata o:title=""/>
                        <o:lock v:ext="edit" aspectratio="f"/>
                        <v:textbox>
                          <w:txbxContent>
                            <w:p>
                              <w:pPr>
                                <w:rPr>
                                  <w:rFonts w:hint="default" w:eastAsia="宋体"/>
                                  <w:lang w:val="en-US" w:eastAsia="zh-CN"/>
                                </w:rPr>
                              </w:pPr>
                              <w:r>
                                <w:rPr>
                                  <w:rFonts w:hint="eastAsia"/>
                                  <w:lang w:val="en-US" w:eastAsia="zh-CN"/>
                                </w:rPr>
                                <w:t>1420</w:t>
                              </w:r>
                            </w:p>
                          </w:txbxContent>
                        </v:textbox>
                      </v:shape>
                      <v:shape id="文本框 173" o:spid="_x0000_s1026" o:spt="202" type="#_x0000_t202" style="position:absolute;left:4323080;top:1408430;height:323215;width:808990;" filled="f" stroked="f" coordsize="21600,21600" o:gfxdata="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POlOZHYAAAABQEAAA8AAAAAAAAAAQAgAAAAIgAAAGRycy9kb3ducmV2LnhtbFBLAQIUABQA&#10;AAAIAIdO4kAJvFz7KQIAACUEAAAOAAAAAAAAAAEAIAAAACcBAABkcnMvZTJvRG9jLnhtbFBLBQYA&#10;AAAABgAGAFkBAADCBQAAAAA=&#10;">
                        <v:fill on="f" focussize="0,0"/>
                        <v:stroke on="f" weight="0.5pt"/>
                        <v:imagedata o:title=""/>
                        <o:lock v:ext="edit" aspectratio="f"/>
                        <v:textbox>
                          <w:txbxContent>
                            <w:p>
                              <w:pPr>
                                <w:rPr>
                                  <w:rFonts w:hint="default" w:eastAsia="宋体"/>
                                  <w:lang w:val="en-US" w:eastAsia="zh-CN"/>
                                </w:rPr>
                              </w:pPr>
                              <w:r>
                                <w:rPr>
                                  <w:rFonts w:hint="eastAsia"/>
                                  <w:lang w:val="en-US" w:eastAsia="zh-CN"/>
                                </w:rPr>
                                <w:t>1420</w:t>
                              </w:r>
                            </w:p>
                          </w:txbxContent>
                        </v:textbox>
                      </v:shape>
                      <v:shape id="直接箭头连接符 48" o:spid="_x0000_s1026" o:spt="32" type="#_x0000_t32" style="position:absolute;left:1058545;top:209550;height:208915;width:6350;" filled="f" stroked="t" coordsize="21600,21600" o:gfxdata="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A3OLg11QAAAAUBAAAPAAAAAAAAAAEAIAAAACIAAABkcnMvZG93bnJldi54&#10;bWxQSwECFAAUAAAACACHTuJAMdTqIv0BAACvAwAADgAAAAAAAAABACAAAAAkAQAAZHJzL2Uyb0Rv&#10;Yy54bWxQSwUGAAAAAAYABgBZAQAAkwUAAAAA&#10;">
                        <v:fill on="f" focussize="0,0"/>
                        <v:stroke weight="0pt" color="#000000 [3213]" miterlimit="8" joinstyle="miter" endarrow="block" endarrowlength="short"/>
                        <v:imagedata o:title=""/>
                        <o:lock v:ext="edit" aspectratio="f"/>
                      </v:shape>
                      <v:shape id="文本框 173" o:spid="_x0000_s1026" o:spt="202" type="#_x0000_t202" style="position:absolute;left:466090;top:0;height:323215;width:922655;" filled="f" stroked="f" coordsize="21600,21600" o:gfxdata="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86U5kdgAAAAFAQAADwAAAAAAAAABACAAAAAiAAAAZHJzL2Rvd25yZXYueG1sUEsBAhQAFAAAAAgA&#10;h07iQK15dx0lAgAAHwQAAA4AAAAAAAAAAQAgAAAAJwEAAGRycy9lMm9Eb2MueG1sUEsFBgAAAAAG&#10;AAYAWQEAAL4FAAAAAA==&#10;">
                        <v:fill on="f" focussize="0,0"/>
                        <v:stroke on="f" weight="0.5pt"/>
                        <v:imagedata o:title=""/>
                        <o:lock v:ext="edit" aspectratio="f"/>
                        <v:textbox>
                          <w:txbxContent>
                            <w:p>
                              <w:pPr>
                                <w:rPr>
                                  <w:rFonts w:hint="default" w:eastAsia="宋体"/>
                                  <w:lang w:val="en-US" w:eastAsia="zh-CN"/>
                                </w:rPr>
                              </w:pPr>
                              <w:r>
                                <w:rPr>
                                  <w:rFonts w:hint="eastAsia"/>
                                  <w:lang w:val="en-US" w:eastAsia="zh-CN"/>
                                </w:rPr>
                                <w:t>脱模剂7</w:t>
                              </w:r>
                            </w:p>
                          </w:txbxContent>
                        </v:textbox>
                      </v:shape>
                      <v:shape id="_x0000_s1026" o:spid="_x0000_s1026" o:spt="34" type="#_x0000_t34" style="position:absolute;left:1779270;top:748665;flip:y;height:497205;width:545465;" filled="f" stroked="t" coordsize="21600,21600" o:gfxdata="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wTAJX9cAAAAF&#10;AQAADwAAAAAAAAABACAAAAAiAAAAZHJzL2Rvd25yZXYueG1sUEsBAhQAFAAAAAgAh07iQPUKgXwd&#10;AgAA4QMAAA4AAAAAAAAAAQAgAAAAJgEAAGRycy9lMm9Eb2MueG1sUEsFBgAAAAAGAAYAWQEAALUF&#10;AAAAAA==&#10;" adj="21751">
                        <v:fill on="f" focussize="0,0"/>
                        <v:stroke weight="0.5pt" color="#000000 [3213]" miterlimit="8" joinstyle="miter" endarrow="block" endarrowlength="short"/>
                        <v:imagedata o:title=""/>
                        <o:lock v:ext="edit" aspectratio="f"/>
                      </v:shape>
                      <w10:wrap type="none"/>
                      <w10:anchorlock/>
                    </v:group>
                  </w:pict>
                </mc:Fallback>
              </mc:AlternateContent>
            </w:r>
          </w:p>
          <w:p>
            <w:pPr>
              <w:tabs>
                <w:tab w:val="left" w:pos="0"/>
                <w:tab w:val="left" w:pos="3600"/>
              </w:tabs>
              <w:spacing w:line="360" w:lineRule="auto"/>
              <w:jc w:val="center"/>
              <w:rPr>
                <w:rFonts w:hint="eastAsia"/>
                <w:b/>
                <w:kern w:val="0"/>
                <w:sz w:val="24"/>
                <w:highlight w:val="none"/>
                <w:lang w:val="en-US" w:eastAsia="zh-CN"/>
              </w:rPr>
            </w:pPr>
            <w:r>
              <w:rPr>
                <w:rFonts w:hint="eastAsia"/>
                <w:b/>
                <w:kern w:val="0"/>
                <w:sz w:val="24"/>
                <w:highlight w:val="none"/>
              </w:rPr>
              <w:t>图2</w:t>
            </w:r>
            <w:r>
              <w:rPr>
                <w:b/>
                <w:kern w:val="0"/>
                <w:sz w:val="24"/>
                <w:highlight w:val="none"/>
              </w:rPr>
              <w:t xml:space="preserve">-1  </w:t>
            </w:r>
            <w:r>
              <w:rPr>
                <w:rFonts w:hint="eastAsia"/>
                <w:b/>
                <w:kern w:val="0"/>
                <w:sz w:val="24"/>
                <w:highlight w:val="none"/>
                <w:lang w:val="en-US" w:eastAsia="zh-CN"/>
              </w:rPr>
              <w:t>技改</w:t>
            </w:r>
            <w:r>
              <w:rPr>
                <w:b/>
                <w:kern w:val="0"/>
                <w:sz w:val="24"/>
                <w:highlight w:val="none"/>
              </w:rPr>
              <w:t>项目水平衡图</w:t>
            </w:r>
            <w:r>
              <w:rPr>
                <w:rFonts w:hint="eastAsia"/>
                <w:b/>
                <w:kern w:val="0"/>
                <w:sz w:val="24"/>
                <w:highlight w:val="none"/>
              </w:rPr>
              <w:t>（</w:t>
            </w:r>
            <w:r>
              <w:rPr>
                <w:rFonts w:hint="eastAsia"/>
                <w:b/>
                <w:kern w:val="0"/>
                <w:sz w:val="24"/>
                <w:highlight w:val="none"/>
                <w:lang w:val="en-US" w:eastAsia="zh-CN"/>
              </w:rPr>
              <w:t>t</w:t>
            </w:r>
            <w:r>
              <w:rPr>
                <w:rFonts w:hint="eastAsia"/>
                <w:b/>
                <w:kern w:val="0"/>
                <w:sz w:val="24"/>
                <w:highlight w:val="none"/>
              </w:rPr>
              <w:t>/</w:t>
            </w:r>
            <w:r>
              <w:rPr>
                <w:rFonts w:hint="eastAsia"/>
                <w:b/>
                <w:kern w:val="0"/>
                <w:sz w:val="24"/>
                <w:highlight w:val="none"/>
                <w:lang w:val="en-US" w:eastAsia="zh-CN"/>
              </w:rPr>
              <w:t>a</w:t>
            </w:r>
            <w:r>
              <w:rPr>
                <w:rFonts w:hint="eastAsia"/>
                <w:b/>
                <w:kern w:val="0"/>
                <w:sz w:val="24"/>
                <w:highlight w:val="none"/>
              </w:rPr>
              <w:t>）</w:t>
            </w:r>
          </w:p>
          <w:p>
            <w:pPr>
              <w:spacing w:line="360" w:lineRule="auto"/>
              <w:jc w:val="left"/>
              <w:rPr>
                <w:rFonts w:hint="eastAsia" w:ascii="宋体" w:hAnsi="宋体"/>
                <w:color w:val="000000" w:themeColor="text1"/>
                <w:sz w:val="24"/>
                <w:szCs w:val="24"/>
                <w:highlight w:val="none"/>
                <w14:textFill>
                  <w14:solidFill>
                    <w14:schemeClr w14:val="tx1"/>
                  </w14:solidFill>
                </w14:textFill>
              </w:rPr>
            </w:pPr>
            <w:r>
              <w:rPr>
                <w:rFonts w:hint="eastAsia" w:ascii="宋体" w:hAnsi="宋体"/>
                <w:b/>
                <w:sz w:val="28"/>
                <w:szCs w:val="28"/>
              </w:rPr>
              <w:t>4</w:t>
            </w:r>
            <w:r>
              <w:rPr>
                <w:rFonts w:hint="eastAsia" w:ascii="宋体" w:hAnsi="宋体"/>
                <w:b/>
                <w:color w:val="000000" w:themeColor="text1"/>
                <w:sz w:val="28"/>
                <w:szCs w:val="28"/>
                <w14:textFill>
                  <w14:solidFill>
                    <w14:schemeClr w14:val="tx1"/>
                  </w14:solidFill>
                </w14:textFill>
              </w:rPr>
              <w:t>、项目变动情况</w:t>
            </w:r>
          </w:p>
          <w:tbl>
            <w:tblPr>
              <w:tblStyle w:val="32"/>
              <w:tblpPr w:leftFromText="180" w:rightFromText="180" w:vertAnchor="text" w:horzAnchor="page" w:tblpX="216" w:tblpY="129"/>
              <w:tblOverlap w:val="never"/>
              <w:tblW w:w="0" w:type="auto"/>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3525"/>
              <w:gridCol w:w="3883"/>
              <w:gridCol w:w="1879"/>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3525" w:type="dxa"/>
                  <w:shd w:val="clear" w:color="auto" w:fill="auto"/>
                  <w:vAlign w:val="center"/>
                </w:tcPr>
                <w:p>
                  <w:pPr>
                    <w:jc w:val="center"/>
                    <w:rPr>
                      <w:rFonts w:ascii="宋体" w:hAnsi="宋体"/>
                      <w:b/>
                      <w:sz w:val="24"/>
                      <w:szCs w:val="24"/>
                      <w:highlight w:val="none"/>
                    </w:rPr>
                  </w:pPr>
                  <w:r>
                    <w:rPr>
                      <w:rFonts w:hint="eastAsia" w:ascii="宋体" w:hAnsi="宋体"/>
                      <w:b/>
                      <w:sz w:val="24"/>
                      <w:szCs w:val="24"/>
                      <w:highlight w:val="none"/>
                    </w:rPr>
                    <w:t>环评及批复要求</w:t>
                  </w:r>
                </w:p>
              </w:tc>
              <w:tc>
                <w:tcPr>
                  <w:tcW w:w="3883" w:type="dxa"/>
                  <w:shd w:val="clear" w:color="auto" w:fill="auto"/>
                  <w:vAlign w:val="center"/>
                </w:tcPr>
                <w:p>
                  <w:pPr>
                    <w:jc w:val="center"/>
                    <w:rPr>
                      <w:rFonts w:ascii="宋体" w:hAnsi="宋体"/>
                      <w:b/>
                      <w:sz w:val="24"/>
                      <w:szCs w:val="24"/>
                      <w:highlight w:val="none"/>
                    </w:rPr>
                  </w:pPr>
                  <w:r>
                    <w:rPr>
                      <w:rFonts w:hint="eastAsia" w:ascii="宋体" w:hAnsi="宋体"/>
                      <w:b/>
                      <w:sz w:val="24"/>
                      <w:szCs w:val="24"/>
                      <w:highlight w:val="none"/>
                    </w:rPr>
                    <w:t>实际情况</w:t>
                  </w:r>
                </w:p>
              </w:tc>
              <w:tc>
                <w:tcPr>
                  <w:tcW w:w="1879" w:type="dxa"/>
                  <w:shd w:val="clear" w:color="auto" w:fill="auto"/>
                  <w:vAlign w:val="center"/>
                </w:tcPr>
                <w:p>
                  <w:pPr>
                    <w:jc w:val="center"/>
                    <w:rPr>
                      <w:rFonts w:ascii="宋体" w:hAnsi="宋体"/>
                      <w:b/>
                      <w:sz w:val="24"/>
                      <w:szCs w:val="24"/>
                      <w:highlight w:val="none"/>
                    </w:rPr>
                  </w:pPr>
                  <w:r>
                    <w:rPr>
                      <w:rFonts w:hint="eastAsia" w:ascii="宋体" w:hAnsi="宋体"/>
                      <w:b/>
                      <w:sz w:val="24"/>
                      <w:szCs w:val="24"/>
                      <w:highlight w:val="none"/>
                    </w:rPr>
                    <w:t>结论</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3525" w:type="dxa"/>
                  <w:shd w:val="clear" w:color="auto" w:fill="auto"/>
                  <w:vAlign w:val="center"/>
                </w:tcPr>
                <w:p>
                  <w:pPr>
                    <w:pStyle w:val="2"/>
                    <w:spacing w:after="0"/>
                    <w:jc w:val="center"/>
                    <w:rPr>
                      <w:rFonts w:ascii="宋体" w:hAnsi="宋体" w:cs="黑体"/>
                      <w:color w:val="000000"/>
                      <w:kern w:val="0"/>
                      <w:sz w:val="21"/>
                      <w:szCs w:val="21"/>
                      <w:highlight w:val="yellow"/>
                    </w:rPr>
                  </w:pPr>
                  <w:r>
                    <w:rPr>
                      <w:rFonts w:hint="eastAsia" w:cs="Times New Roman"/>
                      <w:color w:val="000000" w:themeColor="text1"/>
                      <w:sz w:val="21"/>
                      <w:szCs w:val="21"/>
                      <w:highlight w:val="none"/>
                      <w:lang w:val="en-US" w:eastAsia="zh-CN"/>
                      <w14:textFill>
                        <w14:solidFill>
                          <w14:schemeClr w14:val="tx1"/>
                        </w14:solidFill>
                      </w14:textFill>
                    </w:rPr>
                    <w:t>项目</w:t>
                  </w:r>
                  <w:r>
                    <w:rPr>
                      <w:rFonts w:hint="default" w:ascii="Times New Roman" w:hAnsi="Times New Roman" w:eastAsia="宋体" w:cs="Times New Roman"/>
                      <w:color w:val="000000" w:themeColor="text1"/>
                      <w:sz w:val="21"/>
                      <w:szCs w:val="21"/>
                      <w:highlight w:val="none"/>
                      <w14:textFill>
                        <w14:solidFill>
                          <w14:schemeClr w14:val="tx1"/>
                        </w14:solidFill>
                      </w14:textFill>
                    </w:rPr>
                    <w:t>淘汰1台400T压铸设备，并减少现有压铸设备生产时间，新增2台3000T压铸设备及配套机加工设备。</w:t>
                  </w:r>
                </w:p>
              </w:tc>
              <w:tc>
                <w:tcPr>
                  <w:tcW w:w="3883" w:type="dxa"/>
                  <w:shd w:val="clear" w:color="auto" w:fill="auto"/>
                  <w:vAlign w:val="center"/>
                </w:tcPr>
                <w:p>
                  <w:pPr>
                    <w:pStyle w:val="2"/>
                    <w:spacing w:after="0"/>
                    <w:jc w:val="center"/>
                    <w:rPr>
                      <w:rFonts w:hint="default" w:ascii="宋体" w:hAnsi="宋体"/>
                      <w:kern w:val="24"/>
                      <w:sz w:val="21"/>
                      <w:szCs w:val="21"/>
                      <w:highlight w:val="yellow"/>
                      <w:lang w:val="en-US"/>
                    </w:rPr>
                  </w:pPr>
                  <w:r>
                    <w:rPr>
                      <w:rFonts w:hint="eastAsia" w:cs="Times New Roman"/>
                      <w:color w:val="000000" w:themeColor="text1"/>
                      <w:sz w:val="21"/>
                      <w:szCs w:val="21"/>
                      <w:lang w:val="en-US" w:eastAsia="zh-CN"/>
                      <w14:textFill>
                        <w14:solidFill>
                          <w14:schemeClr w14:val="tx1"/>
                        </w14:solidFill>
                      </w14:textFill>
                    </w:rPr>
                    <w:t>实际</w:t>
                  </w:r>
                  <w:r>
                    <w:rPr>
                      <w:rFonts w:hint="default" w:ascii="Times New Roman" w:hAnsi="Times New Roman" w:cs="Times New Roman"/>
                      <w:color w:val="000000" w:themeColor="text1"/>
                      <w:sz w:val="21"/>
                      <w:szCs w:val="21"/>
                      <w:lang w:val="en-US" w:eastAsia="zh-CN"/>
                      <w14:textFill>
                        <w14:solidFill>
                          <w14:schemeClr w14:val="tx1"/>
                        </w14:solidFill>
                      </w14:textFill>
                    </w:rPr>
                    <w:t>淘汰一台400T压铸设备，新增</w:t>
                  </w:r>
                  <w:r>
                    <w:rPr>
                      <w:rFonts w:hint="eastAsia" w:cs="Times New Roman"/>
                      <w:color w:val="000000" w:themeColor="text1"/>
                      <w:sz w:val="21"/>
                      <w:szCs w:val="21"/>
                      <w:lang w:val="en-US" w:eastAsia="zh-CN"/>
                      <w14:textFill>
                        <w14:solidFill>
                          <w14:schemeClr w14:val="tx1"/>
                        </w14:solidFill>
                      </w14:textFill>
                    </w:rPr>
                    <w:t>1</w:t>
                  </w:r>
                  <w:r>
                    <w:rPr>
                      <w:rFonts w:hint="default" w:ascii="Times New Roman" w:hAnsi="Times New Roman" w:cs="Times New Roman"/>
                      <w:color w:val="000000" w:themeColor="text1"/>
                      <w:sz w:val="21"/>
                      <w:szCs w:val="21"/>
                      <w:lang w:val="en-US" w:eastAsia="zh-CN"/>
                      <w14:textFill>
                        <w14:solidFill>
                          <w14:schemeClr w14:val="tx1"/>
                        </w14:solidFill>
                      </w14:textFill>
                    </w:rPr>
                    <w:t>台30</w:t>
                  </w:r>
                  <w:r>
                    <w:rPr>
                      <w:rFonts w:hint="eastAsia" w:cs="Times New Roman"/>
                      <w:color w:val="000000" w:themeColor="text1"/>
                      <w:sz w:val="21"/>
                      <w:szCs w:val="21"/>
                      <w:lang w:val="en-US" w:eastAsia="zh-CN"/>
                      <w14:textFill>
                        <w14:solidFill>
                          <w14:schemeClr w14:val="tx1"/>
                        </w14:solidFill>
                      </w14:textFill>
                    </w:rPr>
                    <w:t>50</w:t>
                  </w:r>
                  <w:r>
                    <w:rPr>
                      <w:rFonts w:hint="default" w:ascii="Times New Roman" w:hAnsi="Times New Roman" w:cs="Times New Roman"/>
                      <w:color w:val="000000" w:themeColor="text1"/>
                      <w:sz w:val="21"/>
                      <w:szCs w:val="21"/>
                      <w:lang w:val="en-US" w:eastAsia="zh-CN"/>
                      <w14:textFill>
                        <w14:solidFill>
                          <w14:schemeClr w14:val="tx1"/>
                        </w14:solidFill>
                      </w14:textFill>
                    </w:rPr>
                    <w:t>T压铸设备及配套机加工设备</w:t>
                  </w:r>
                  <w:r>
                    <w:rPr>
                      <w:rFonts w:hint="eastAsia" w:cs="Times New Roman"/>
                      <w:color w:val="000000" w:themeColor="text1"/>
                      <w:sz w:val="21"/>
                      <w:szCs w:val="21"/>
                      <w:lang w:val="en-US" w:eastAsia="zh-CN"/>
                      <w14:textFill>
                        <w14:solidFill>
                          <w14:schemeClr w14:val="tx1"/>
                        </w14:solidFill>
                      </w14:textFill>
                    </w:rPr>
                    <w:t>，另一台设备后续再增加，本项目为阶段性验收</w:t>
                  </w:r>
                </w:p>
              </w:tc>
              <w:tc>
                <w:tcPr>
                  <w:tcW w:w="1879" w:type="dxa"/>
                  <w:vMerge w:val="restart"/>
                  <w:shd w:val="clear" w:color="auto" w:fill="auto"/>
                  <w:vAlign w:val="center"/>
                </w:tcPr>
                <w:p>
                  <w:pPr>
                    <w:spacing w:line="276" w:lineRule="auto"/>
                    <w:jc w:val="center"/>
                    <w:rPr>
                      <w:rFonts w:ascii="宋体" w:hAnsi="宋体"/>
                      <w:color w:val="000000"/>
                      <w:sz w:val="21"/>
                      <w:szCs w:val="21"/>
                      <w:highlight w:val="none"/>
                    </w:rPr>
                  </w:pPr>
                  <w:r>
                    <w:rPr>
                      <w:rFonts w:ascii="宋体" w:hAnsi="宋体"/>
                      <w:color w:val="000000"/>
                      <w:sz w:val="21"/>
                      <w:szCs w:val="21"/>
                      <w:highlight w:val="none"/>
                    </w:rPr>
                    <w:t>对照环评及批复</w:t>
                  </w:r>
                  <w:r>
                    <w:rPr>
                      <w:rFonts w:hint="eastAsia" w:ascii="宋体" w:hAnsi="宋体"/>
                      <w:color w:val="000000"/>
                      <w:sz w:val="21"/>
                      <w:szCs w:val="21"/>
                      <w:highlight w:val="none"/>
                    </w:rPr>
                    <w:t>，</w:t>
                  </w:r>
                  <w:r>
                    <w:rPr>
                      <w:rFonts w:ascii="宋体" w:hAnsi="宋体"/>
                      <w:color w:val="000000"/>
                      <w:sz w:val="21"/>
                      <w:szCs w:val="21"/>
                      <w:highlight w:val="none"/>
                    </w:rPr>
                    <w:t>本项目</w:t>
                  </w:r>
                  <w:r>
                    <w:rPr>
                      <w:rFonts w:hint="eastAsia" w:ascii="宋体" w:hAnsi="宋体"/>
                      <w:color w:val="000000"/>
                      <w:sz w:val="21"/>
                      <w:szCs w:val="21"/>
                      <w:highlight w:val="none"/>
                    </w:rPr>
                    <w:t>建成部分</w:t>
                  </w:r>
                  <w:r>
                    <w:rPr>
                      <w:rFonts w:ascii="宋体" w:hAnsi="宋体"/>
                      <w:color w:val="000000"/>
                      <w:sz w:val="21"/>
                      <w:szCs w:val="21"/>
                      <w:highlight w:val="none"/>
                    </w:rPr>
                    <w:t>建设内容与环评</w:t>
                  </w:r>
                  <w:r>
                    <w:rPr>
                      <w:rFonts w:hint="eastAsia" w:ascii="宋体" w:hAnsi="宋体"/>
                      <w:color w:val="000000"/>
                      <w:sz w:val="21"/>
                      <w:szCs w:val="21"/>
                      <w:highlight w:val="none"/>
                    </w:rPr>
                    <w:t>及批复</w:t>
                  </w:r>
                  <w:r>
                    <w:rPr>
                      <w:rFonts w:hint="eastAsia" w:ascii="宋体" w:hAnsi="宋体"/>
                      <w:color w:val="000000"/>
                      <w:sz w:val="21"/>
                      <w:szCs w:val="21"/>
                      <w:highlight w:val="none"/>
                      <w:lang w:val="en-US" w:eastAsia="zh-CN"/>
                    </w:rPr>
                    <w:t>对比基本一致，本项目未发生</w:t>
                  </w:r>
                  <w:r>
                    <w:rPr>
                      <w:rFonts w:hint="eastAsia" w:ascii="宋体" w:hAnsi="宋体"/>
                      <w:color w:val="000000"/>
                      <w:sz w:val="21"/>
                      <w:szCs w:val="21"/>
                      <w:highlight w:val="none"/>
                    </w:rPr>
                    <w:t>重大变动。</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3525" w:type="dxa"/>
                  <w:shd w:val="clear" w:color="auto" w:fill="auto"/>
                  <w:vAlign w:val="center"/>
                </w:tcPr>
                <w:p>
                  <w:pPr>
                    <w:ind w:firstLine="210" w:firstLineChars="100"/>
                    <w:jc w:val="center"/>
                    <w:rPr>
                      <w:rFonts w:hint="default" w:ascii="宋体" w:hAnsi="宋体" w:cs="黑体"/>
                      <w:color w:val="000000"/>
                      <w:kern w:val="0"/>
                      <w:sz w:val="21"/>
                      <w:szCs w:val="21"/>
                      <w:highlight w:val="yellow"/>
                      <w:lang w:val="en-US" w:eastAsia="zh-CN"/>
                    </w:rPr>
                  </w:pPr>
                  <w:r>
                    <w:rPr>
                      <w:rFonts w:hint="eastAsia" w:ascii="宋体" w:hAnsi="宋体" w:cs="黑体"/>
                      <w:color w:val="000000"/>
                      <w:kern w:val="0"/>
                      <w:sz w:val="21"/>
                      <w:szCs w:val="21"/>
                      <w:highlight w:val="none"/>
                      <w:lang w:val="en-US" w:eastAsia="zh-CN"/>
                    </w:rPr>
                    <w:t>项目压铸、脱模、清理、热处理、预加工、气密性检查工艺流程均在厂内进行</w:t>
                  </w:r>
                </w:p>
              </w:tc>
              <w:tc>
                <w:tcPr>
                  <w:tcW w:w="3883" w:type="dxa"/>
                  <w:shd w:val="clear" w:color="auto" w:fill="auto"/>
                  <w:vAlign w:val="center"/>
                </w:tcPr>
                <w:p>
                  <w:pPr>
                    <w:adjustRightInd w:val="0"/>
                    <w:snapToGrid w:val="0"/>
                    <w:spacing w:line="276" w:lineRule="auto"/>
                    <w:ind w:firstLine="420" w:firstLineChars="200"/>
                    <w:jc w:val="center"/>
                    <w:rPr>
                      <w:rFonts w:hint="default" w:ascii="宋体" w:hAnsi="宋体" w:eastAsia="宋体"/>
                      <w:kern w:val="24"/>
                      <w:sz w:val="21"/>
                      <w:szCs w:val="21"/>
                      <w:highlight w:val="yellow"/>
                      <w:lang w:val="en-US" w:eastAsia="zh-CN"/>
                    </w:rPr>
                  </w:pPr>
                  <w:r>
                    <w:rPr>
                      <w:rFonts w:hint="eastAsia" w:ascii="宋体" w:hAnsi="宋体"/>
                      <w:kern w:val="24"/>
                      <w:sz w:val="21"/>
                      <w:szCs w:val="21"/>
                      <w:highlight w:val="none"/>
                      <w:lang w:val="en-US" w:eastAsia="zh-CN"/>
                    </w:rPr>
                    <w:t>项目预加工工序委托永达科技零部件加工厂代操作，此工序对应的生产设备和污染物均去除</w:t>
                  </w:r>
                </w:p>
              </w:tc>
              <w:tc>
                <w:tcPr>
                  <w:tcW w:w="1879" w:type="dxa"/>
                  <w:vMerge w:val="continue"/>
                  <w:shd w:val="clear" w:color="auto" w:fill="auto"/>
                  <w:vAlign w:val="center"/>
                </w:tcPr>
                <w:p>
                  <w:pPr>
                    <w:spacing w:line="276" w:lineRule="auto"/>
                    <w:jc w:val="center"/>
                    <w:rPr>
                      <w:rFonts w:ascii="宋体" w:hAnsi="宋体"/>
                      <w:color w:val="000000"/>
                      <w:sz w:val="21"/>
                      <w:szCs w:val="21"/>
                      <w:highlight w:val="yellow"/>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3525" w:type="dxa"/>
                  <w:shd w:val="clear" w:color="auto" w:fill="auto"/>
                  <w:vAlign w:val="center"/>
                </w:tcPr>
                <w:p>
                  <w:pPr>
                    <w:ind w:firstLine="210" w:firstLineChars="100"/>
                    <w:jc w:val="center"/>
                    <w:rPr>
                      <w:rFonts w:hint="default" w:ascii="宋体" w:hAnsi="宋体" w:cs="黑体"/>
                      <w:color w:val="000000"/>
                      <w:kern w:val="0"/>
                      <w:sz w:val="21"/>
                      <w:szCs w:val="21"/>
                      <w:highlight w:val="yellow"/>
                      <w:lang w:val="en-US" w:eastAsia="zh-CN"/>
                    </w:rPr>
                  </w:pPr>
                  <w:r>
                    <w:rPr>
                      <w:rFonts w:hint="eastAsia" w:ascii="宋体" w:hAnsi="宋体" w:cs="黑体"/>
                      <w:color w:val="000000"/>
                      <w:kern w:val="0"/>
                      <w:sz w:val="21"/>
                      <w:szCs w:val="21"/>
                      <w:highlight w:val="none"/>
                      <w:lang w:val="en-US" w:eastAsia="zh-CN"/>
                    </w:rPr>
                    <w:t>项目生产厂房设有清理区，压铸区、机加工区、热处理区、半成品堆放区</w:t>
                  </w:r>
                </w:p>
              </w:tc>
              <w:tc>
                <w:tcPr>
                  <w:tcW w:w="3883" w:type="dxa"/>
                  <w:shd w:val="clear" w:color="auto" w:fill="auto"/>
                  <w:vAlign w:val="center"/>
                </w:tcPr>
                <w:p>
                  <w:pPr>
                    <w:adjustRightInd w:val="0"/>
                    <w:snapToGrid w:val="0"/>
                    <w:spacing w:line="276" w:lineRule="auto"/>
                    <w:ind w:firstLine="420" w:firstLineChars="200"/>
                    <w:jc w:val="center"/>
                    <w:rPr>
                      <w:rFonts w:hint="default" w:ascii="宋体" w:hAnsi="宋体"/>
                      <w:kern w:val="24"/>
                      <w:sz w:val="21"/>
                      <w:szCs w:val="21"/>
                      <w:highlight w:val="yellow"/>
                      <w:lang w:val="en-US" w:eastAsia="zh-CN"/>
                    </w:rPr>
                  </w:pPr>
                  <w:r>
                    <w:rPr>
                      <w:rFonts w:hint="eastAsia" w:ascii="宋体" w:hAnsi="宋体"/>
                      <w:kern w:val="24"/>
                      <w:sz w:val="21"/>
                      <w:szCs w:val="21"/>
                      <w:highlight w:val="none"/>
                      <w:lang w:val="en-US" w:eastAsia="zh-CN"/>
                    </w:rPr>
                    <w:t>因预加工工序委托外厂操作，项目取消机加工区，改为清理区，原清理区改为在制品堆放区</w:t>
                  </w:r>
                </w:p>
              </w:tc>
              <w:tc>
                <w:tcPr>
                  <w:tcW w:w="1879" w:type="dxa"/>
                  <w:vMerge w:val="continue"/>
                  <w:shd w:val="clear" w:color="auto" w:fill="auto"/>
                  <w:vAlign w:val="center"/>
                </w:tcPr>
                <w:p>
                  <w:pPr>
                    <w:spacing w:line="276" w:lineRule="auto"/>
                    <w:jc w:val="center"/>
                    <w:rPr>
                      <w:rFonts w:ascii="宋体" w:hAnsi="宋体"/>
                      <w:color w:val="000000"/>
                      <w:sz w:val="24"/>
                      <w:szCs w:val="24"/>
                      <w:highlight w:val="yellow"/>
                    </w:rPr>
                  </w:pPr>
                </w:p>
              </w:tc>
            </w:tr>
          </w:tbl>
          <w:p>
            <w:pPr>
              <w:spacing w:line="360" w:lineRule="auto"/>
              <w:jc w:val="left"/>
              <w:rPr>
                <w:rFonts w:hint="eastAsia" w:ascii="宋体" w:hAnsi="宋体"/>
                <w:color w:val="000000" w:themeColor="text1"/>
                <w:sz w:val="24"/>
                <w:szCs w:val="24"/>
                <w:highlight w:val="none"/>
                <w14:textFill>
                  <w14:solidFill>
                    <w14:schemeClr w14:val="tx1"/>
                  </w14:solidFill>
                </w14:textFill>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9503" w:type="dxa"/>
          </w:tcPr>
          <w:p>
            <w:pPr>
              <w:spacing w:line="360" w:lineRule="auto"/>
              <w:rPr>
                <w:rFonts w:ascii="宋体" w:hAnsi="宋体"/>
                <w:b/>
                <w:sz w:val="28"/>
                <w:szCs w:val="28"/>
                <w:highlight w:val="none"/>
              </w:rPr>
            </w:pPr>
            <w:r>
              <w:rPr>
                <w:rFonts w:hint="eastAsia" w:ascii="宋体" w:hAnsi="宋体"/>
                <w:b/>
                <w:sz w:val="28"/>
                <w:szCs w:val="28"/>
                <w:highlight w:val="none"/>
              </w:rPr>
              <w:t>主要工艺流程及产物环节：</w:t>
            </w:r>
          </w:p>
          <w:p>
            <w:pPr>
              <w:spacing w:line="360" w:lineRule="auto"/>
              <w:ind w:firstLine="480" w:firstLineChars="200"/>
              <w:rPr>
                <w:rFonts w:hint="eastAsia" w:ascii="Times New Roman" w:hAnsi="Times New Roman" w:eastAsia="宋体" w:cs="Times New Roman"/>
                <w:color w:val="000000"/>
                <w:sz w:val="24"/>
              </w:rPr>
            </w:pPr>
            <w:r>
              <w:rPr>
                <w:rFonts w:hint="eastAsia" w:ascii="Times New Roman" w:hAnsi="Times New Roman" w:eastAsia="宋体" w:cs="Times New Roman"/>
                <w:color w:val="000000"/>
                <w:sz w:val="24"/>
              </w:rPr>
              <w:t>本次技改项目只针对现有的压铸线，技改后的工艺流程与现有压铸线基本相同，技改后的工艺流程图如下：</w:t>
            </w:r>
          </w:p>
          <w:p>
            <w:pPr>
              <w:pStyle w:val="2"/>
              <w:rPr>
                <w:rFonts w:hint="eastAsia" w:ascii="Times New Roman" w:hAnsi="Times New Roman" w:eastAsia="宋体" w:cs="Times New Roman"/>
                <w:color w:val="000000"/>
                <w:sz w:val="24"/>
              </w:rPr>
            </w:pPr>
          </w:p>
          <w:p>
            <w:pPr>
              <w:rPr>
                <w:rFonts w:hint="eastAsia" w:ascii="Times New Roman" w:hAnsi="Times New Roman" w:eastAsia="宋体" w:cs="Times New Roman"/>
                <w:color w:val="000000"/>
                <w:sz w:val="24"/>
              </w:rPr>
            </w:pPr>
          </w:p>
          <w:p>
            <w:pPr>
              <w:pStyle w:val="2"/>
              <w:rPr>
                <w:rFonts w:hint="eastAsia" w:ascii="Times New Roman" w:hAnsi="Times New Roman" w:eastAsia="宋体" w:cs="Times New Roman"/>
                <w:color w:val="000000"/>
                <w:sz w:val="24"/>
              </w:rPr>
            </w:pPr>
          </w:p>
          <w:p>
            <w:pPr>
              <w:rPr>
                <w:rFonts w:hint="eastAsia" w:ascii="Times New Roman" w:hAnsi="Times New Roman" w:eastAsia="宋体" w:cs="Times New Roman"/>
                <w:color w:val="000000"/>
                <w:sz w:val="24"/>
              </w:rPr>
            </w:pPr>
          </w:p>
          <w:p>
            <w:pPr>
              <w:pStyle w:val="2"/>
            </w:pPr>
          </w:p>
          <w:p>
            <w:pPr>
              <w:tabs>
                <w:tab w:val="left" w:pos="0"/>
                <w:tab w:val="left" w:pos="3600"/>
              </w:tabs>
              <w:spacing w:line="360" w:lineRule="auto"/>
              <w:jc w:val="center"/>
              <w:rPr>
                <w:b/>
                <w:color w:val="000000" w:themeColor="text1"/>
                <w:sz w:val="24"/>
                <w14:textFill>
                  <w14:solidFill>
                    <w14:schemeClr w14:val="tx1"/>
                  </w14:solidFill>
                </w14:textFill>
              </w:rPr>
            </w:pPr>
            <w:r>
              <w:rPr>
                <w:b/>
                <w:color w:val="000000" w:themeColor="text1"/>
                <w:sz w:val="24"/>
                <w14:textFill>
                  <w14:solidFill>
                    <w14:schemeClr w14:val="tx1"/>
                  </w14:solidFill>
                </w14:textFill>
              </w:rPr>
              <w:object>
                <v:shape id="_x0000_i1025" o:spt="75" type="#_x0000_t75" style="height:429.75pt;width:357.75pt;" o:ole="t" filled="f" o:preferrelative="t" stroked="f" coordsize="21600,21600">
                  <v:path/>
                  <v:fill on="f" focussize="0,0"/>
                  <v:stroke on="f" joinstyle="miter"/>
                  <v:imagedata r:id="rId10" o:title=""/>
                  <o:lock v:ext="edit" aspectratio="t"/>
                  <w10:wrap type="none"/>
                  <w10:anchorlock/>
                </v:shape>
                <o:OLEObject Type="Embed" ProgID="Visio.Drawing.11" ShapeID="_x0000_i1025" DrawAspect="Content" ObjectID="_1468075725">
                  <o:LockedField>false</o:LockedField>
                </o:OLEObject>
              </w:object>
            </w:r>
          </w:p>
          <w:p>
            <w:pPr>
              <w:tabs>
                <w:tab w:val="left" w:pos="0"/>
                <w:tab w:val="left" w:pos="3600"/>
              </w:tabs>
              <w:spacing w:line="360" w:lineRule="auto"/>
              <w:jc w:val="center"/>
              <w:rPr>
                <w:b/>
                <w:color w:val="000000" w:themeColor="text1"/>
                <w:sz w:val="24"/>
                <w:highlight w:val="none"/>
                <w14:textFill>
                  <w14:solidFill>
                    <w14:schemeClr w14:val="tx1"/>
                  </w14:solidFill>
                </w14:textFill>
              </w:rPr>
            </w:pPr>
            <w:r>
              <w:rPr>
                <w:b/>
                <w:color w:val="000000" w:themeColor="text1"/>
                <w:sz w:val="24"/>
                <w14:textFill>
                  <w14:solidFill>
                    <w14:schemeClr w14:val="tx1"/>
                  </w14:solidFill>
                </w14:textFill>
              </w:rPr>
              <w:t>图</w:t>
            </w:r>
            <w:r>
              <w:rPr>
                <w:rFonts w:hint="eastAsia"/>
                <w:b/>
                <w:color w:val="000000" w:themeColor="text1"/>
                <w:sz w:val="24"/>
                <w14:textFill>
                  <w14:solidFill>
                    <w14:schemeClr w14:val="tx1"/>
                  </w14:solidFill>
                </w14:textFill>
              </w:rPr>
              <w:t>2</w:t>
            </w:r>
            <w:r>
              <w:rPr>
                <w:b/>
                <w:color w:val="000000" w:themeColor="text1"/>
                <w:sz w:val="24"/>
                <w14:textFill>
                  <w14:solidFill>
                    <w14:schemeClr w14:val="tx1"/>
                  </w14:solidFill>
                </w14:textFill>
              </w:rPr>
              <w:t xml:space="preserve">-2 </w:t>
            </w:r>
            <w:r>
              <w:rPr>
                <w:b/>
                <w:color w:val="000000" w:themeColor="text1"/>
                <w:sz w:val="24"/>
                <w:highlight w:val="none"/>
                <w14:textFill>
                  <w14:solidFill>
                    <w14:schemeClr w14:val="tx1"/>
                  </w14:solidFill>
                </w14:textFill>
              </w:rPr>
              <w:t xml:space="preserve"> </w:t>
            </w:r>
            <w:r>
              <w:rPr>
                <w:rFonts w:hint="eastAsia"/>
                <w:b/>
                <w:color w:val="000000" w:themeColor="text1"/>
                <w:sz w:val="24"/>
                <w:highlight w:val="none"/>
                <w14:textFill>
                  <w14:solidFill>
                    <w14:schemeClr w14:val="tx1"/>
                  </w14:solidFill>
                </w14:textFill>
              </w:rPr>
              <w:t>生产工艺流程图及产污节点图</w:t>
            </w:r>
          </w:p>
          <w:p>
            <w:pPr>
              <w:spacing w:line="360" w:lineRule="auto"/>
              <w:jc w:val="left"/>
              <w:rPr>
                <w:rFonts w:ascii="Times New Roman" w:hAnsi="Times New Roman" w:eastAsia="宋体" w:cs="Times New Roman"/>
                <w:b/>
                <w:color w:val="000000"/>
                <w:sz w:val="24"/>
              </w:rPr>
            </w:pPr>
            <w:r>
              <w:rPr>
                <w:rFonts w:hint="eastAsia" w:ascii="Times New Roman" w:hAnsi="Times New Roman" w:eastAsia="宋体" w:cs="Times New Roman"/>
                <w:b/>
                <w:color w:val="000000"/>
                <w:sz w:val="24"/>
              </w:rPr>
              <w:t>技改后工艺流程简述：</w:t>
            </w:r>
          </w:p>
          <w:p>
            <w:pPr>
              <w:spacing w:line="360" w:lineRule="auto"/>
              <w:ind w:firstLine="480" w:firstLineChars="200"/>
              <w:jc w:val="left"/>
              <w:rPr>
                <w:rFonts w:ascii="Times New Roman" w:hAnsi="Times New Roman" w:eastAsia="宋体" w:cs="Times New Roman"/>
                <w:color w:val="000000"/>
                <w:sz w:val="24"/>
              </w:rPr>
            </w:pPr>
            <w:r>
              <w:rPr>
                <w:rFonts w:ascii="Times New Roman" w:hAnsi="Times New Roman" w:eastAsia="宋体" w:cs="Times New Roman"/>
                <w:color w:val="000000"/>
                <w:sz w:val="24"/>
              </w:rPr>
              <w:t>本项目将</w:t>
            </w:r>
            <w:r>
              <w:rPr>
                <w:rFonts w:hint="eastAsia" w:ascii="Times New Roman" w:hAnsi="Times New Roman" w:eastAsia="宋体" w:cs="Times New Roman"/>
                <w:color w:val="000000"/>
                <w:sz w:val="24"/>
              </w:rPr>
              <w:t>现</w:t>
            </w:r>
            <w:r>
              <w:rPr>
                <w:rFonts w:ascii="Times New Roman" w:hAnsi="Times New Roman" w:eastAsia="宋体" w:cs="Times New Roman"/>
                <w:color w:val="000000"/>
                <w:sz w:val="24"/>
              </w:rPr>
              <w:t>有熔炉熔化好的铝</w:t>
            </w:r>
            <w:r>
              <w:rPr>
                <w:rFonts w:hint="eastAsia" w:ascii="Times New Roman" w:hAnsi="Times New Roman" w:eastAsia="宋体" w:cs="Times New Roman"/>
                <w:color w:val="000000"/>
                <w:sz w:val="24"/>
              </w:rPr>
              <w:t>水</w:t>
            </w:r>
            <w:r>
              <w:rPr>
                <w:rFonts w:ascii="Times New Roman" w:hAnsi="Times New Roman" w:eastAsia="宋体" w:cs="Times New Roman"/>
                <w:color w:val="000000"/>
                <w:sz w:val="24"/>
              </w:rPr>
              <w:t>经</w:t>
            </w:r>
            <w:r>
              <w:rPr>
                <w:rFonts w:hint="eastAsia" w:ascii="Times New Roman" w:hAnsi="Times New Roman" w:eastAsia="宋体" w:cs="Times New Roman"/>
                <w:color w:val="000000"/>
                <w:sz w:val="24"/>
              </w:rPr>
              <w:t>转运包</w:t>
            </w:r>
            <w:r>
              <w:rPr>
                <w:rFonts w:ascii="Times New Roman" w:hAnsi="Times New Roman" w:eastAsia="宋体" w:cs="Times New Roman"/>
                <w:color w:val="000000"/>
                <w:sz w:val="24"/>
              </w:rPr>
              <w:t>从熔化区域运至压铸单元的保温炉内。</w:t>
            </w:r>
          </w:p>
          <w:p>
            <w:pPr>
              <w:spacing w:line="360" w:lineRule="auto"/>
              <w:ind w:firstLine="480" w:firstLineChars="200"/>
              <w:jc w:val="left"/>
              <w:rPr>
                <w:rFonts w:ascii="Times New Roman" w:hAnsi="Times New Roman" w:eastAsia="宋体" w:cs="Times New Roman"/>
                <w:color w:val="000000"/>
                <w:sz w:val="24"/>
              </w:rPr>
            </w:pPr>
            <w:r>
              <w:rPr>
                <w:rFonts w:hint="eastAsia" w:ascii="Times New Roman" w:hAnsi="Times New Roman" w:eastAsia="宋体" w:cs="Times New Roman"/>
                <w:color w:val="000000"/>
                <w:sz w:val="24"/>
              </w:rPr>
              <w:t>1、压铸：铝水由压铸单元配备的机械手自动取液，在高压作用下，铝水以高速填充至型具型腔内，并使金属在此压力下凝固而形成铸件。</w:t>
            </w:r>
          </w:p>
          <w:p>
            <w:pPr>
              <w:spacing w:line="360" w:lineRule="auto"/>
              <w:ind w:firstLine="480" w:firstLineChars="200"/>
              <w:jc w:val="left"/>
              <w:rPr>
                <w:rFonts w:ascii="Times New Roman" w:hAnsi="Times New Roman" w:eastAsia="宋体" w:cs="Times New Roman"/>
                <w:color w:val="000000"/>
                <w:sz w:val="24"/>
              </w:rPr>
            </w:pPr>
            <w:r>
              <w:rPr>
                <w:rFonts w:hint="eastAsia" w:ascii="Times New Roman" w:hAnsi="Times New Roman" w:eastAsia="宋体" w:cs="Times New Roman"/>
                <w:color w:val="000000"/>
                <w:sz w:val="24"/>
              </w:rPr>
              <w:t>2、脱模：取件机器人将压铸后的铸件从模具中脱离，并通过压铸单元配套喷涂机将脱模剂与水的混合液（1</w:t>
            </w:r>
            <w:r>
              <w:rPr>
                <w:rFonts w:hint="eastAsia" w:cs="Times New Roman"/>
                <w:color w:val="000000"/>
                <w:sz w:val="24"/>
                <w:lang w:eastAsia="zh-CN"/>
              </w:rPr>
              <w:t>：</w:t>
            </w:r>
            <w:r>
              <w:rPr>
                <w:rFonts w:hint="eastAsia" w:ascii="Times New Roman" w:hAnsi="Times New Roman" w:eastAsia="宋体" w:cs="Times New Roman"/>
                <w:color w:val="000000"/>
                <w:sz w:val="24"/>
              </w:rPr>
              <w:t>100）以高压喷雾形式喷于模具内侧，使后续压铸机与模具分离，并将压铸后的铸件取出。此工序产生脱模废气（以VOCs计，G1）、脱模废水（W1）及噪声（N1）。</w:t>
            </w:r>
          </w:p>
          <w:p>
            <w:pPr>
              <w:spacing w:line="360" w:lineRule="auto"/>
              <w:ind w:firstLine="480" w:firstLineChars="200"/>
              <w:jc w:val="left"/>
              <w:rPr>
                <w:rFonts w:ascii="Times New Roman" w:hAnsi="Times New Roman" w:eastAsia="宋体" w:cs="Times New Roman"/>
                <w:color w:val="000000"/>
                <w:sz w:val="24"/>
              </w:rPr>
            </w:pPr>
            <w:r>
              <w:rPr>
                <w:rFonts w:hint="eastAsia" w:ascii="Times New Roman" w:hAnsi="Times New Roman" w:eastAsia="宋体" w:cs="Times New Roman"/>
                <w:color w:val="000000"/>
                <w:sz w:val="24"/>
              </w:rPr>
              <w:t>3、清理：脱模后的铸件在经风冷冷却后，传送至配套的自动切边装置，</w:t>
            </w:r>
            <w:r>
              <w:rPr>
                <w:rFonts w:ascii="Times New Roman" w:hAnsi="Times New Roman" w:eastAsia="宋体" w:cs="Times New Roman"/>
                <w:color w:val="000000"/>
                <w:sz w:val="24"/>
              </w:rPr>
              <w:t>冲剪浇口和飞边</w:t>
            </w:r>
            <w:r>
              <w:rPr>
                <w:rFonts w:hint="eastAsia" w:ascii="Times New Roman" w:hAnsi="Times New Roman" w:eastAsia="宋体" w:cs="Times New Roman"/>
                <w:color w:val="000000"/>
                <w:sz w:val="24"/>
              </w:rPr>
              <w:t>后，</w:t>
            </w:r>
            <w:r>
              <w:rPr>
                <w:rFonts w:ascii="Times New Roman" w:hAnsi="Times New Roman" w:eastAsia="宋体" w:cs="Times New Roman"/>
                <w:color w:val="000000"/>
                <w:sz w:val="24"/>
              </w:rPr>
              <w:t>自动打标从输送带输出。</w:t>
            </w:r>
            <w:r>
              <w:rPr>
                <w:rFonts w:hint="eastAsia" w:ascii="Times New Roman" w:hAnsi="Times New Roman" w:eastAsia="宋体" w:cs="Times New Roman"/>
                <w:color w:val="000000"/>
                <w:sz w:val="24"/>
              </w:rPr>
              <w:t>此工序产生边角料（S1）和噪声（N2）。</w:t>
            </w:r>
          </w:p>
          <w:p>
            <w:pPr>
              <w:spacing w:line="360" w:lineRule="auto"/>
              <w:ind w:firstLine="480" w:firstLineChars="200"/>
              <w:jc w:val="left"/>
              <w:rPr>
                <w:rFonts w:ascii="Times New Roman" w:hAnsi="Times New Roman" w:eastAsia="宋体" w:cs="Times New Roman"/>
                <w:color w:val="000000"/>
                <w:sz w:val="24"/>
              </w:rPr>
            </w:pPr>
            <w:r>
              <w:rPr>
                <w:rFonts w:hint="eastAsia" w:ascii="Times New Roman" w:hAnsi="Times New Roman" w:eastAsia="宋体" w:cs="Times New Roman"/>
                <w:color w:val="000000"/>
                <w:sz w:val="24"/>
              </w:rPr>
              <w:t>4、热处理：铸件进入热处理炉进行热处理（时效处理），热处理炉使用电加热，本项目热处理工艺不使用淬火油等溶剂。</w:t>
            </w:r>
          </w:p>
          <w:p>
            <w:pPr>
              <w:spacing w:line="360" w:lineRule="auto"/>
              <w:ind w:firstLine="480" w:firstLineChars="200"/>
              <w:jc w:val="left"/>
              <w:rPr>
                <w:rFonts w:hint="default" w:ascii="Times New Roman" w:hAnsi="Times New Roman" w:eastAsia="宋体" w:cs="Times New Roman"/>
                <w:color w:val="000000"/>
                <w:lang w:val="en-US" w:eastAsia="zh-CN"/>
              </w:rPr>
            </w:pPr>
            <w:r>
              <w:rPr>
                <w:rFonts w:hint="eastAsia" w:ascii="Times New Roman" w:hAnsi="Times New Roman" w:eastAsia="宋体" w:cs="Times New Roman"/>
                <w:color w:val="000000"/>
                <w:sz w:val="24"/>
              </w:rPr>
              <w:t>5、预加工：铸件根据需要在立式加工中心中进行机加工，最后经质检包装出库。此工序产生废铝屑（S2）、噪声（N3）。</w:t>
            </w:r>
            <w:r>
              <w:rPr>
                <w:rFonts w:hint="eastAsia" w:cs="Times New Roman"/>
                <w:color w:val="000000"/>
                <w:sz w:val="24"/>
                <w:lang w:val="en-US" w:eastAsia="zh-CN"/>
              </w:rPr>
              <w:t>此工序委托永达科技零部件厂处理，此阶段污染物不在本厂产生。</w:t>
            </w:r>
          </w:p>
          <w:p>
            <w:pPr>
              <w:tabs>
                <w:tab w:val="left" w:pos="601"/>
              </w:tabs>
              <w:spacing w:line="360" w:lineRule="auto"/>
              <w:ind w:firstLine="480" w:firstLineChars="200"/>
              <w:rPr>
                <w:rFonts w:hint="eastAsia" w:ascii="宋体" w:hAnsi="宋体" w:eastAsia="宋体" w:cs="宋体"/>
                <w:color w:val="auto"/>
                <w:sz w:val="24"/>
                <w:highlight w:val="none"/>
                <w:lang w:val="en-US" w:eastAsia="zh-CN"/>
              </w:rPr>
            </w:pPr>
            <w:r>
              <w:rPr>
                <w:rFonts w:hint="eastAsia" w:ascii="Times New Roman" w:hAnsi="Times New Roman" w:eastAsia="宋体" w:cs="Times New Roman"/>
                <w:color w:val="000000"/>
                <w:sz w:val="24"/>
              </w:rPr>
              <w:t>6、气密性检查：对铸件使用水检来进行气密性检查，会产生水检废水（W3），废水每天更换一次。</w:t>
            </w:r>
          </w:p>
          <w:p>
            <w:pPr>
              <w:tabs>
                <w:tab w:val="left" w:pos="601"/>
              </w:tabs>
              <w:spacing w:line="360" w:lineRule="auto"/>
              <w:ind w:firstLine="480" w:firstLineChars="200"/>
              <w:rPr>
                <w:rFonts w:hint="eastAsia" w:ascii="宋体" w:hAnsi="宋体" w:eastAsia="宋体" w:cs="宋体"/>
                <w:color w:val="auto"/>
                <w:sz w:val="24"/>
                <w:highlight w:val="none"/>
                <w:lang w:val="en-US" w:eastAsia="zh-CN"/>
              </w:rPr>
            </w:pPr>
          </w:p>
          <w:p>
            <w:pPr>
              <w:tabs>
                <w:tab w:val="left" w:pos="601"/>
              </w:tabs>
              <w:spacing w:line="360" w:lineRule="auto"/>
              <w:ind w:firstLine="480" w:firstLineChars="200"/>
              <w:rPr>
                <w:rFonts w:hint="eastAsia" w:ascii="宋体" w:hAnsi="宋体" w:eastAsia="宋体" w:cs="宋体"/>
                <w:color w:val="auto"/>
                <w:sz w:val="24"/>
                <w:highlight w:val="none"/>
                <w:lang w:val="en-US" w:eastAsia="zh-CN"/>
              </w:rPr>
            </w:pPr>
          </w:p>
          <w:p>
            <w:pPr>
              <w:tabs>
                <w:tab w:val="left" w:pos="601"/>
              </w:tabs>
              <w:spacing w:line="360" w:lineRule="auto"/>
              <w:ind w:firstLine="480" w:firstLineChars="200"/>
              <w:rPr>
                <w:rFonts w:hint="eastAsia" w:ascii="宋体" w:hAnsi="宋体" w:eastAsia="宋体" w:cs="宋体"/>
                <w:color w:val="auto"/>
                <w:sz w:val="24"/>
                <w:highlight w:val="none"/>
                <w:lang w:val="en-US" w:eastAsia="zh-CN"/>
              </w:rPr>
            </w:pPr>
          </w:p>
          <w:p>
            <w:pPr>
              <w:tabs>
                <w:tab w:val="left" w:pos="601"/>
              </w:tabs>
              <w:spacing w:line="360" w:lineRule="auto"/>
              <w:ind w:firstLine="480" w:firstLineChars="200"/>
              <w:rPr>
                <w:rFonts w:hint="eastAsia" w:ascii="宋体" w:hAnsi="宋体" w:eastAsia="宋体" w:cs="宋体"/>
                <w:color w:val="auto"/>
                <w:sz w:val="24"/>
                <w:highlight w:val="none"/>
                <w:lang w:val="en-US" w:eastAsia="zh-CN"/>
              </w:rPr>
            </w:pPr>
          </w:p>
          <w:p>
            <w:pPr>
              <w:tabs>
                <w:tab w:val="left" w:pos="601"/>
              </w:tabs>
              <w:spacing w:line="360" w:lineRule="auto"/>
              <w:ind w:firstLine="480" w:firstLineChars="200"/>
              <w:rPr>
                <w:rFonts w:hint="eastAsia" w:ascii="宋体" w:hAnsi="宋体" w:eastAsia="宋体" w:cs="宋体"/>
                <w:color w:val="auto"/>
                <w:sz w:val="24"/>
                <w:highlight w:val="none"/>
                <w:lang w:val="en-US" w:eastAsia="zh-CN"/>
              </w:rPr>
            </w:pPr>
          </w:p>
          <w:p>
            <w:pPr>
              <w:tabs>
                <w:tab w:val="left" w:pos="601"/>
              </w:tabs>
              <w:spacing w:line="360" w:lineRule="auto"/>
              <w:ind w:firstLine="480" w:firstLineChars="200"/>
              <w:rPr>
                <w:rFonts w:hint="eastAsia" w:ascii="宋体" w:hAnsi="宋体" w:eastAsia="宋体" w:cs="宋体"/>
                <w:color w:val="auto"/>
                <w:sz w:val="24"/>
                <w:highlight w:val="none"/>
                <w:lang w:val="en-US" w:eastAsia="zh-CN"/>
              </w:rPr>
            </w:pPr>
          </w:p>
          <w:p>
            <w:pPr>
              <w:tabs>
                <w:tab w:val="left" w:pos="601"/>
              </w:tabs>
              <w:spacing w:line="360" w:lineRule="auto"/>
              <w:ind w:firstLine="480" w:firstLineChars="200"/>
              <w:rPr>
                <w:rFonts w:hint="eastAsia" w:ascii="宋体" w:hAnsi="宋体" w:eastAsia="宋体" w:cs="宋体"/>
                <w:color w:val="auto"/>
                <w:sz w:val="24"/>
                <w:highlight w:val="none"/>
                <w:lang w:val="en-US" w:eastAsia="zh-CN"/>
              </w:rPr>
            </w:pPr>
          </w:p>
          <w:p>
            <w:pPr>
              <w:tabs>
                <w:tab w:val="left" w:pos="601"/>
              </w:tabs>
              <w:spacing w:line="360" w:lineRule="auto"/>
              <w:ind w:firstLine="480" w:firstLineChars="200"/>
              <w:rPr>
                <w:rFonts w:hint="eastAsia" w:ascii="宋体" w:hAnsi="宋体" w:eastAsia="宋体" w:cs="宋体"/>
                <w:color w:val="auto"/>
                <w:sz w:val="24"/>
                <w:highlight w:val="none"/>
                <w:lang w:val="en-US" w:eastAsia="zh-CN"/>
              </w:rPr>
            </w:pPr>
          </w:p>
          <w:p>
            <w:pPr>
              <w:tabs>
                <w:tab w:val="left" w:pos="601"/>
              </w:tabs>
              <w:spacing w:line="360" w:lineRule="auto"/>
              <w:ind w:firstLine="480" w:firstLineChars="200"/>
              <w:rPr>
                <w:rFonts w:hint="eastAsia" w:ascii="宋体" w:hAnsi="宋体" w:eastAsia="宋体" w:cs="宋体"/>
                <w:color w:val="auto"/>
                <w:sz w:val="24"/>
                <w:highlight w:val="none"/>
                <w:lang w:val="en-US" w:eastAsia="zh-CN"/>
              </w:rPr>
            </w:pPr>
          </w:p>
          <w:p>
            <w:pPr>
              <w:tabs>
                <w:tab w:val="left" w:pos="601"/>
              </w:tabs>
              <w:spacing w:line="360" w:lineRule="auto"/>
              <w:ind w:firstLine="480" w:firstLineChars="200"/>
              <w:rPr>
                <w:rFonts w:hint="eastAsia" w:ascii="宋体" w:hAnsi="宋体" w:eastAsia="宋体" w:cs="宋体"/>
                <w:color w:val="auto"/>
                <w:sz w:val="24"/>
                <w:highlight w:val="none"/>
                <w:lang w:val="en-US" w:eastAsia="zh-CN"/>
              </w:rPr>
            </w:pPr>
          </w:p>
          <w:p>
            <w:pPr>
              <w:tabs>
                <w:tab w:val="left" w:pos="601"/>
              </w:tabs>
              <w:spacing w:line="360" w:lineRule="auto"/>
              <w:ind w:firstLine="480" w:firstLineChars="200"/>
              <w:rPr>
                <w:rFonts w:hint="eastAsia" w:ascii="宋体" w:hAnsi="宋体" w:eastAsia="宋体" w:cs="宋体"/>
                <w:color w:val="auto"/>
                <w:sz w:val="24"/>
                <w:highlight w:val="none"/>
                <w:lang w:val="en-US" w:eastAsia="zh-CN"/>
              </w:rPr>
            </w:pPr>
          </w:p>
          <w:p>
            <w:pPr>
              <w:tabs>
                <w:tab w:val="left" w:pos="601"/>
              </w:tabs>
              <w:spacing w:line="360" w:lineRule="auto"/>
              <w:ind w:firstLine="480" w:firstLineChars="200"/>
              <w:rPr>
                <w:rFonts w:hint="eastAsia" w:ascii="宋体" w:hAnsi="宋体" w:eastAsia="宋体" w:cs="宋体"/>
                <w:color w:val="auto"/>
                <w:sz w:val="24"/>
                <w:highlight w:val="none"/>
                <w:lang w:val="en-US" w:eastAsia="zh-CN"/>
              </w:rPr>
            </w:pPr>
          </w:p>
          <w:p>
            <w:pPr>
              <w:tabs>
                <w:tab w:val="left" w:pos="601"/>
              </w:tabs>
              <w:spacing w:line="360" w:lineRule="auto"/>
              <w:ind w:firstLine="480" w:firstLineChars="200"/>
              <w:rPr>
                <w:rFonts w:hint="eastAsia" w:ascii="宋体" w:hAnsi="宋体" w:eastAsia="宋体" w:cs="宋体"/>
                <w:color w:val="auto"/>
                <w:sz w:val="24"/>
                <w:highlight w:val="none"/>
                <w:lang w:val="en-US" w:eastAsia="zh-CN"/>
              </w:rPr>
            </w:pPr>
          </w:p>
          <w:p>
            <w:pPr>
              <w:tabs>
                <w:tab w:val="left" w:pos="601"/>
              </w:tabs>
              <w:spacing w:line="360" w:lineRule="auto"/>
              <w:ind w:firstLine="480" w:firstLineChars="200"/>
              <w:rPr>
                <w:rFonts w:hint="eastAsia" w:ascii="宋体" w:hAnsi="宋体" w:eastAsia="宋体" w:cs="宋体"/>
                <w:color w:val="auto"/>
                <w:sz w:val="24"/>
                <w:highlight w:val="none"/>
                <w:lang w:val="en-US" w:eastAsia="zh-CN"/>
              </w:rPr>
            </w:pPr>
          </w:p>
          <w:p>
            <w:pPr>
              <w:tabs>
                <w:tab w:val="left" w:pos="601"/>
              </w:tabs>
              <w:spacing w:line="360" w:lineRule="auto"/>
              <w:ind w:firstLine="480" w:firstLineChars="200"/>
              <w:rPr>
                <w:rFonts w:hint="eastAsia" w:ascii="宋体" w:hAnsi="宋体" w:eastAsia="宋体" w:cs="宋体"/>
                <w:color w:val="auto"/>
                <w:sz w:val="24"/>
                <w:highlight w:val="none"/>
                <w:lang w:val="en-US" w:eastAsia="zh-CN"/>
              </w:rPr>
            </w:pPr>
          </w:p>
          <w:p>
            <w:pPr>
              <w:tabs>
                <w:tab w:val="left" w:pos="601"/>
              </w:tabs>
              <w:spacing w:line="360" w:lineRule="auto"/>
              <w:ind w:firstLine="480" w:firstLineChars="200"/>
              <w:rPr>
                <w:rFonts w:hint="eastAsia" w:ascii="宋体" w:hAnsi="宋体" w:eastAsia="宋体" w:cs="宋体"/>
                <w:color w:val="auto"/>
                <w:sz w:val="24"/>
                <w:highlight w:val="none"/>
                <w:lang w:val="en-US" w:eastAsia="zh-CN"/>
              </w:rPr>
            </w:pPr>
          </w:p>
          <w:p>
            <w:pPr>
              <w:tabs>
                <w:tab w:val="left" w:pos="601"/>
              </w:tabs>
              <w:spacing w:line="360" w:lineRule="auto"/>
              <w:ind w:firstLine="480" w:firstLineChars="200"/>
              <w:rPr>
                <w:rFonts w:hint="eastAsia" w:ascii="宋体" w:hAnsi="宋体" w:eastAsia="宋体" w:cs="宋体"/>
                <w:color w:val="auto"/>
                <w:sz w:val="24"/>
                <w:highlight w:val="none"/>
                <w:lang w:val="en-US" w:eastAsia="zh-CN"/>
              </w:rPr>
            </w:pPr>
          </w:p>
          <w:p>
            <w:pPr>
              <w:tabs>
                <w:tab w:val="left" w:pos="601"/>
              </w:tabs>
              <w:spacing w:line="360" w:lineRule="auto"/>
              <w:ind w:firstLine="480" w:firstLineChars="200"/>
              <w:rPr>
                <w:rFonts w:hint="eastAsia" w:ascii="宋体" w:hAnsi="宋体" w:eastAsia="宋体" w:cs="宋体"/>
                <w:color w:val="auto"/>
                <w:sz w:val="24"/>
                <w:highlight w:val="none"/>
                <w:lang w:val="en-US" w:eastAsia="zh-CN"/>
              </w:rPr>
            </w:pPr>
          </w:p>
          <w:p>
            <w:pPr>
              <w:tabs>
                <w:tab w:val="left" w:pos="601"/>
              </w:tabs>
              <w:spacing w:line="360" w:lineRule="auto"/>
              <w:ind w:firstLine="480" w:firstLineChars="200"/>
              <w:rPr>
                <w:rFonts w:hint="eastAsia" w:ascii="宋体" w:hAnsi="宋体" w:eastAsia="宋体" w:cs="宋体"/>
                <w:color w:val="auto"/>
                <w:sz w:val="24"/>
                <w:highlight w:val="none"/>
                <w:lang w:val="en-US" w:eastAsia="zh-CN"/>
              </w:rPr>
            </w:pPr>
          </w:p>
          <w:p>
            <w:pPr>
              <w:tabs>
                <w:tab w:val="left" w:pos="601"/>
              </w:tabs>
              <w:spacing w:line="360" w:lineRule="auto"/>
              <w:ind w:firstLine="480" w:firstLineChars="200"/>
              <w:rPr>
                <w:rFonts w:hint="eastAsia" w:ascii="宋体" w:hAnsi="宋体" w:eastAsia="宋体" w:cs="宋体"/>
                <w:color w:val="auto"/>
                <w:sz w:val="24"/>
                <w:highlight w:val="none"/>
                <w:lang w:val="en-US" w:eastAsia="zh-CN"/>
              </w:rPr>
            </w:pPr>
          </w:p>
          <w:p>
            <w:pPr>
              <w:tabs>
                <w:tab w:val="left" w:pos="601"/>
              </w:tabs>
              <w:spacing w:line="360" w:lineRule="auto"/>
              <w:ind w:firstLine="480" w:firstLineChars="200"/>
              <w:rPr>
                <w:rFonts w:hint="eastAsia" w:ascii="宋体" w:hAnsi="宋体" w:eastAsia="宋体" w:cs="宋体"/>
                <w:color w:val="auto"/>
                <w:sz w:val="24"/>
                <w:highlight w:val="none"/>
                <w:lang w:val="en-US" w:eastAsia="zh-CN"/>
              </w:rPr>
            </w:pPr>
          </w:p>
          <w:p>
            <w:pPr>
              <w:tabs>
                <w:tab w:val="left" w:pos="601"/>
              </w:tabs>
              <w:spacing w:line="360" w:lineRule="auto"/>
              <w:rPr>
                <w:rFonts w:hint="eastAsia" w:ascii="宋体" w:hAnsi="宋体" w:eastAsia="宋体" w:cs="宋体"/>
                <w:color w:val="auto"/>
                <w:sz w:val="24"/>
                <w:highlight w:val="none"/>
                <w:lang w:val="en-US" w:eastAsia="zh-CN"/>
              </w:rPr>
            </w:pPr>
          </w:p>
        </w:tc>
      </w:tr>
      <w:bookmarkEnd w:id="1"/>
    </w:tbl>
    <w:p>
      <w:pPr>
        <w:rPr>
          <w:b/>
          <w:sz w:val="28"/>
          <w:szCs w:val="28"/>
        </w:rPr>
        <w:sectPr>
          <w:pgSz w:w="11906" w:h="16838"/>
          <w:pgMar w:top="1588" w:right="1418" w:bottom="1418" w:left="1418" w:header="851" w:footer="992" w:gutter="0"/>
          <w:pgBorders>
            <w:top w:val="none" w:sz="0" w:space="0"/>
            <w:left w:val="none" w:sz="0" w:space="0"/>
            <w:bottom w:val="none" w:sz="0" w:space="0"/>
            <w:right w:val="none" w:sz="0" w:space="0"/>
          </w:pgBorders>
          <w:cols w:space="425" w:num="1"/>
          <w:docGrid w:type="lines" w:linePitch="312" w:charSpace="0"/>
        </w:sectPr>
      </w:pPr>
    </w:p>
    <w:p>
      <w:pPr>
        <w:rPr>
          <w:b/>
          <w:sz w:val="28"/>
          <w:szCs w:val="28"/>
        </w:rPr>
      </w:pPr>
      <w:r>
        <w:rPr>
          <w:rFonts w:hint="eastAsia"/>
          <w:b/>
          <w:sz w:val="28"/>
          <w:szCs w:val="28"/>
        </w:rPr>
        <w:t>表三</w:t>
      </w:r>
    </w:p>
    <w:tbl>
      <w:tblPr>
        <w:tblStyle w:val="33"/>
        <w:tblW w:w="9503"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9503"/>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887" w:hRule="atLeast"/>
          <w:jc w:val="center"/>
        </w:trPr>
        <w:tc>
          <w:tcPr>
            <w:tcW w:w="9503" w:type="dxa"/>
            <w:vAlign w:val="center"/>
          </w:tcPr>
          <w:p>
            <w:pPr>
              <w:spacing w:line="360" w:lineRule="auto"/>
              <w:jc w:val="left"/>
              <w:rPr>
                <w:rFonts w:ascii="宋体" w:hAnsi="宋体"/>
                <w:b/>
                <w:sz w:val="28"/>
                <w:szCs w:val="28"/>
                <w:highlight w:val="none"/>
              </w:rPr>
            </w:pPr>
            <w:r>
              <w:rPr>
                <w:rFonts w:hint="eastAsia" w:ascii="宋体" w:hAnsi="宋体"/>
                <w:b/>
                <w:sz w:val="28"/>
                <w:szCs w:val="28"/>
                <w:highlight w:val="none"/>
              </w:rPr>
              <w:t>主要污染源、污染物处理和排放：</w:t>
            </w:r>
          </w:p>
          <w:p>
            <w:pPr>
              <w:spacing w:line="360" w:lineRule="auto"/>
              <w:jc w:val="left"/>
              <w:rPr>
                <w:rFonts w:ascii="宋体" w:hAnsi="宋体"/>
                <w:b/>
                <w:sz w:val="28"/>
                <w:szCs w:val="28"/>
              </w:rPr>
            </w:pPr>
            <w:r>
              <w:rPr>
                <w:rFonts w:hint="eastAsia" w:ascii="宋体" w:hAnsi="宋体"/>
                <w:b/>
                <w:sz w:val="28"/>
                <w:szCs w:val="28"/>
              </w:rPr>
              <w:t>1、废水</w:t>
            </w:r>
          </w:p>
          <w:p>
            <w:pPr>
              <w:adjustRightInd w:val="0"/>
              <w:spacing w:line="360" w:lineRule="auto"/>
              <w:ind w:firstLine="480" w:firstLineChars="200"/>
              <w:rPr>
                <w:rFonts w:hint="default" w:ascii="宋体" w:hAnsi="宋体" w:cs="宋体"/>
                <w:kern w:val="0"/>
                <w:sz w:val="24"/>
                <w:lang w:val="en-US" w:eastAsia="zh-CN"/>
              </w:rPr>
            </w:pPr>
            <w:r>
              <w:rPr>
                <w:rFonts w:hint="eastAsia" w:ascii="宋体" w:hAnsi="宋体" w:cs="宋体"/>
                <w:kern w:val="0"/>
                <w:sz w:val="24"/>
                <w:lang w:val="en-US" w:eastAsia="zh-CN"/>
              </w:rPr>
              <w:t>本次技改项目用水主要为脱模剂用水、热处理中的淬火冷却水、气密封水检用水。本项目员工无变动，所以不新增生活污水。企业已安装在线监测设备，并于铝合金熔炼项目中通过验收。</w:t>
            </w:r>
          </w:p>
          <w:p>
            <w:pPr>
              <w:spacing w:line="360" w:lineRule="auto"/>
              <w:ind w:firstLine="480" w:firstLineChars="200"/>
              <w:rPr>
                <w:rFonts w:ascii="Times New Roman" w:hAnsi="Times New Roman" w:eastAsia="宋体" w:cs="Times New Roman"/>
                <w:color w:val="000000"/>
                <w:sz w:val="24"/>
              </w:rPr>
            </w:pPr>
            <w:r>
              <w:rPr>
                <w:rFonts w:hint="eastAsia" w:ascii="Times New Roman" w:hAnsi="Times New Roman" w:eastAsia="宋体" w:cs="Times New Roman"/>
                <w:color w:val="000000"/>
                <w:sz w:val="24"/>
              </w:rPr>
              <w:t>（1）脱模废水</w:t>
            </w:r>
          </w:p>
          <w:p>
            <w:pPr>
              <w:spacing w:line="360" w:lineRule="auto"/>
              <w:ind w:firstLine="480" w:firstLineChars="200"/>
              <w:rPr>
                <w:rFonts w:ascii="Times New Roman" w:hAnsi="Times New Roman" w:eastAsia="宋体" w:cs="Times New Roman"/>
                <w:color w:val="000000"/>
                <w:sz w:val="24"/>
              </w:rPr>
            </w:pPr>
            <w:r>
              <w:rPr>
                <w:rFonts w:ascii="Times New Roman" w:hAnsi="Times New Roman" w:eastAsia="宋体" w:cs="Times New Roman"/>
                <w:color w:val="000000"/>
                <w:sz w:val="24"/>
              </w:rPr>
              <w:t>脱模过程会产生一定的脱模废水</w:t>
            </w:r>
            <w:r>
              <w:rPr>
                <w:rFonts w:hint="eastAsia" w:ascii="Times New Roman" w:hAnsi="Times New Roman" w:eastAsia="宋体" w:cs="Times New Roman"/>
                <w:color w:val="000000"/>
                <w:sz w:val="24"/>
                <w:lang w:eastAsia="zh-CN"/>
              </w:rPr>
              <w:t>，脱模废水进入厂区污水处理站处理，废水达到标准要求后，接入市政污水管网，最终排入朱家桥污水处理厂处理后排入长江</w:t>
            </w:r>
            <w:r>
              <w:rPr>
                <w:rFonts w:ascii="Times New Roman" w:hAnsi="Times New Roman" w:eastAsia="宋体" w:cs="Times New Roman"/>
                <w:color w:val="000000"/>
                <w:sz w:val="24"/>
              </w:rPr>
              <w:t>。</w:t>
            </w:r>
          </w:p>
          <w:p>
            <w:pPr>
              <w:spacing w:line="360" w:lineRule="auto"/>
              <w:ind w:firstLine="480" w:firstLineChars="200"/>
              <w:rPr>
                <w:rFonts w:ascii="Times New Roman" w:hAnsi="Times New Roman" w:eastAsia="宋体" w:cs="Times New Roman"/>
                <w:color w:val="000000"/>
                <w:sz w:val="24"/>
              </w:rPr>
            </w:pPr>
            <w:r>
              <w:rPr>
                <w:rFonts w:hint="eastAsia" w:ascii="Times New Roman" w:hAnsi="Times New Roman" w:eastAsia="宋体" w:cs="Times New Roman"/>
                <w:color w:val="000000"/>
                <w:sz w:val="24"/>
              </w:rPr>
              <w:t>（2）淬火冷却水</w:t>
            </w:r>
          </w:p>
          <w:p>
            <w:pPr>
              <w:spacing w:line="360" w:lineRule="auto"/>
              <w:ind w:firstLine="480" w:firstLineChars="200"/>
              <w:rPr>
                <w:rFonts w:hint="eastAsia" w:ascii="Times New Roman" w:hAnsi="Times New Roman" w:eastAsia="宋体" w:cs="Times New Roman"/>
                <w:color w:val="000000"/>
                <w:sz w:val="24"/>
                <w:lang w:eastAsia="zh-CN"/>
              </w:rPr>
            </w:pPr>
            <w:r>
              <w:rPr>
                <w:rFonts w:hint="eastAsia" w:ascii="Times New Roman" w:hAnsi="Times New Roman" w:eastAsia="宋体" w:cs="Times New Roman"/>
                <w:color w:val="000000"/>
                <w:sz w:val="24"/>
              </w:rPr>
              <w:t>项目淬火过程中的冷却水为循环用水，定期补充不外排</w:t>
            </w:r>
            <w:r>
              <w:rPr>
                <w:rFonts w:hint="eastAsia" w:ascii="Times New Roman" w:hAnsi="Times New Roman" w:eastAsia="宋体" w:cs="Times New Roman"/>
                <w:color w:val="000000"/>
                <w:sz w:val="24"/>
                <w:lang w:eastAsia="zh-CN"/>
              </w:rPr>
              <w:t>。</w:t>
            </w:r>
          </w:p>
          <w:p>
            <w:pPr>
              <w:spacing w:line="360" w:lineRule="auto"/>
              <w:ind w:firstLine="480" w:firstLineChars="200"/>
              <w:rPr>
                <w:rFonts w:ascii="Times New Roman" w:hAnsi="Times New Roman" w:eastAsia="宋体" w:cs="Times New Roman"/>
                <w:color w:val="000000"/>
                <w:sz w:val="24"/>
              </w:rPr>
            </w:pPr>
            <w:r>
              <w:rPr>
                <w:rFonts w:ascii="Times New Roman" w:hAnsi="Times New Roman" w:eastAsia="宋体" w:cs="Times New Roman"/>
                <w:color w:val="000000"/>
                <w:sz w:val="24"/>
              </w:rPr>
              <w:t>（</w:t>
            </w:r>
            <w:r>
              <w:rPr>
                <w:rFonts w:hint="eastAsia" w:ascii="Times New Roman" w:hAnsi="Times New Roman" w:eastAsia="宋体" w:cs="Times New Roman"/>
                <w:color w:val="000000"/>
                <w:sz w:val="24"/>
              </w:rPr>
              <w:t>3</w:t>
            </w:r>
            <w:r>
              <w:rPr>
                <w:rFonts w:ascii="Times New Roman" w:hAnsi="Times New Roman" w:eastAsia="宋体" w:cs="Times New Roman"/>
                <w:color w:val="000000"/>
                <w:sz w:val="24"/>
              </w:rPr>
              <w:t>）气密封废水</w:t>
            </w:r>
          </w:p>
          <w:p>
            <w:pPr>
              <w:spacing w:line="360" w:lineRule="auto"/>
              <w:ind w:firstLine="480" w:firstLineChars="200"/>
              <w:rPr>
                <w:rFonts w:hint="default" w:ascii="Times New Roman" w:hAnsi="Times New Roman" w:eastAsia="宋体" w:cs="Times New Roman"/>
                <w:color w:val="000000"/>
                <w:sz w:val="24"/>
                <w:lang w:val="en-US" w:eastAsia="zh-CN"/>
              </w:rPr>
            </w:pPr>
            <w:r>
              <w:rPr>
                <w:rFonts w:ascii="Times New Roman" w:hAnsi="Times New Roman" w:eastAsia="宋体" w:cs="Times New Roman"/>
                <w:color w:val="000000"/>
                <w:sz w:val="24"/>
              </w:rPr>
              <w:t>项目气密封水检用水</w:t>
            </w:r>
            <w:r>
              <w:rPr>
                <w:rFonts w:hint="eastAsia" w:cs="Times New Roman"/>
                <w:color w:val="000000"/>
                <w:sz w:val="24"/>
                <w:lang w:val="en-US" w:eastAsia="zh-CN"/>
              </w:rPr>
              <w:t>定期更换</w:t>
            </w:r>
            <w:r>
              <w:rPr>
                <w:rFonts w:hint="eastAsia" w:ascii="Times New Roman" w:hAnsi="Times New Roman" w:eastAsia="宋体" w:cs="Times New Roman"/>
                <w:color w:val="000000"/>
                <w:sz w:val="24"/>
                <w:lang w:eastAsia="zh-CN"/>
              </w:rPr>
              <w:t>进入厂区污水处理站处理</w:t>
            </w:r>
            <w:r>
              <w:rPr>
                <w:rFonts w:hint="eastAsia" w:cs="Times New Roman"/>
                <w:color w:val="000000"/>
                <w:sz w:val="24"/>
                <w:lang w:val="en-US" w:eastAsia="zh-CN"/>
              </w:rPr>
              <w:t>后</w:t>
            </w:r>
            <w:r>
              <w:rPr>
                <w:rFonts w:hint="eastAsia" w:ascii="Times New Roman" w:hAnsi="Times New Roman" w:eastAsia="宋体" w:cs="Times New Roman"/>
                <w:color w:val="000000"/>
                <w:sz w:val="24"/>
                <w:lang w:val="en-US" w:eastAsia="zh-CN"/>
              </w:rPr>
              <w:t>由市政污水管网排入朱家桥污水处理厂。</w:t>
            </w:r>
          </w:p>
          <w:p>
            <w:pPr>
              <w:spacing w:line="360" w:lineRule="auto"/>
              <w:ind w:firstLine="480" w:firstLineChars="200"/>
              <w:rPr>
                <w:rFonts w:hint="eastAsia" w:ascii="Times New Roman" w:hAnsi="Times New Roman" w:eastAsia="宋体" w:cs="Times New Roman"/>
                <w:color w:val="000000"/>
                <w:sz w:val="24"/>
              </w:rPr>
            </w:pPr>
            <w:r>
              <w:rPr>
                <w:rFonts w:hint="eastAsia" w:ascii="Times New Roman" w:hAnsi="Times New Roman" w:eastAsia="宋体" w:cs="Times New Roman"/>
                <w:color w:val="000000"/>
                <w:sz w:val="24"/>
              </w:rPr>
              <w:t>（4）员工生活用水</w:t>
            </w:r>
          </w:p>
          <w:p>
            <w:pPr>
              <w:pStyle w:val="2"/>
              <w:ind w:firstLine="480" w:firstLineChars="200"/>
              <w:rPr>
                <w:rFonts w:hint="default"/>
                <w:lang w:val="en-US"/>
              </w:rPr>
            </w:pPr>
            <w:r>
              <w:rPr>
                <w:rFonts w:hint="eastAsia"/>
                <w:color w:val="000000"/>
                <w:kern w:val="24"/>
                <w:sz w:val="24"/>
                <w:lang w:val="en-US" w:eastAsia="zh-CN"/>
              </w:rPr>
              <w:t>项目</w:t>
            </w:r>
            <w:r>
              <w:rPr>
                <w:color w:val="000000"/>
                <w:kern w:val="24"/>
                <w:sz w:val="24"/>
              </w:rPr>
              <w:t>生活废水经</w:t>
            </w:r>
            <w:r>
              <w:rPr>
                <w:rFonts w:hint="eastAsia"/>
                <w:color w:val="000000"/>
                <w:kern w:val="24"/>
                <w:sz w:val="24"/>
                <w:lang w:val="en-US" w:eastAsia="zh-CN"/>
              </w:rPr>
              <w:t>隔油池、</w:t>
            </w:r>
            <w:r>
              <w:rPr>
                <w:color w:val="000000"/>
                <w:kern w:val="24"/>
                <w:sz w:val="24"/>
              </w:rPr>
              <w:t>化粪池</w:t>
            </w:r>
            <w:r>
              <w:rPr>
                <w:rFonts w:hint="eastAsia"/>
                <w:color w:val="000000"/>
                <w:kern w:val="24"/>
                <w:sz w:val="24"/>
                <w:lang w:val="en-US" w:eastAsia="zh-CN"/>
              </w:rPr>
              <w:t>预</w:t>
            </w:r>
            <w:r>
              <w:rPr>
                <w:color w:val="000000"/>
                <w:kern w:val="24"/>
                <w:sz w:val="24"/>
              </w:rPr>
              <w:t>处理后排入市政污水管网</w:t>
            </w:r>
            <w:r>
              <w:rPr>
                <w:rFonts w:hint="eastAsia"/>
                <w:color w:val="000000"/>
                <w:kern w:val="24"/>
                <w:sz w:val="24"/>
                <w:lang w:eastAsia="zh-CN"/>
              </w:rPr>
              <w:t>。</w:t>
            </w:r>
          </w:p>
          <w:p>
            <w:pPr>
              <w:spacing w:before="156" w:beforeLines="50" w:line="360" w:lineRule="auto"/>
              <w:jc w:val="center"/>
              <w:rPr>
                <w:rFonts w:ascii="宋体" w:hAnsi="宋体"/>
                <w:b/>
                <w:sz w:val="24"/>
              </w:rPr>
            </w:pPr>
            <w:r>
              <w:rPr>
                <w:rFonts w:hint="eastAsia" w:ascii="宋体" w:hAnsi="宋体"/>
                <w:b/>
                <w:sz w:val="24"/>
              </w:rPr>
              <w:t>表3</w:t>
            </w:r>
            <w:r>
              <w:rPr>
                <w:rFonts w:ascii="宋体" w:hAnsi="宋体"/>
                <w:b/>
                <w:sz w:val="24"/>
              </w:rPr>
              <w:t>-1</w:t>
            </w:r>
            <w:r>
              <w:rPr>
                <w:rFonts w:hint="eastAsia" w:ascii="宋体" w:hAnsi="宋体"/>
                <w:b/>
                <w:sz w:val="24"/>
              </w:rPr>
              <w:t xml:space="preserve">  项目</w:t>
            </w:r>
            <w:r>
              <w:rPr>
                <w:rFonts w:ascii="宋体" w:hAnsi="宋体"/>
                <w:b/>
                <w:sz w:val="24"/>
              </w:rPr>
              <w:t>废水污染源</w:t>
            </w:r>
            <w:r>
              <w:rPr>
                <w:rFonts w:hint="eastAsia" w:ascii="宋体" w:hAnsi="宋体"/>
                <w:b/>
                <w:sz w:val="24"/>
              </w:rPr>
              <w:t>情况</w:t>
            </w:r>
          </w:p>
          <w:tbl>
            <w:tblPr>
              <w:tblStyle w:val="32"/>
              <w:tblW w:w="4933"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2431"/>
              <w:gridCol w:w="2835"/>
              <w:gridCol w:w="3897"/>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2431" w:type="dxa"/>
                  <w:shd w:val="clear" w:color="auto" w:fill="auto"/>
                  <w:vAlign w:val="center"/>
                </w:tcPr>
                <w:p>
                  <w:pPr>
                    <w:jc w:val="center"/>
                    <w:rPr>
                      <w:rFonts w:hint="default" w:ascii="Times New Roman" w:hAnsi="Times New Roman" w:eastAsia="宋体" w:cs="Times New Roman"/>
                      <w:b/>
                      <w:sz w:val="24"/>
                      <w:szCs w:val="24"/>
                    </w:rPr>
                  </w:pPr>
                  <w:r>
                    <w:rPr>
                      <w:rFonts w:hint="default" w:ascii="Times New Roman" w:hAnsi="Times New Roman" w:eastAsia="宋体" w:cs="Times New Roman"/>
                      <w:b/>
                      <w:sz w:val="24"/>
                      <w:szCs w:val="24"/>
                    </w:rPr>
                    <w:t>废水类别</w:t>
                  </w:r>
                </w:p>
              </w:tc>
              <w:tc>
                <w:tcPr>
                  <w:tcW w:w="2835" w:type="dxa"/>
                  <w:shd w:val="clear" w:color="auto" w:fill="auto"/>
                  <w:vAlign w:val="center"/>
                </w:tcPr>
                <w:p>
                  <w:pPr>
                    <w:jc w:val="center"/>
                    <w:rPr>
                      <w:rFonts w:hint="default" w:ascii="Times New Roman" w:hAnsi="Times New Roman" w:eastAsia="宋体" w:cs="Times New Roman"/>
                      <w:b/>
                      <w:sz w:val="24"/>
                      <w:szCs w:val="24"/>
                    </w:rPr>
                  </w:pPr>
                  <w:r>
                    <w:rPr>
                      <w:rFonts w:hint="default" w:ascii="Times New Roman" w:hAnsi="Times New Roman" w:eastAsia="宋体" w:cs="Times New Roman"/>
                      <w:b/>
                      <w:sz w:val="24"/>
                      <w:szCs w:val="24"/>
                    </w:rPr>
                    <w:t>主要污染物</w:t>
                  </w:r>
                </w:p>
              </w:tc>
              <w:tc>
                <w:tcPr>
                  <w:tcW w:w="3897" w:type="dxa"/>
                  <w:vAlign w:val="center"/>
                </w:tcPr>
                <w:p>
                  <w:pPr>
                    <w:jc w:val="center"/>
                    <w:rPr>
                      <w:rFonts w:hint="default" w:ascii="Times New Roman" w:hAnsi="Times New Roman" w:eastAsia="宋体" w:cs="Times New Roman"/>
                      <w:b/>
                      <w:sz w:val="24"/>
                      <w:szCs w:val="24"/>
                    </w:rPr>
                  </w:pPr>
                  <w:r>
                    <w:rPr>
                      <w:rFonts w:hint="default" w:ascii="Times New Roman" w:hAnsi="Times New Roman" w:eastAsia="宋体" w:cs="Times New Roman"/>
                      <w:b/>
                      <w:sz w:val="24"/>
                      <w:szCs w:val="24"/>
                    </w:rPr>
                    <w:t>处理方法</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2431" w:type="dxa"/>
                  <w:shd w:val="clear" w:color="auto" w:fill="auto"/>
                  <w:vAlign w:val="center"/>
                </w:tcPr>
                <w:p>
                  <w:pPr>
                    <w:autoSpaceDE w:val="0"/>
                    <w:autoSpaceDN w:val="0"/>
                    <w:adjustRightInd w:val="0"/>
                    <w:jc w:val="center"/>
                    <w:rPr>
                      <w:rFonts w:hint="default" w:ascii="Times New Roman" w:hAnsi="Times New Roman" w:eastAsia="宋体" w:cs="Times New Roman"/>
                      <w:sz w:val="24"/>
                      <w:szCs w:val="24"/>
                    </w:rPr>
                  </w:pPr>
                  <w:r>
                    <w:rPr>
                      <w:rFonts w:hint="default" w:ascii="Times New Roman" w:hAnsi="Times New Roman" w:eastAsia="宋体" w:cs="Times New Roman"/>
                      <w:color w:val="000000" w:themeColor="text1"/>
                      <w:sz w:val="24"/>
                      <w:szCs w:val="24"/>
                      <w14:textFill>
                        <w14:solidFill>
                          <w14:schemeClr w14:val="tx1"/>
                        </w14:solidFill>
                      </w14:textFill>
                    </w:rPr>
                    <w:t>脱模废水</w:t>
                  </w:r>
                </w:p>
              </w:tc>
              <w:tc>
                <w:tcPr>
                  <w:tcW w:w="2835" w:type="dxa"/>
                  <w:shd w:val="clear" w:color="auto" w:fill="auto"/>
                  <w:vAlign w:val="center"/>
                </w:tcPr>
                <w:p>
                  <w:pPr>
                    <w:jc w:val="center"/>
                    <w:rPr>
                      <w:rFonts w:hint="default" w:ascii="Times New Roman" w:hAnsi="Times New Roman" w:eastAsia="宋体" w:cs="Times New Roman"/>
                      <w:sz w:val="24"/>
                      <w:szCs w:val="24"/>
                      <w:lang w:val="en-US" w:eastAsia="zh-CN"/>
                    </w:rPr>
                  </w:pPr>
                  <w:r>
                    <w:rPr>
                      <w:rFonts w:hint="default" w:ascii="Times New Roman" w:hAnsi="Times New Roman" w:eastAsia="宋体" w:cs="Times New Roman"/>
                      <w:bCs/>
                      <w:sz w:val="24"/>
                      <w:szCs w:val="24"/>
                    </w:rPr>
                    <w:t>COD</w:t>
                  </w:r>
                  <w:r>
                    <w:rPr>
                      <w:rFonts w:hint="default" w:ascii="Times New Roman" w:hAnsi="Times New Roman" w:eastAsia="宋体" w:cs="Times New Roman"/>
                      <w:bCs/>
                      <w:sz w:val="24"/>
                      <w:szCs w:val="24"/>
                      <w:lang w:val="zh-CN"/>
                    </w:rPr>
                    <w:t>、</w:t>
                  </w:r>
                  <w:r>
                    <w:rPr>
                      <w:rFonts w:hint="default" w:ascii="Times New Roman" w:hAnsi="Times New Roman" w:eastAsia="宋体" w:cs="Times New Roman"/>
                      <w:bCs/>
                      <w:sz w:val="24"/>
                      <w:szCs w:val="24"/>
                    </w:rPr>
                    <w:t>SS</w:t>
                  </w:r>
                  <w:r>
                    <w:rPr>
                      <w:rFonts w:hint="default" w:ascii="Times New Roman" w:hAnsi="Times New Roman" w:eastAsia="宋体" w:cs="Times New Roman"/>
                      <w:bCs/>
                      <w:sz w:val="24"/>
                      <w:szCs w:val="24"/>
                      <w:lang w:val="zh-CN"/>
                    </w:rPr>
                    <w:t>、</w:t>
                  </w:r>
                  <w:r>
                    <w:rPr>
                      <w:rFonts w:hint="default" w:ascii="Times New Roman" w:hAnsi="Times New Roman" w:eastAsia="宋体" w:cs="Times New Roman"/>
                      <w:bCs/>
                      <w:sz w:val="24"/>
                      <w:szCs w:val="24"/>
                    </w:rPr>
                    <w:t>BOD</w:t>
                  </w:r>
                  <w:r>
                    <w:rPr>
                      <w:rFonts w:hint="default" w:ascii="Times New Roman" w:hAnsi="Times New Roman" w:eastAsia="宋体" w:cs="Times New Roman"/>
                      <w:bCs/>
                      <w:sz w:val="24"/>
                      <w:szCs w:val="24"/>
                      <w:vertAlign w:val="subscript"/>
                    </w:rPr>
                    <w:t>5</w:t>
                  </w:r>
                  <w:r>
                    <w:rPr>
                      <w:rFonts w:hint="default" w:ascii="Times New Roman" w:hAnsi="Times New Roman" w:eastAsia="宋体" w:cs="Times New Roman"/>
                      <w:bCs/>
                      <w:sz w:val="24"/>
                      <w:szCs w:val="24"/>
                      <w:lang w:val="zh-CN"/>
                    </w:rPr>
                    <w:t>、</w:t>
                  </w:r>
                  <w:r>
                    <w:rPr>
                      <w:rFonts w:hint="default" w:ascii="Times New Roman" w:hAnsi="Times New Roman" w:eastAsia="宋体" w:cs="Times New Roman"/>
                      <w:color w:val="000000"/>
                      <w:sz w:val="24"/>
                      <w:szCs w:val="24"/>
                    </w:rPr>
                    <w:t>NH</w:t>
                  </w:r>
                  <w:r>
                    <w:rPr>
                      <w:rFonts w:hint="default" w:ascii="Times New Roman" w:hAnsi="Times New Roman" w:eastAsia="宋体" w:cs="Times New Roman"/>
                      <w:color w:val="000000"/>
                      <w:sz w:val="24"/>
                      <w:szCs w:val="24"/>
                      <w:vertAlign w:val="subscript"/>
                    </w:rPr>
                    <w:t>3</w:t>
                  </w:r>
                  <w:r>
                    <w:rPr>
                      <w:rFonts w:hint="default" w:ascii="Times New Roman" w:hAnsi="Times New Roman" w:eastAsia="宋体" w:cs="Times New Roman"/>
                      <w:color w:val="000000"/>
                      <w:sz w:val="24"/>
                      <w:szCs w:val="24"/>
                    </w:rPr>
                    <w:t>-N</w:t>
                  </w:r>
                  <w:r>
                    <w:rPr>
                      <w:rFonts w:hint="default" w:ascii="Times New Roman" w:hAnsi="Times New Roman" w:eastAsia="宋体" w:cs="Times New Roman"/>
                      <w:sz w:val="24"/>
                      <w:szCs w:val="24"/>
                    </w:rPr>
                    <w:t xml:space="preserve"> </w:t>
                  </w:r>
                  <w:r>
                    <w:rPr>
                      <w:rFonts w:hint="default" w:ascii="Times New Roman" w:hAnsi="Times New Roman" w:eastAsia="宋体" w:cs="Times New Roman"/>
                      <w:sz w:val="24"/>
                      <w:szCs w:val="24"/>
                      <w:lang w:eastAsia="zh-CN"/>
                    </w:rPr>
                    <w:t>、</w:t>
                  </w:r>
                  <w:r>
                    <w:rPr>
                      <w:rFonts w:hint="default" w:ascii="Times New Roman" w:hAnsi="Times New Roman" w:eastAsia="宋体" w:cs="Times New Roman"/>
                      <w:sz w:val="24"/>
                      <w:szCs w:val="24"/>
                      <w:lang w:val="en-US" w:eastAsia="zh-CN"/>
                    </w:rPr>
                    <w:t>石油类</w:t>
                  </w:r>
                </w:p>
              </w:tc>
              <w:tc>
                <w:tcPr>
                  <w:tcW w:w="3897" w:type="dxa"/>
                  <w:vAlign w:val="center"/>
                </w:tcPr>
                <w:p>
                  <w:pPr>
                    <w:jc w:val="center"/>
                    <w:rPr>
                      <w:rFonts w:hint="default" w:ascii="Times New Roman" w:hAnsi="Times New Roman" w:eastAsia="宋体" w:cs="Times New Roman"/>
                      <w:sz w:val="24"/>
                      <w:szCs w:val="24"/>
                      <w:highlight w:val="none"/>
                      <w:lang w:val="en-US" w:eastAsia="zh-CN"/>
                    </w:rPr>
                  </w:pPr>
                  <w:r>
                    <w:rPr>
                      <w:rFonts w:hint="default" w:ascii="Times New Roman" w:hAnsi="Times New Roman" w:eastAsia="宋体" w:cs="Times New Roman"/>
                      <w:kern w:val="0"/>
                      <w:sz w:val="24"/>
                      <w:szCs w:val="24"/>
                      <w:highlight w:val="none"/>
                    </w:rPr>
                    <w:t>厂区污水处理站+</w:t>
                  </w:r>
                  <w:r>
                    <w:rPr>
                      <w:rFonts w:hint="default" w:ascii="Times New Roman" w:hAnsi="Times New Roman" w:eastAsia="宋体" w:cs="Times New Roman"/>
                      <w:kern w:val="0"/>
                      <w:sz w:val="24"/>
                      <w:szCs w:val="24"/>
                      <w:highlight w:val="none"/>
                      <w:lang w:val="en-US" w:eastAsia="zh-CN"/>
                    </w:rPr>
                    <w:t>市政污水管网</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2431" w:type="dxa"/>
                  <w:shd w:val="clear" w:color="auto" w:fill="auto"/>
                  <w:vAlign w:val="center"/>
                </w:tcPr>
                <w:p>
                  <w:pPr>
                    <w:autoSpaceDE w:val="0"/>
                    <w:autoSpaceDN w:val="0"/>
                    <w:adjustRightInd w:val="0"/>
                    <w:jc w:val="center"/>
                    <w:rPr>
                      <w:rFonts w:hint="default" w:ascii="Times New Roman" w:hAnsi="Times New Roman" w:eastAsia="宋体" w:cs="Times New Roman"/>
                      <w:kern w:val="0"/>
                      <w:sz w:val="24"/>
                      <w:szCs w:val="24"/>
                      <w:lang w:val="en-US" w:eastAsia="zh-CN"/>
                    </w:rPr>
                  </w:pPr>
                  <w:r>
                    <w:rPr>
                      <w:rFonts w:hint="default" w:ascii="Times New Roman" w:hAnsi="Times New Roman" w:eastAsia="宋体" w:cs="Times New Roman"/>
                      <w:color w:val="000000" w:themeColor="text1"/>
                      <w:sz w:val="24"/>
                      <w:szCs w:val="24"/>
                      <w14:textFill>
                        <w14:solidFill>
                          <w14:schemeClr w14:val="tx1"/>
                        </w14:solidFill>
                      </w14:textFill>
                    </w:rPr>
                    <w:t>气密封水</w:t>
                  </w:r>
                </w:p>
              </w:tc>
              <w:tc>
                <w:tcPr>
                  <w:tcW w:w="2835" w:type="dxa"/>
                  <w:shd w:val="clear" w:color="auto" w:fill="auto"/>
                  <w:vAlign w:val="center"/>
                </w:tcPr>
                <w:p>
                  <w:pPr>
                    <w:jc w:val="center"/>
                    <w:rPr>
                      <w:rFonts w:hint="default" w:ascii="Times New Roman" w:hAnsi="Times New Roman" w:eastAsia="宋体" w:cs="Times New Roman"/>
                      <w:bCs/>
                      <w:sz w:val="24"/>
                      <w:szCs w:val="24"/>
                    </w:rPr>
                  </w:pPr>
                  <w:r>
                    <w:rPr>
                      <w:rFonts w:hint="default" w:ascii="Times New Roman" w:hAnsi="Times New Roman" w:eastAsia="宋体" w:cs="Times New Roman"/>
                      <w:bCs/>
                      <w:sz w:val="24"/>
                      <w:szCs w:val="24"/>
                    </w:rPr>
                    <w:t>SS</w:t>
                  </w:r>
                </w:p>
              </w:tc>
              <w:tc>
                <w:tcPr>
                  <w:tcW w:w="3897" w:type="dxa"/>
                  <w:vAlign w:val="center"/>
                </w:tcPr>
                <w:p>
                  <w:pPr>
                    <w:jc w:val="center"/>
                    <w:rPr>
                      <w:rFonts w:hint="default" w:ascii="Times New Roman" w:hAnsi="Times New Roman" w:eastAsia="宋体" w:cs="Times New Roman"/>
                      <w:kern w:val="0"/>
                      <w:sz w:val="24"/>
                      <w:szCs w:val="24"/>
                      <w:highlight w:val="none"/>
                      <w:lang w:val="en-US" w:eastAsia="zh-CN"/>
                    </w:rPr>
                  </w:pPr>
                  <w:r>
                    <w:rPr>
                      <w:rFonts w:hint="default" w:ascii="Times New Roman" w:hAnsi="Times New Roman" w:eastAsia="宋体" w:cs="Times New Roman"/>
                      <w:kern w:val="0"/>
                      <w:sz w:val="24"/>
                      <w:szCs w:val="24"/>
                      <w:highlight w:val="none"/>
                      <w:lang w:val="en-US" w:eastAsia="zh-CN"/>
                    </w:rPr>
                    <w:t>厂区污水处理站+市政污水管网</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2431" w:type="dxa"/>
                  <w:shd w:val="clear" w:color="auto" w:fill="auto"/>
                  <w:vAlign w:val="center"/>
                </w:tcPr>
                <w:p>
                  <w:pPr>
                    <w:autoSpaceDE w:val="0"/>
                    <w:autoSpaceDN w:val="0"/>
                    <w:adjustRightInd w:val="0"/>
                    <w:jc w:val="center"/>
                    <w:rPr>
                      <w:rFonts w:hint="default" w:ascii="Times New Roman" w:hAnsi="Times New Roman" w:eastAsia="宋体" w:cs="Times New Roman"/>
                      <w:kern w:val="0"/>
                      <w:sz w:val="24"/>
                      <w:szCs w:val="24"/>
                      <w:lang w:val="en-US" w:eastAsia="zh-CN"/>
                    </w:rPr>
                  </w:pPr>
                  <w:r>
                    <w:rPr>
                      <w:rFonts w:hint="default" w:ascii="Times New Roman" w:hAnsi="Times New Roman" w:eastAsia="宋体" w:cs="Times New Roman"/>
                      <w:color w:val="000000" w:themeColor="text1"/>
                      <w:sz w:val="24"/>
                      <w:szCs w:val="24"/>
                      <w14:textFill>
                        <w14:solidFill>
                          <w14:schemeClr w14:val="tx1"/>
                        </w14:solidFill>
                      </w14:textFill>
                    </w:rPr>
                    <w:t>生活污水</w:t>
                  </w:r>
                </w:p>
              </w:tc>
              <w:tc>
                <w:tcPr>
                  <w:tcW w:w="2835" w:type="dxa"/>
                  <w:shd w:val="clear" w:color="auto" w:fill="auto"/>
                  <w:vAlign w:val="center"/>
                </w:tcPr>
                <w:p>
                  <w:pPr>
                    <w:jc w:val="center"/>
                    <w:rPr>
                      <w:rFonts w:hint="default" w:ascii="Times New Roman" w:hAnsi="Times New Roman" w:eastAsia="宋体" w:cs="Times New Roman"/>
                      <w:bCs/>
                      <w:sz w:val="24"/>
                      <w:szCs w:val="24"/>
                    </w:rPr>
                  </w:pPr>
                  <w:r>
                    <w:rPr>
                      <w:rFonts w:hint="default" w:ascii="Times New Roman" w:hAnsi="Times New Roman" w:eastAsia="宋体" w:cs="Times New Roman"/>
                      <w:bCs/>
                      <w:sz w:val="24"/>
                      <w:szCs w:val="24"/>
                    </w:rPr>
                    <w:t>COD</w:t>
                  </w:r>
                  <w:r>
                    <w:rPr>
                      <w:rFonts w:hint="default" w:ascii="Times New Roman" w:hAnsi="Times New Roman" w:eastAsia="宋体" w:cs="Times New Roman"/>
                      <w:bCs/>
                      <w:sz w:val="24"/>
                      <w:szCs w:val="24"/>
                      <w:lang w:val="zh-CN"/>
                    </w:rPr>
                    <w:t>、</w:t>
                  </w:r>
                  <w:r>
                    <w:rPr>
                      <w:rFonts w:hint="default" w:ascii="Times New Roman" w:hAnsi="Times New Roman" w:eastAsia="宋体" w:cs="Times New Roman"/>
                      <w:bCs/>
                      <w:sz w:val="24"/>
                      <w:szCs w:val="24"/>
                    </w:rPr>
                    <w:t>SS</w:t>
                  </w:r>
                  <w:r>
                    <w:rPr>
                      <w:rFonts w:hint="default" w:ascii="Times New Roman" w:hAnsi="Times New Roman" w:eastAsia="宋体" w:cs="Times New Roman"/>
                      <w:bCs/>
                      <w:sz w:val="24"/>
                      <w:szCs w:val="24"/>
                      <w:lang w:val="zh-CN"/>
                    </w:rPr>
                    <w:t>、</w:t>
                  </w:r>
                  <w:r>
                    <w:rPr>
                      <w:rFonts w:hint="default" w:ascii="Times New Roman" w:hAnsi="Times New Roman" w:eastAsia="宋体" w:cs="Times New Roman"/>
                      <w:bCs/>
                      <w:sz w:val="24"/>
                      <w:szCs w:val="24"/>
                    </w:rPr>
                    <w:t>BOD</w:t>
                  </w:r>
                  <w:r>
                    <w:rPr>
                      <w:rFonts w:hint="default" w:ascii="Times New Roman" w:hAnsi="Times New Roman" w:eastAsia="宋体" w:cs="Times New Roman"/>
                      <w:bCs/>
                      <w:sz w:val="24"/>
                      <w:szCs w:val="24"/>
                      <w:vertAlign w:val="subscript"/>
                    </w:rPr>
                    <w:t>5</w:t>
                  </w:r>
                  <w:r>
                    <w:rPr>
                      <w:rFonts w:hint="default" w:ascii="Times New Roman" w:hAnsi="Times New Roman" w:eastAsia="宋体" w:cs="Times New Roman"/>
                      <w:bCs/>
                      <w:sz w:val="24"/>
                      <w:szCs w:val="24"/>
                      <w:lang w:val="zh-CN"/>
                    </w:rPr>
                    <w:t>、</w:t>
                  </w:r>
                  <w:r>
                    <w:rPr>
                      <w:rFonts w:hint="default" w:ascii="Times New Roman" w:hAnsi="Times New Roman" w:eastAsia="宋体" w:cs="Times New Roman"/>
                      <w:bCs/>
                      <w:sz w:val="24"/>
                      <w:szCs w:val="24"/>
                    </w:rPr>
                    <w:t>NH</w:t>
                  </w:r>
                  <w:r>
                    <w:rPr>
                      <w:rFonts w:hint="default" w:ascii="Times New Roman" w:hAnsi="Times New Roman" w:eastAsia="宋体" w:cs="Times New Roman"/>
                      <w:bCs/>
                      <w:sz w:val="24"/>
                      <w:szCs w:val="24"/>
                      <w:vertAlign w:val="subscript"/>
                    </w:rPr>
                    <w:t>3</w:t>
                  </w:r>
                  <w:r>
                    <w:rPr>
                      <w:rFonts w:hint="default" w:ascii="Times New Roman" w:hAnsi="Times New Roman" w:eastAsia="宋体" w:cs="Times New Roman"/>
                      <w:bCs/>
                      <w:sz w:val="24"/>
                      <w:szCs w:val="24"/>
                    </w:rPr>
                    <w:t xml:space="preserve">-N </w:t>
                  </w:r>
                  <w:r>
                    <w:rPr>
                      <w:rFonts w:hint="default" w:ascii="Times New Roman" w:hAnsi="Times New Roman" w:eastAsia="宋体" w:cs="Times New Roman"/>
                      <w:bCs/>
                      <w:sz w:val="24"/>
                      <w:szCs w:val="24"/>
                      <w:lang w:eastAsia="zh-CN"/>
                    </w:rPr>
                    <w:t>、</w:t>
                  </w:r>
                  <w:r>
                    <w:rPr>
                      <w:rFonts w:hint="default" w:ascii="Times New Roman" w:hAnsi="Times New Roman" w:eastAsia="宋体" w:cs="Times New Roman"/>
                      <w:bCs/>
                      <w:sz w:val="24"/>
                      <w:szCs w:val="24"/>
                      <w:lang w:val="en-US" w:eastAsia="zh-CN"/>
                    </w:rPr>
                    <w:t>动植物油</w:t>
                  </w:r>
                </w:p>
              </w:tc>
              <w:tc>
                <w:tcPr>
                  <w:tcW w:w="3897" w:type="dxa"/>
                  <w:vAlign w:val="center"/>
                </w:tcPr>
                <w:p>
                  <w:pPr>
                    <w:jc w:val="center"/>
                    <w:rPr>
                      <w:rFonts w:hint="default" w:ascii="Times New Roman" w:hAnsi="Times New Roman" w:eastAsia="宋体" w:cs="Times New Roman"/>
                      <w:kern w:val="0"/>
                      <w:sz w:val="24"/>
                      <w:szCs w:val="24"/>
                      <w:highlight w:val="none"/>
                      <w:lang w:val="en-US" w:eastAsia="zh-CN"/>
                    </w:rPr>
                  </w:pPr>
                  <w:r>
                    <w:rPr>
                      <w:rFonts w:hint="default" w:ascii="Times New Roman" w:hAnsi="Times New Roman" w:eastAsia="宋体" w:cs="Times New Roman"/>
                      <w:kern w:val="0"/>
                      <w:sz w:val="24"/>
                      <w:szCs w:val="24"/>
                      <w:highlight w:val="none"/>
                      <w:lang w:val="en-US" w:eastAsia="zh-CN"/>
                    </w:rPr>
                    <w:t>隔油池+化粪池+市政污水管网</w:t>
                  </w:r>
                </w:p>
              </w:tc>
            </w:tr>
          </w:tbl>
          <w:p>
            <w:pPr>
              <w:spacing w:line="360" w:lineRule="auto"/>
              <w:ind w:firstLine="540" w:firstLineChars="225"/>
              <w:rPr>
                <w:rFonts w:ascii="Times New Roman" w:hAnsi="Times New Roman" w:eastAsia="宋体" w:cs="Times New Roman"/>
                <w:color w:val="000000"/>
                <w:kern w:val="24"/>
                <w:sz w:val="24"/>
              </w:rPr>
            </w:pPr>
            <w:r>
              <w:rPr>
                <w:rFonts w:hint="eastAsia" w:ascii="Times New Roman" w:hAnsi="Times New Roman" w:eastAsia="宋体" w:cs="Times New Roman"/>
                <w:color w:val="000000"/>
                <w:kern w:val="24"/>
                <w:sz w:val="24"/>
              </w:rPr>
              <w:t>厂区污水站</w:t>
            </w:r>
            <w:r>
              <w:rPr>
                <w:rFonts w:ascii="Times New Roman" w:hAnsi="Times New Roman" w:eastAsia="宋体" w:cs="Times New Roman"/>
                <w:color w:val="000000"/>
                <w:kern w:val="24"/>
                <w:sz w:val="24"/>
              </w:rPr>
              <w:t>工艺流程图如下：</w:t>
            </w:r>
          </w:p>
          <w:p>
            <w:pPr>
              <w:pStyle w:val="2"/>
              <w:rPr>
                <w:rFonts w:ascii="Times New Roman" w:hAnsi="Times New Roman" w:eastAsia="宋体" w:cs="Times New Roman"/>
                <w:color w:val="000000"/>
                <w:kern w:val="24"/>
                <w:sz w:val="24"/>
              </w:rPr>
            </w:pPr>
          </w:p>
          <w:p>
            <w:pPr>
              <w:rPr>
                <w:rFonts w:ascii="Times New Roman" w:hAnsi="Times New Roman" w:eastAsia="宋体" w:cs="Times New Roman"/>
                <w:color w:val="000000"/>
                <w:kern w:val="24"/>
                <w:sz w:val="24"/>
              </w:rPr>
            </w:pPr>
          </w:p>
          <w:p>
            <w:pPr>
              <w:pStyle w:val="2"/>
              <w:rPr>
                <w:rFonts w:ascii="Times New Roman" w:hAnsi="Times New Roman" w:eastAsia="宋体" w:cs="Times New Roman"/>
                <w:color w:val="000000"/>
                <w:kern w:val="24"/>
                <w:sz w:val="24"/>
              </w:rPr>
            </w:pPr>
          </w:p>
          <w:p>
            <w:pPr>
              <w:rPr>
                <w:rFonts w:ascii="Times New Roman" w:hAnsi="Times New Roman" w:eastAsia="宋体" w:cs="Times New Roman"/>
                <w:color w:val="000000"/>
                <w:kern w:val="24"/>
                <w:sz w:val="24"/>
              </w:rPr>
            </w:pPr>
          </w:p>
          <w:p>
            <w:pPr>
              <w:pStyle w:val="2"/>
            </w:pPr>
          </w:p>
          <w:p>
            <w:pPr>
              <w:rPr>
                <w:rFonts w:ascii="Times New Roman" w:hAnsi="Times New Roman" w:eastAsia="宋体" w:cs="Times New Roman"/>
                <w:color w:val="000000"/>
                <w:kern w:val="24"/>
                <w:sz w:val="24"/>
              </w:rPr>
            </w:pPr>
          </w:p>
          <w:p>
            <w:pPr>
              <w:pStyle w:val="2"/>
              <w:rPr>
                <w:rFonts w:ascii="Times New Roman" w:hAnsi="Times New Roman" w:eastAsia="宋体" w:cs="Times New Roman"/>
                <w:color w:val="000000"/>
                <w:kern w:val="24"/>
                <w:sz w:val="24"/>
              </w:rPr>
            </w:pPr>
          </w:p>
          <w:p/>
          <w:p>
            <w:pPr>
              <w:pStyle w:val="2"/>
              <w:jc w:val="center"/>
              <w:rPr>
                <w:rFonts w:ascii="Times New Roman" w:hAnsi="Times New Roman" w:eastAsia="宋体" w:cs="Times New Roman"/>
                <w:color w:val="000000"/>
                <w:kern w:val="24"/>
                <w:sz w:val="24"/>
              </w:rPr>
            </w:pPr>
            <w:r>
              <w:rPr>
                <w:rFonts w:ascii="Times New Roman" w:hAnsi="Times New Roman" w:eastAsia="宋体" w:cs="Times New Roman"/>
                <w:color w:val="000000"/>
                <w:kern w:val="24"/>
                <w:sz w:val="24"/>
              </w:rPr>
              <w:drawing>
                <wp:inline distT="0" distB="0" distL="114300" distR="114300">
                  <wp:extent cx="4712970" cy="3315335"/>
                  <wp:effectExtent l="0" t="0" r="11430" b="18415"/>
                  <wp:docPr id="17"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8"/>
                          <pic:cNvPicPr>
                            <a:picLocks noChangeAspect="1"/>
                          </pic:cNvPicPr>
                        </pic:nvPicPr>
                        <pic:blipFill>
                          <a:blip r:embed="rId11"/>
                          <a:stretch>
                            <a:fillRect/>
                          </a:stretch>
                        </pic:blipFill>
                        <pic:spPr>
                          <a:xfrm>
                            <a:off x="0" y="0"/>
                            <a:ext cx="4712970" cy="3315335"/>
                          </a:xfrm>
                          <a:prstGeom prst="rect">
                            <a:avLst/>
                          </a:prstGeom>
                          <a:noFill/>
                          <a:ln>
                            <a:noFill/>
                          </a:ln>
                        </pic:spPr>
                      </pic:pic>
                    </a:graphicData>
                  </a:graphic>
                </wp:inline>
              </w:drawing>
            </w:r>
          </w:p>
          <w:p>
            <w:pPr>
              <w:rPr>
                <w:rFonts w:ascii="Times New Roman" w:hAnsi="Times New Roman" w:eastAsia="宋体" w:cs="Times New Roman"/>
                <w:color w:val="000000"/>
                <w:kern w:val="24"/>
                <w:sz w:val="24"/>
              </w:rPr>
            </w:pPr>
          </w:p>
          <w:p>
            <w:pPr>
              <w:pStyle w:val="2"/>
              <w:jc w:val="center"/>
              <w:rPr>
                <w:rFonts w:ascii="Times New Roman" w:hAnsi="Times New Roman" w:eastAsia="宋体" w:cs="Times New Roman"/>
                <w:color w:val="000000"/>
                <w:kern w:val="24"/>
                <w:sz w:val="24"/>
              </w:rPr>
            </w:pPr>
            <w:r>
              <w:rPr>
                <w:rFonts w:hint="eastAsia" w:ascii="Times New Roman" w:hAnsi="Times New Roman" w:eastAsia="宋体" w:cs="Times New Roman"/>
                <w:b/>
                <w:color w:val="000000"/>
                <w:sz w:val="24"/>
                <w:highlight w:val="none"/>
              </w:rPr>
              <w:t>图</w:t>
            </w:r>
            <w:r>
              <w:rPr>
                <w:rFonts w:hint="eastAsia" w:ascii="Times New Roman" w:hAnsi="Times New Roman" w:eastAsia="宋体" w:cs="Times New Roman"/>
                <w:b/>
                <w:color w:val="000000"/>
                <w:sz w:val="24"/>
                <w:highlight w:val="none"/>
                <w:lang w:val="en-US" w:eastAsia="zh-CN"/>
              </w:rPr>
              <w:t>3-1</w:t>
            </w:r>
            <w:r>
              <w:rPr>
                <w:rFonts w:hint="eastAsia" w:ascii="Times New Roman" w:hAnsi="Times New Roman" w:eastAsia="宋体" w:cs="Times New Roman"/>
                <w:b/>
                <w:color w:val="000000"/>
                <w:sz w:val="24"/>
                <w:highlight w:val="none"/>
              </w:rPr>
              <w:t xml:space="preserve"> 厂区污水处理站</w:t>
            </w:r>
          </w:p>
          <w:p/>
          <w:p>
            <w:pPr>
              <w:widowControl w:val="0"/>
              <w:spacing w:after="120"/>
              <w:jc w:val="center"/>
              <w:rPr>
                <w:rFonts w:ascii="Times New Roman" w:hAnsi="Times New Roman" w:eastAsia="宋体" w:cs="Times New Roman"/>
                <w:color w:val="000000"/>
                <w:kern w:val="2"/>
                <w:sz w:val="21"/>
                <w:szCs w:val="24"/>
                <w:lang w:val="en-US" w:eastAsia="zh-CN" w:bidi="ar-SA"/>
              </w:rPr>
            </w:pPr>
            <w:r>
              <w:rPr>
                <w:rFonts w:hint="eastAsia" w:ascii="宋体" w:hAnsi="宋体" w:eastAsia="宋体" w:cs="Times New Roman"/>
                <w:b/>
                <w:color w:val="000000"/>
                <w:kern w:val="2"/>
                <w:sz w:val="24"/>
                <w:szCs w:val="24"/>
                <w:lang w:val="en-US" w:eastAsia="zh-CN" w:bidi="ar-SA"/>
              </w:rPr>
              <w:object>
                <v:shape id="_x0000_i1026" o:spt="75" type="#_x0000_t75" style="height:184.4pt;width:384.55pt;" o:ole="t" filled="f" o:preferrelative="t" stroked="f" coordsize="21600,21600">
                  <v:path/>
                  <v:fill on="f" focussize="0,0"/>
                  <v:stroke on="f"/>
                  <v:imagedata r:id="rId13" o:title=""/>
                  <o:lock v:ext="edit" aspectratio="f"/>
                  <w10:wrap type="none"/>
                  <w10:anchorlock/>
                </v:shape>
                <o:OLEObject Type="Embed" ProgID="Visio.Drawing.15" ShapeID="_x0000_i1026" DrawAspect="Content" ObjectID="_1468075726" r:id="rId12">
                  <o:LockedField>false</o:LockedField>
                </o:OLEObject>
              </w:object>
            </w:r>
          </w:p>
          <w:p>
            <w:pPr>
              <w:tabs>
                <w:tab w:val="left" w:pos="612"/>
              </w:tabs>
              <w:adjustRightInd w:val="0"/>
              <w:snapToGrid w:val="0"/>
              <w:spacing w:line="460" w:lineRule="exact"/>
              <w:jc w:val="center"/>
              <w:rPr>
                <w:rFonts w:hint="eastAsia" w:ascii="Times New Roman" w:hAnsi="Times New Roman" w:eastAsia="宋体" w:cs="Times New Roman"/>
                <w:b/>
                <w:color w:val="000000"/>
                <w:sz w:val="24"/>
                <w:highlight w:val="none"/>
                <w:lang w:val="en-US" w:eastAsia="zh-CN"/>
              </w:rPr>
            </w:pPr>
            <w:r>
              <w:rPr>
                <w:rFonts w:hint="eastAsia" w:ascii="Times New Roman" w:hAnsi="Times New Roman" w:eastAsia="宋体" w:cs="Times New Roman"/>
                <w:b/>
                <w:color w:val="000000"/>
                <w:sz w:val="24"/>
                <w:highlight w:val="none"/>
              </w:rPr>
              <w:t>图</w:t>
            </w:r>
            <w:r>
              <w:rPr>
                <w:rFonts w:hint="eastAsia" w:ascii="Times New Roman" w:hAnsi="Times New Roman" w:eastAsia="宋体" w:cs="Times New Roman"/>
                <w:b/>
                <w:color w:val="000000"/>
                <w:sz w:val="24"/>
                <w:highlight w:val="none"/>
                <w:lang w:val="en-US" w:eastAsia="zh-CN"/>
              </w:rPr>
              <w:t>3-</w:t>
            </w:r>
            <w:r>
              <w:rPr>
                <w:rFonts w:hint="eastAsia" w:cs="Times New Roman"/>
                <w:b/>
                <w:color w:val="000000"/>
                <w:sz w:val="24"/>
                <w:highlight w:val="none"/>
                <w:lang w:val="en-US" w:eastAsia="zh-CN"/>
              </w:rPr>
              <w:t>2</w:t>
            </w:r>
            <w:r>
              <w:rPr>
                <w:rFonts w:hint="eastAsia" w:ascii="Times New Roman" w:hAnsi="Times New Roman" w:eastAsia="宋体" w:cs="Times New Roman"/>
                <w:b/>
                <w:color w:val="000000"/>
                <w:sz w:val="24"/>
                <w:highlight w:val="none"/>
              </w:rPr>
              <w:t xml:space="preserve"> 厂区污水处理站工艺流程图</w:t>
            </w:r>
          </w:p>
          <w:p>
            <w:pPr>
              <w:pStyle w:val="2"/>
              <w:rPr>
                <w:rFonts w:hint="eastAsia"/>
              </w:rPr>
            </w:pPr>
          </w:p>
          <w:p>
            <w:pPr>
              <w:spacing w:line="360" w:lineRule="auto"/>
              <w:jc w:val="left"/>
              <w:rPr>
                <w:rFonts w:ascii="宋体" w:hAnsi="宋体"/>
                <w:b/>
                <w:sz w:val="28"/>
                <w:szCs w:val="28"/>
              </w:rPr>
            </w:pPr>
            <w:r>
              <w:rPr>
                <w:rFonts w:hint="eastAsia" w:ascii="宋体" w:hAnsi="宋体"/>
                <w:b/>
                <w:sz w:val="28"/>
                <w:szCs w:val="28"/>
              </w:rPr>
              <w:t>2、废气</w:t>
            </w:r>
          </w:p>
          <w:p>
            <w:pPr>
              <w:spacing w:line="360" w:lineRule="auto"/>
              <w:ind w:firstLine="480" w:firstLineChars="200"/>
              <w:jc w:val="left"/>
              <w:rPr>
                <w:rFonts w:hint="default" w:ascii="Times New Roman" w:hAnsi="Times New Roman" w:cs="Times New Roman"/>
                <w:bCs/>
                <w:sz w:val="24"/>
              </w:rPr>
            </w:pPr>
            <w:r>
              <w:rPr>
                <w:rFonts w:hint="default" w:ascii="Times New Roman" w:hAnsi="Times New Roman" w:cs="Times New Roman"/>
                <w:bCs/>
                <w:sz w:val="24"/>
                <w:lang w:val="en-US" w:eastAsia="zh-CN"/>
              </w:rPr>
              <w:t>本次技改项目废气主要是压铸设备使用的脱模剂受热蒸发产生的有机废气（以非甲烷总烃计）</w:t>
            </w:r>
            <w:r>
              <w:rPr>
                <w:rFonts w:hint="default" w:ascii="Times New Roman" w:hAnsi="Times New Roman" w:cs="Times New Roman"/>
                <w:bCs/>
                <w:sz w:val="24"/>
              </w:rPr>
              <w:t>。</w:t>
            </w:r>
          </w:p>
          <w:p>
            <w:pPr>
              <w:spacing w:line="360" w:lineRule="auto"/>
              <w:ind w:firstLine="480" w:firstLineChars="200"/>
              <w:jc w:val="left"/>
              <w:rPr>
                <w:rFonts w:hint="eastAsia" w:ascii="宋体" w:hAnsi="宋体"/>
                <w:bCs/>
                <w:sz w:val="24"/>
                <w:lang w:val="en-US" w:eastAsia="zh-CN"/>
              </w:rPr>
            </w:pPr>
            <w:r>
              <w:rPr>
                <w:rFonts w:hint="default" w:ascii="Times New Roman" w:hAnsi="Times New Roman" w:cs="Times New Roman"/>
                <w:bCs/>
                <w:sz w:val="24"/>
                <w:lang w:val="en-US" w:eastAsia="zh-CN"/>
              </w:rPr>
              <w:t>压铸工位半封闭并在上方设置集气罩，脱模时打开抽风机，收集压铸废气，引入</w:t>
            </w:r>
            <w:r>
              <w:rPr>
                <w:rFonts w:hint="eastAsia" w:ascii="Times New Roman" w:hAnsi="Times New Roman" w:cs="Times New Roman"/>
                <w:bCs/>
                <w:sz w:val="24"/>
                <w:lang w:val="en-US" w:eastAsia="zh-CN"/>
              </w:rPr>
              <w:t>“静电除雾+等离子光氧装置+活性炭吸附”</w:t>
            </w:r>
            <w:r>
              <w:rPr>
                <w:rFonts w:hint="default" w:ascii="Times New Roman" w:hAnsi="Times New Roman" w:cs="Times New Roman"/>
                <w:bCs/>
                <w:sz w:val="24"/>
                <w:lang w:val="en-US" w:eastAsia="zh-CN"/>
              </w:rPr>
              <w:t>装置处理后，最终通过15米高的排气筒排放</w:t>
            </w:r>
            <w:r>
              <w:rPr>
                <w:rFonts w:hint="eastAsia" w:ascii="宋体" w:hAnsi="宋体"/>
                <w:bCs/>
                <w:sz w:val="24"/>
                <w:lang w:val="en-US" w:eastAsia="zh-CN"/>
              </w:rPr>
              <w:t>。</w:t>
            </w:r>
          </w:p>
          <w:p>
            <w:pPr>
              <w:spacing w:line="360" w:lineRule="auto"/>
              <w:ind w:firstLine="480" w:firstLineChars="200"/>
              <w:jc w:val="left"/>
              <w:rPr>
                <w:rFonts w:hint="default" w:ascii="宋体" w:hAnsi="宋体"/>
                <w:bCs/>
                <w:sz w:val="24"/>
                <w:lang w:val="en-US"/>
              </w:rPr>
            </w:pPr>
            <w:r>
              <w:rPr>
                <w:rFonts w:hint="eastAsia" w:ascii="宋体" w:hAnsi="宋体"/>
                <w:bCs/>
                <w:sz w:val="24"/>
                <w:lang w:val="en-US" w:eastAsia="zh-CN"/>
              </w:rPr>
              <w:t xml:space="preserve"> </w:t>
            </w:r>
            <w:r>
              <w:rPr>
                <w:rFonts w:hint="eastAsia" w:ascii="Times New Roman" w:hAnsi="Times New Roman" w:eastAsia="宋体" w:cs="Times New Roman"/>
                <w:color w:val="000000"/>
                <w:sz w:val="24"/>
              </w:rPr>
              <w:t>项目</w:t>
            </w:r>
            <w:r>
              <w:rPr>
                <w:rFonts w:hint="eastAsia" w:ascii="Times New Roman" w:hAnsi="Times New Roman" w:eastAsia="宋体" w:cs="Times New Roman"/>
                <w:color w:val="000000"/>
                <w:sz w:val="24"/>
                <w:lang w:val="en-US" w:eastAsia="zh-CN"/>
              </w:rPr>
              <w:t>原</w:t>
            </w:r>
            <w:r>
              <w:rPr>
                <w:rFonts w:hint="eastAsia" w:ascii="Times New Roman" w:hAnsi="Times New Roman" w:eastAsia="宋体" w:cs="Times New Roman"/>
                <w:color w:val="000000"/>
                <w:sz w:val="24"/>
              </w:rPr>
              <w:t>有压铸生产线中，压铸单元</w:t>
            </w:r>
            <w:r>
              <w:rPr>
                <w:rFonts w:ascii="Times New Roman" w:hAnsi="Times New Roman" w:eastAsia="宋体" w:cs="Times New Roman"/>
                <w:color w:val="000000"/>
                <w:sz w:val="24"/>
              </w:rPr>
              <w:t>2700T+1600T+1000T+1600T</w:t>
            </w:r>
            <w:r>
              <w:rPr>
                <w:rFonts w:hint="eastAsia" w:ascii="Times New Roman" w:hAnsi="Times New Roman" w:eastAsia="宋体" w:cs="Times New Roman"/>
                <w:color w:val="000000"/>
                <w:sz w:val="24"/>
              </w:rPr>
              <w:t>配置一套脱模废气处理装置+</w:t>
            </w:r>
            <w:r>
              <w:rPr>
                <w:rFonts w:hint="eastAsia" w:ascii="Times New Roman" w:hAnsi="Times New Roman" w:eastAsia="宋体" w:cs="Times New Roman"/>
                <w:color w:val="000000"/>
                <w:sz w:val="24"/>
                <w:lang w:val="en-US" w:eastAsia="zh-CN"/>
              </w:rPr>
              <w:t>1</w:t>
            </w:r>
            <w:r>
              <w:rPr>
                <w:rFonts w:hint="eastAsia" w:ascii="Times New Roman" w:hAnsi="Times New Roman" w:eastAsia="宋体" w:cs="Times New Roman"/>
                <w:color w:val="000000"/>
                <w:sz w:val="24"/>
              </w:rPr>
              <w:t>#排气筒。此次技改淘汰</w:t>
            </w:r>
            <w:r>
              <w:rPr>
                <w:rFonts w:hint="eastAsia" w:ascii="Times New Roman" w:hAnsi="Times New Roman" w:eastAsia="宋体" w:cs="Times New Roman"/>
                <w:color w:val="000000"/>
                <w:sz w:val="24"/>
                <w:lang w:val="en-US" w:eastAsia="zh-CN"/>
              </w:rPr>
              <w:t>原</w:t>
            </w:r>
            <w:r>
              <w:rPr>
                <w:rFonts w:hint="eastAsia" w:ascii="Times New Roman" w:hAnsi="Times New Roman" w:eastAsia="宋体" w:cs="Times New Roman"/>
                <w:color w:val="000000"/>
                <w:sz w:val="24"/>
              </w:rPr>
              <w:t>有1台400T压铸单元，并</w:t>
            </w:r>
            <w:r>
              <w:rPr>
                <w:rFonts w:hint="eastAsia" w:ascii="Times New Roman" w:hAnsi="Times New Roman" w:eastAsia="宋体" w:cs="Times New Roman"/>
                <w:color w:val="000000"/>
                <w:sz w:val="24"/>
                <w:lang w:val="en-US" w:eastAsia="zh-CN"/>
              </w:rPr>
              <w:t>且</w:t>
            </w:r>
            <w:r>
              <w:rPr>
                <w:rFonts w:hint="eastAsia" w:ascii="Times New Roman" w:hAnsi="Times New Roman" w:eastAsia="宋体" w:cs="Times New Roman"/>
                <w:color w:val="000000"/>
                <w:sz w:val="24"/>
              </w:rPr>
              <w:t>为</w:t>
            </w:r>
            <w:r>
              <w:rPr>
                <w:rFonts w:hint="eastAsia" w:ascii="Times New Roman" w:hAnsi="Times New Roman" w:eastAsia="宋体" w:cs="Times New Roman"/>
                <w:color w:val="000000"/>
                <w:sz w:val="24"/>
                <w:lang w:val="en-US" w:eastAsia="zh-CN"/>
              </w:rPr>
              <w:t>原</w:t>
            </w:r>
            <w:r>
              <w:rPr>
                <w:rFonts w:hint="eastAsia" w:ascii="Times New Roman" w:hAnsi="Times New Roman" w:eastAsia="宋体" w:cs="Times New Roman"/>
                <w:color w:val="000000"/>
                <w:sz w:val="24"/>
              </w:rPr>
              <w:t>有1台1250T压铸单元（为无组织排放）和新增</w:t>
            </w:r>
            <w:r>
              <w:rPr>
                <w:rFonts w:hint="eastAsia" w:ascii="Times New Roman" w:hAnsi="Times New Roman" w:eastAsia="宋体" w:cs="Times New Roman"/>
                <w:color w:val="000000"/>
                <w:sz w:val="24"/>
                <w:lang w:val="en-US" w:eastAsia="zh-CN"/>
              </w:rPr>
              <w:t>的</w:t>
            </w:r>
            <w:r>
              <w:rPr>
                <w:rFonts w:hint="eastAsia" w:cs="Times New Roman"/>
                <w:color w:val="000000"/>
                <w:sz w:val="24"/>
                <w:lang w:val="en-US" w:eastAsia="zh-CN"/>
              </w:rPr>
              <w:t>1</w:t>
            </w:r>
            <w:r>
              <w:rPr>
                <w:rFonts w:hint="eastAsia" w:ascii="Times New Roman" w:hAnsi="Times New Roman" w:eastAsia="宋体" w:cs="Times New Roman"/>
                <w:color w:val="000000"/>
                <w:sz w:val="24"/>
              </w:rPr>
              <w:t>台30</w:t>
            </w:r>
            <w:r>
              <w:rPr>
                <w:rFonts w:hint="eastAsia" w:cs="Times New Roman"/>
                <w:color w:val="000000"/>
                <w:sz w:val="24"/>
                <w:lang w:val="en-US" w:eastAsia="zh-CN"/>
              </w:rPr>
              <w:t>50</w:t>
            </w:r>
            <w:r>
              <w:rPr>
                <w:rFonts w:hint="eastAsia" w:ascii="Times New Roman" w:hAnsi="Times New Roman" w:eastAsia="宋体" w:cs="Times New Roman"/>
                <w:color w:val="000000"/>
                <w:sz w:val="24"/>
              </w:rPr>
              <w:t>T压铸单元新建一套脱模废气处理装置+</w:t>
            </w:r>
            <w:r>
              <w:rPr>
                <w:rFonts w:hint="eastAsia" w:ascii="Times New Roman" w:hAnsi="Times New Roman" w:eastAsia="宋体" w:cs="Times New Roman"/>
                <w:color w:val="000000"/>
                <w:sz w:val="24"/>
                <w:lang w:val="en-US" w:eastAsia="zh-CN"/>
              </w:rPr>
              <w:t>2</w:t>
            </w:r>
            <w:r>
              <w:rPr>
                <w:rFonts w:hint="eastAsia" w:ascii="Times New Roman" w:hAnsi="Times New Roman" w:eastAsia="宋体" w:cs="Times New Roman"/>
                <w:color w:val="000000"/>
                <w:sz w:val="24"/>
              </w:rPr>
              <w:t>#排气筒。</w:t>
            </w:r>
            <w:r>
              <w:rPr>
                <w:rFonts w:hint="eastAsia" w:ascii="Times New Roman" w:hAnsi="Times New Roman" w:eastAsia="宋体" w:cs="Times New Roman"/>
                <w:color w:val="000000"/>
                <w:sz w:val="24"/>
                <w:lang w:val="en-US" w:eastAsia="zh-CN"/>
              </w:rPr>
              <w:t>本次技改项目新增的废气处理设施仅为2#排气筒对应的一套脱模废气处理装置。</w:t>
            </w:r>
          </w:p>
          <w:p>
            <w:pPr>
              <w:spacing w:before="156" w:beforeLines="50" w:line="360" w:lineRule="auto"/>
              <w:jc w:val="center"/>
              <w:rPr>
                <w:rFonts w:ascii="宋体" w:hAnsi="宋体"/>
                <w:b/>
                <w:sz w:val="24"/>
              </w:rPr>
            </w:pPr>
            <w:r>
              <w:rPr>
                <w:rFonts w:ascii="宋体" w:hAnsi="宋体"/>
                <w:b/>
                <w:sz w:val="24"/>
              </w:rPr>
              <w:t>表</w:t>
            </w:r>
            <w:r>
              <w:rPr>
                <w:rFonts w:hint="eastAsia" w:ascii="宋体" w:hAnsi="宋体"/>
                <w:b/>
                <w:sz w:val="24"/>
              </w:rPr>
              <w:t>3</w:t>
            </w:r>
            <w:r>
              <w:rPr>
                <w:rFonts w:ascii="宋体" w:hAnsi="宋体"/>
                <w:b/>
                <w:sz w:val="24"/>
              </w:rPr>
              <w:t>-2</w:t>
            </w:r>
            <w:r>
              <w:rPr>
                <w:rFonts w:hint="eastAsia" w:ascii="宋体" w:hAnsi="宋体"/>
                <w:b/>
                <w:sz w:val="24"/>
              </w:rPr>
              <w:t xml:space="preserve"> </w:t>
            </w:r>
            <w:r>
              <w:rPr>
                <w:rFonts w:ascii="宋体" w:hAnsi="宋体"/>
                <w:b/>
                <w:sz w:val="24"/>
              </w:rPr>
              <w:t xml:space="preserve"> </w:t>
            </w:r>
            <w:r>
              <w:rPr>
                <w:rFonts w:hint="eastAsia" w:ascii="宋体" w:hAnsi="宋体"/>
                <w:b/>
                <w:sz w:val="24"/>
              </w:rPr>
              <w:t>项目</w:t>
            </w:r>
            <w:r>
              <w:rPr>
                <w:rFonts w:ascii="宋体" w:hAnsi="宋体"/>
                <w:b/>
                <w:sz w:val="24"/>
              </w:rPr>
              <w:t>废气污染源情况</w:t>
            </w:r>
          </w:p>
          <w:tbl>
            <w:tblPr>
              <w:tblStyle w:val="32"/>
              <w:tblW w:w="0" w:type="auto"/>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894"/>
              <w:gridCol w:w="2303"/>
              <w:gridCol w:w="2250"/>
              <w:gridCol w:w="3599"/>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894" w:type="dxa"/>
                  <w:vAlign w:val="center"/>
                </w:tcPr>
                <w:p>
                  <w:pPr>
                    <w:spacing w:line="360" w:lineRule="auto"/>
                    <w:jc w:val="center"/>
                    <w:rPr>
                      <w:rFonts w:ascii="宋体" w:hAnsi="宋体"/>
                      <w:b/>
                      <w:bCs/>
                      <w:sz w:val="24"/>
                    </w:rPr>
                  </w:pPr>
                  <w:r>
                    <w:rPr>
                      <w:rFonts w:hint="eastAsia" w:ascii="宋体" w:hAnsi="宋体"/>
                      <w:b/>
                      <w:bCs/>
                      <w:sz w:val="24"/>
                    </w:rPr>
                    <w:t>序号</w:t>
                  </w:r>
                </w:p>
              </w:tc>
              <w:tc>
                <w:tcPr>
                  <w:tcW w:w="2303" w:type="dxa"/>
                  <w:vAlign w:val="center"/>
                </w:tcPr>
                <w:p>
                  <w:pPr>
                    <w:spacing w:line="360" w:lineRule="auto"/>
                    <w:jc w:val="center"/>
                    <w:rPr>
                      <w:rFonts w:ascii="宋体" w:hAnsi="宋体"/>
                      <w:b/>
                      <w:bCs/>
                      <w:sz w:val="24"/>
                    </w:rPr>
                  </w:pPr>
                  <w:r>
                    <w:rPr>
                      <w:rFonts w:ascii="宋体" w:hAnsi="宋体"/>
                      <w:b/>
                      <w:bCs/>
                      <w:sz w:val="24"/>
                    </w:rPr>
                    <w:t>排放源</w:t>
                  </w:r>
                </w:p>
              </w:tc>
              <w:tc>
                <w:tcPr>
                  <w:tcW w:w="2250" w:type="dxa"/>
                  <w:vAlign w:val="center"/>
                </w:tcPr>
                <w:p>
                  <w:pPr>
                    <w:spacing w:line="360" w:lineRule="auto"/>
                    <w:jc w:val="center"/>
                    <w:rPr>
                      <w:rFonts w:ascii="宋体" w:hAnsi="宋体"/>
                      <w:b/>
                      <w:bCs/>
                      <w:sz w:val="24"/>
                    </w:rPr>
                  </w:pPr>
                  <w:r>
                    <w:rPr>
                      <w:rFonts w:ascii="宋体" w:hAnsi="宋体"/>
                      <w:b/>
                      <w:bCs/>
                      <w:sz w:val="24"/>
                    </w:rPr>
                    <w:t>污染物名称</w:t>
                  </w:r>
                </w:p>
              </w:tc>
              <w:tc>
                <w:tcPr>
                  <w:tcW w:w="3599" w:type="dxa"/>
                  <w:vAlign w:val="center"/>
                </w:tcPr>
                <w:p>
                  <w:pPr>
                    <w:spacing w:line="360" w:lineRule="auto"/>
                    <w:jc w:val="center"/>
                    <w:rPr>
                      <w:rFonts w:ascii="宋体" w:hAnsi="宋体"/>
                      <w:b/>
                      <w:bCs/>
                      <w:sz w:val="24"/>
                    </w:rPr>
                  </w:pPr>
                  <w:r>
                    <w:rPr>
                      <w:rFonts w:hint="eastAsia" w:ascii="宋体" w:hAnsi="宋体"/>
                      <w:b/>
                      <w:bCs/>
                      <w:sz w:val="24"/>
                    </w:rPr>
                    <w:t>治理</w:t>
                  </w:r>
                  <w:r>
                    <w:rPr>
                      <w:rFonts w:ascii="宋体" w:hAnsi="宋体"/>
                      <w:b/>
                      <w:bCs/>
                      <w:sz w:val="24"/>
                    </w:rPr>
                    <w:t>措施</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629" w:hRule="atLeast"/>
                <w:jc w:val="center"/>
              </w:trPr>
              <w:tc>
                <w:tcPr>
                  <w:tcW w:w="894" w:type="dxa"/>
                  <w:vAlign w:val="center"/>
                </w:tcPr>
                <w:p>
                  <w:pPr>
                    <w:jc w:val="center"/>
                    <w:rPr>
                      <w:rFonts w:hint="eastAsia" w:ascii="宋体" w:hAnsi="宋体" w:eastAsia="宋体" w:cs="Times New Roman"/>
                      <w:kern w:val="2"/>
                      <w:sz w:val="24"/>
                      <w:szCs w:val="24"/>
                      <w:lang w:val="en-US" w:eastAsia="zh-CN" w:bidi="ar-SA"/>
                    </w:rPr>
                  </w:pPr>
                  <w:r>
                    <w:rPr>
                      <w:rFonts w:hint="eastAsia" w:ascii="宋体" w:hAnsi="宋体"/>
                      <w:sz w:val="24"/>
                    </w:rPr>
                    <w:t>1</w:t>
                  </w:r>
                </w:p>
              </w:tc>
              <w:tc>
                <w:tcPr>
                  <w:tcW w:w="2303" w:type="dxa"/>
                  <w:vAlign w:val="center"/>
                </w:tcPr>
                <w:p>
                  <w:pPr>
                    <w:spacing w:line="360" w:lineRule="auto"/>
                    <w:jc w:val="center"/>
                    <w:rPr>
                      <w:rFonts w:hint="default" w:ascii="宋体" w:hAnsi="宋体" w:eastAsia="宋体"/>
                      <w:b/>
                      <w:bCs/>
                      <w:sz w:val="24"/>
                      <w:lang w:val="en-US" w:eastAsia="zh-CN"/>
                    </w:rPr>
                  </w:pPr>
                  <w:r>
                    <w:rPr>
                      <w:rFonts w:hint="eastAsia" w:ascii="宋体" w:hAnsi="宋体"/>
                      <w:b w:val="0"/>
                      <w:bCs w:val="0"/>
                      <w:sz w:val="24"/>
                      <w:lang w:val="en-US" w:eastAsia="zh-CN"/>
                    </w:rPr>
                    <w:t>2#脱模排气筒</w:t>
                  </w:r>
                </w:p>
              </w:tc>
              <w:tc>
                <w:tcPr>
                  <w:tcW w:w="2250" w:type="dxa"/>
                  <w:vAlign w:val="center"/>
                </w:tcPr>
                <w:p>
                  <w:pPr>
                    <w:spacing w:line="360" w:lineRule="auto"/>
                    <w:jc w:val="center"/>
                    <w:rPr>
                      <w:rFonts w:ascii="宋体" w:hAnsi="宋体"/>
                      <w:b/>
                      <w:bCs/>
                      <w:sz w:val="24"/>
                    </w:rPr>
                  </w:pPr>
                  <w:r>
                    <w:rPr>
                      <w:rFonts w:hint="eastAsia" w:ascii="宋体" w:hAnsi="宋体"/>
                      <w:b w:val="0"/>
                      <w:bCs w:val="0"/>
                      <w:sz w:val="24"/>
                      <w:lang w:val="en-US" w:eastAsia="zh-CN"/>
                    </w:rPr>
                    <w:t>非甲烷总烃</w:t>
                  </w:r>
                </w:p>
              </w:tc>
              <w:tc>
                <w:tcPr>
                  <w:tcW w:w="3599" w:type="dxa"/>
                  <w:vAlign w:val="center"/>
                </w:tcPr>
                <w:p>
                  <w:pPr>
                    <w:spacing w:line="240" w:lineRule="auto"/>
                    <w:jc w:val="center"/>
                    <w:rPr>
                      <w:rFonts w:hint="default" w:ascii="宋体" w:hAnsi="宋体"/>
                      <w:b w:val="0"/>
                      <w:bCs w:val="0"/>
                      <w:sz w:val="24"/>
                      <w:highlight w:val="none"/>
                      <w:lang w:val="en-US"/>
                    </w:rPr>
                  </w:pPr>
                  <w:r>
                    <w:rPr>
                      <w:rFonts w:hint="eastAsia" w:ascii="宋体" w:hAnsi="宋体"/>
                      <w:b w:val="0"/>
                      <w:bCs w:val="0"/>
                      <w:sz w:val="24"/>
                      <w:highlight w:val="none"/>
                      <w:lang w:val="en-US" w:eastAsia="zh-CN"/>
                    </w:rPr>
                    <w:t>集气罩+静电除雾+等离子光氧装置+活性炭吸附+15m高2#排气筒</w:t>
                  </w:r>
                </w:p>
              </w:tc>
            </w:tr>
          </w:tbl>
          <w:p>
            <w:pPr>
              <w:pStyle w:val="2"/>
            </w:pPr>
          </w:p>
          <w:p>
            <w:pPr>
              <w:spacing w:line="360" w:lineRule="auto"/>
              <w:jc w:val="center"/>
              <w:rPr>
                <w:rFonts w:hint="eastAsia" w:ascii="宋体" w:hAnsi="宋体"/>
                <w:b/>
                <w:bCs w:val="0"/>
                <w:sz w:val="24"/>
                <w:szCs w:val="24"/>
                <w:lang w:val="en-US" w:eastAsia="zh-CN"/>
              </w:rPr>
            </w:pPr>
            <w:r>
              <w:rPr>
                <w:rFonts w:hint="eastAsia" w:ascii="宋体" w:hAnsi="宋体"/>
                <w:b/>
                <w:bCs w:val="0"/>
                <w:sz w:val="24"/>
                <w:szCs w:val="24"/>
                <w:lang w:val="en-US" w:eastAsia="zh-CN"/>
              </w:rPr>
              <w:drawing>
                <wp:inline distT="0" distB="0" distL="114300" distR="114300">
                  <wp:extent cx="1901825" cy="2191385"/>
                  <wp:effectExtent l="0" t="0" r="3175" b="18415"/>
                  <wp:docPr id="12"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3"/>
                          <pic:cNvPicPr>
                            <a:picLocks noChangeAspect="1"/>
                          </pic:cNvPicPr>
                        </pic:nvPicPr>
                        <pic:blipFill>
                          <a:blip r:embed="rId14"/>
                          <a:stretch>
                            <a:fillRect/>
                          </a:stretch>
                        </pic:blipFill>
                        <pic:spPr>
                          <a:xfrm>
                            <a:off x="0" y="0"/>
                            <a:ext cx="1901825" cy="2191385"/>
                          </a:xfrm>
                          <a:prstGeom prst="rect">
                            <a:avLst/>
                          </a:prstGeom>
                          <a:noFill/>
                          <a:ln>
                            <a:noFill/>
                          </a:ln>
                        </pic:spPr>
                      </pic:pic>
                    </a:graphicData>
                  </a:graphic>
                </wp:inline>
              </w:drawing>
            </w:r>
            <w:r>
              <w:rPr>
                <w:rFonts w:hint="eastAsia" w:ascii="宋体" w:hAnsi="宋体"/>
                <w:b/>
                <w:bCs w:val="0"/>
                <w:sz w:val="24"/>
                <w:szCs w:val="24"/>
                <w:lang w:val="en-US" w:eastAsia="zh-CN"/>
              </w:rPr>
              <w:drawing>
                <wp:inline distT="0" distB="0" distL="114300" distR="114300">
                  <wp:extent cx="1999615" cy="2256155"/>
                  <wp:effectExtent l="0" t="0" r="635" b="10795"/>
                  <wp:docPr id="13"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4"/>
                          <pic:cNvPicPr>
                            <a:picLocks noChangeAspect="1"/>
                          </pic:cNvPicPr>
                        </pic:nvPicPr>
                        <pic:blipFill>
                          <a:blip r:embed="rId15"/>
                          <a:stretch>
                            <a:fillRect/>
                          </a:stretch>
                        </pic:blipFill>
                        <pic:spPr>
                          <a:xfrm>
                            <a:off x="0" y="0"/>
                            <a:ext cx="1999615" cy="2256155"/>
                          </a:xfrm>
                          <a:prstGeom prst="rect">
                            <a:avLst/>
                          </a:prstGeom>
                          <a:noFill/>
                          <a:ln>
                            <a:noFill/>
                          </a:ln>
                        </pic:spPr>
                      </pic:pic>
                    </a:graphicData>
                  </a:graphic>
                </wp:inline>
              </w:drawing>
            </w:r>
            <w:r>
              <w:rPr>
                <w:rFonts w:hint="eastAsia" w:ascii="宋体" w:hAnsi="宋体"/>
                <w:b/>
                <w:bCs w:val="0"/>
                <w:sz w:val="24"/>
                <w:szCs w:val="24"/>
                <w:lang w:val="en-US" w:eastAsia="zh-CN"/>
              </w:rPr>
              <w:drawing>
                <wp:inline distT="0" distB="0" distL="114300" distR="114300">
                  <wp:extent cx="1724660" cy="2257425"/>
                  <wp:effectExtent l="0" t="0" r="8890" b="9525"/>
                  <wp:docPr id="14"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5"/>
                          <pic:cNvPicPr>
                            <a:picLocks noChangeAspect="1"/>
                          </pic:cNvPicPr>
                        </pic:nvPicPr>
                        <pic:blipFill>
                          <a:blip r:embed="rId16"/>
                          <a:stretch>
                            <a:fillRect/>
                          </a:stretch>
                        </pic:blipFill>
                        <pic:spPr>
                          <a:xfrm>
                            <a:off x="0" y="0"/>
                            <a:ext cx="1724660" cy="2257425"/>
                          </a:xfrm>
                          <a:prstGeom prst="rect">
                            <a:avLst/>
                          </a:prstGeom>
                          <a:noFill/>
                          <a:ln>
                            <a:noFill/>
                          </a:ln>
                        </pic:spPr>
                      </pic:pic>
                    </a:graphicData>
                  </a:graphic>
                </wp:inline>
              </w:drawing>
            </w:r>
          </w:p>
          <w:p>
            <w:pPr>
              <w:spacing w:line="360" w:lineRule="auto"/>
              <w:ind w:firstLine="482" w:firstLineChars="200"/>
              <w:jc w:val="both"/>
              <w:rPr>
                <w:rFonts w:hint="default" w:ascii="宋体" w:hAnsi="宋体"/>
                <w:b/>
                <w:bCs w:val="0"/>
                <w:sz w:val="24"/>
                <w:szCs w:val="24"/>
                <w:highlight w:val="none"/>
                <w:lang w:val="en-US" w:eastAsia="zh-CN"/>
              </w:rPr>
            </w:pPr>
            <w:r>
              <w:rPr>
                <w:rFonts w:hint="eastAsia" w:ascii="宋体" w:hAnsi="宋体"/>
                <w:b/>
                <w:bCs w:val="0"/>
                <w:sz w:val="24"/>
                <w:szCs w:val="24"/>
                <w:highlight w:val="none"/>
                <w:lang w:val="en-US" w:eastAsia="zh-CN"/>
              </w:rPr>
              <w:t>集气罩+静电除雾+等离子光氧装置+活性炭吸附装置            排气筒</w:t>
            </w:r>
          </w:p>
          <w:p>
            <w:pPr>
              <w:spacing w:line="360" w:lineRule="auto"/>
              <w:jc w:val="center"/>
              <w:rPr>
                <w:rFonts w:hint="eastAsia" w:ascii="宋体" w:hAnsi="宋体"/>
                <w:b/>
                <w:sz w:val="28"/>
                <w:szCs w:val="28"/>
                <w:highlight w:val="none"/>
              </w:rPr>
            </w:pPr>
            <w:r>
              <w:rPr>
                <w:rFonts w:hint="eastAsia" w:ascii="宋体" w:hAnsi="宋体"/>
                <w:b/>
                <w:bCs w:val="0"/>
                <w:sz w:val="24"/>
                <w:szCs w:val="24"/>
                <w:highlight w:val="none"/>
                <w:lang w:val="en-US" w:eastAsia="zh-CN"/>
              </w:rPr>
              <w:t>图3-3 废气处理设施</w:t>
            </w:r>
          </w:p>
          <w:p>
            <w:pPr>
              <w:spacing w:line="360" w:lineRule="auto"/>
              <w:jc w:val="left"/>
              <w:rPr>
                <w:rFonts w:ascii="宋体" w:hAnsi="宋体"/>
                <w:b/>
                <w:sz w:val="28"/>
                <w:szCs w:val="28"/>
              </w:rPr>
            </w:pPr>
            <w:r>
              <w:rPr>
                <w:rFonts w:hint="eastAsia" w:ascii="宋体" w:hAnsi="宋体"/>
                <w:b/>
                <w:sz w:val="28"/>
                <w:szCs w:val="28"/>
              </w:rPr>
              <w:t>3、噪声</w:t>
            </w:r>
          </w:p>
          <w:p>
            <w:pPr>
              <w:pStyle w:val="148"/>
              <w:rPr>
                <w:rFonts w:eastAsia="宋体"/>
                <w:color w:val="auto"/>
              </w:rPr>
            </w:pPr>
            <w:r>
              <w:rPr>
                <w:rFonts w:hint="eastAsia" w:eastAsia="宋体"/>
                <w:color w:val="auto"/>
              </w:rPr>
              <w:t>本项目主要噪声来自于</w:t>
            </w:r>
            <w:r>
              <w:rPr>
                <w:rFonts w:hint="eastAsia" w:eastAsia="宋体"/>
                <w:color w:val="auto"/>
                <w:lang w:val="en-US" w:eastAsia="zh-CN"/>
              </w:rPr>
              <w:t>机加工生产设备、风机和压铸机等各类</w:t>
            </w:r>
            <w:r>
              <w:rPr>
                <w:rFonts w:hint="eastAsia" w:eastAsia="宋体"/>
                <w:color w:val="auto"/>
              </w:rPr>
              <w:t>设备运行时产生的机械噪声，企业通过设置减震基座、安装消声机、厂房隔声等措施降低噪声污染</w:t>
            </w:r>
            <w:r>
              <w:rPr>
                <w:rFonts w:hint="eastAsia" w:eastAsia="宋体"/>
              </w:rPr>
              <w:t>。</w:t>
            </w:r>
          </w:p>
          <w:p>
            <w:pPr>
              <w:spacing w:line="360" w:lineRule="auto"/>
              <w:jc w:val="left"/>
              <w:rPr>
                <w:rFonts w:ascii="宋体" w:hAnsi="宋体"/>
                <w:b/>
                <w:sz w:val="28"/>
                <w:szCs w:val="28"/>
                <w:highlight w:val="none"/>
              </w:rPr>
            </w:pPr>
            <w:r>
              <w:rPr>
                <w:rFonts w:hint="eastAsia" w:ascii="宋体" w:hAnsi="宋体"/>
                <w:b/>
                <w:sz w:val="28"/>
                <w:szCs w:val="28"/>
                <w:highlight w:val="none"/>
              </w:rPr>
              <w:t>4、固体废物</w:t>
            </w:r>
          </w:p>
          <w:p>
            <w:pPr>
              <w:spacing w:line="440" w:lineRule="exact"/>
              <w:ind w:firstLine="480" w:firstLineChars="200"/>
              <w:rPr>
                <w:rFonts w:hint="default"/>
                <w:kern w:val="0"/>
                <w:sz w:val="24"/>
                <w:highlight w:val="none"/>
                <w:lang w:val="en-US"/>
              </w:rPr>
            </w:pPr>
            <w:r>
              <w:rPr>
                <w:rFonts w:hint="eastAsia"/>
                <w:kern w:val="0"/>
                <w:sz w:val="24"/>
                <w:highlight w:val="none"/>
                <w:lang w:val="en-US" w:eastAsia="zh-CN"/>
              </w:rPr>
              <w:t>项目在生产中产生的一般固废主要为边角料、不合格工件等；危险废物主要包括含油抹布及手套、污水处理站污泥、废包装桶、废活性炭等。项目人员无变动，无新增生活垃圾。</w:t>
            </w:r>
          </w:p>
          <w:p>
            <w:pPr>
              <w:spacing w:line="440" w:lineRule="exact"/>
              <w:ind w:firstLine="480" w:firstLineChars="200"/>
              <w:rPr>
                <w:rFonts w:hint="eastAsia" w:ascii="宋体" w:hAnsi="宋体" w:eastAsia="宋体"/>
                <w:sz w:val="24"/>
                <w:highlight w:val="none"/>
                <w:lang w:eastAsia="zh-CN"/>
              </w:rPr>
            </w:pPr>
            <w:r>
              <w:rPr>
                <w:rFonts w:hint="eastAsia"/>
                <w:kern w:val="0"/>
                <w:sz w:val="24"/>
                <w:highlight w:val="none"/>
                <w:lang w:val="en-US" w:eastAsia="zh-CN"/>
              </w:rPr>
              <w:t>项目边角料、不合格工件收集后回用于生产，含油抹布及手套委托环卫清运，污水处理站污泥、废包装桶、废活性炭委托有资质单位处理</w:t>
            </w:r>
            <w:r>
              <w:rPr>
                <w:rFonts w:hint="eastAsia"/>
                <w:kern w:val="0"/>
                <w:sz w:val="24"/>
                <w:highlight w:val="none"/>
              </w:rPr>
              <w:t>。</w:t>
            </w:r>
            <w:r>
              <w:rPr>
                <w:rFonts w:hint="eastAsia" w:ascii="宋体" w:hAnsi="宋体"/>
                <w:sz w:val="24"/>
                <w:highlight w:val="none"/>
              </w:rPr>
              <w:t>具体的处理方</w:t>
            </w:r>
            <w:r>
              <w:rPr>
                <w:rFonts w:hint="default" w:ascii="Times New Roman" w:hAnsi="Times New Roman" w:cs="Times New Roman"/>
                <w:sz w:val="24"/>
                <w:highlight w:val="none"/>
              </w:rPr>
              <w:t>式见下表3-3。</w:t>
            </w:r>
          </w:p>
          <w:p>
            <w:pPr>
              <w:spacing w:before="156" w:beforeLines="50" w:line="360" w:lineRule="auto"/>
              <w:jc w:val="center"/>
              <w:rPr>
                <w:rFonts w:ascii="宋体" w:hAnsi="宋体"/>
                <w:b/>
                <w:sz w:val="24"/>
                <w:highlight w:val="none"/>
              </w:rPr>
            </w:pPr>
            <w:bookmarkStart w:id="5" w:name="_Hlk484007099"/>
            <w:r>
              <w:rPr>
                <w:rFonts w:hint="eastAsia" w:ascii="宋体" w:hAnsi="宋体"/>
                <w:b/>
                <w:sz w:val="24"/>
                <w:highlight w:val="none"/>
              </w:rPr>
              <w:t>表3</w:t>
            </w:r>
            <w:r>
              <w:rPr>
                <w:rFonts w:ascii="宋体" w:hAnsi="宋体"/>
                <w:b/>
                <w:sz w:val="24"/>
                <w:highlight w:val="none"/>
              </w:rPr>
              <w:t>-3</w:t>
            </w:r>
            <w:r>
              <w:rPr>
                <w:rFonts w:hint="eastAsia" w:ascii="宋体" w:hAnsi="宋体"/>
                <w:b/>
                <w:sz w:val="24"/>
                <w:highlight w:val="none"/>
              </w:rPr>
              <w:t xml:space="preserve">  </w:t>
            </w:r>
            <w:bookmarkStart w:id="6" w:name="_Hlk22907231"/>
            <w:r>
              <w:rPr>
                <w:rFonts w:hint="eastAsia" w:ascii="宋体" w:hAnsi="宋体"/>
                <w:b/>
                <w:sz w:val="24"/>
                <w:highlight w:val="none"/>
              </w:rPr>
              <w:t>项目固废</w:t>
            </w:r>
            <w:r>
              <w:rPr>
                <w:rFonts w:ascii="宋体" w:hAnsi="宋体"/>
                <w:b/>
                <w:sz w:val="24"/>
                <w:highlight w:val="none"/>
              </w:rPr>
              <w:t>污染</w:t>
            </w:r>
            <w:r>
              <w:rPr>
                <w:rFonts w:hint="eastAsia" w:ascii="宋体" w:hAnsi="宋体"/>
                <w:b/>
                <w:sz w:val="24"/>
                <w:highlight w:val="none"/>
              </w:rPr>
              <w:t>情况</w:t>
            </w:r>
          </w:p>
          <w:bookmarkEnd w:id="5"/>
          <w:bookmarkEnd w:id="6"/>
          <w:tbl>
            <w:tblPr>
              <w:tblStyle w:val="32"/>
              <w:tblW w:w="8836" w:type="dxa"/>
              <w:jc w:val="center"/>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Layout w:type="autofit"/>
              <w:tblCellMar>
                <w:top w:w="0" w:type="dxa"/>
                <w:left w:w="0" w:type="dxa"/>
                <w:bottom w:w="0" w:type="dxa"/>
                <w:right w:w="0" w:type="dxa"/>
              </w:tblCellMar>
            </w:tblPr>
            <w:tblGrid>
              <w:gridCol w:w="476"/>
              <w:gridCol w:w="2262"/>
              <w:gridCol w:w="1320"/>
              <w:gridCol w:w="1427"/>
              <w:gridCol w:w="1300"/>
              <w:gridCol w:w="2051"/>
            </w:tblGrid>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0" w:type="dxa"/>
                  <w:bottom w:w="0" w:type="dxa"/>
                  <w:right w:w="0" w:type="dxa"/>
                </w:tblCellMar>
              </w:tblPrEx>
              <w:trPr>
                <w:trHeight w:val="454" w:hRule="atLeast"/>
                <w:jc w:val="center"/>
              </w:trPr>
              <w:tc>
                <w:tcPr>
                  <w:tcW w:w="476" w:type="dxa"/>
                  <w:vAlign w:val="center"/>
                </w:tcPr>
                <w:p>
                  <w:pPr>
                    <w:jc w:val="center"/>
                    <w:rPr>
                      <w:rFonts w:hint="default" w:ascii="Times New Roman" w:hAnsi="Times New Roman" w:eastAsia="宋体" w:cs="Times New Roman"/>
                      <w:b/>
                      <w:color w:val="000000" w:themeColor="text1"/>
                      <w:sz w:val="21"/>
                      <w:szCs w:val="21"/>
                      <w14:textFill>
                        <w14:solidFill>
                          <w14:schemeClr w14:val="tx1"/>
                        </w14:solidFill>
                      </w14:textFill>
                    </w:rPr>
                  </w:pPr>
                  <w:r>
                    <w:rPr>
                      <w:rFonts w:hint="default" w:ascii="Times New Roman" w:hAnsi="Times New Roman" w:eastAsia="宋体" w:cs="Times New Roman"/>
                      <w:b/>
                      <w:color w:val="000000" w:themeColor="text1"/>
                      <w:sz w:val="21"/>
                      <w:szCs w:val="21"/>
                      <w14:textFill>
                        <w14:solidFill>
                          <w14:schemeClr w14:val="tx1"/>
                        </w14:solidFill>
                      </w14:textFill>
                    </w:rPr>
                    <w:t>序号</w:t>
                  </w:r>
                </w:p>
              </w:tc>
              <w:tc>
                <w:tcPr>
                  <w:tcW w:w="2262" w:type="dxa"/>
                  <w:vAlign w:val="center"/>
                </w:tcPr>
                <w:p>
                  <w:pPr>
                    <w:jc w:val="center"/>
                    <w:rPr>
                      <w:rFonts w:hint="default" w:ascii="Times New Roman" w:hAnsi="Times New Roman" w:eastAsia="宋体" w:cs="Times New Roman"/>
                      <w:b/>
                      <w:color w:val="000000" w:themeColor="text1"/>
                      <w:sz w:val="21"/>
                      <w:szCs w:val="21"/>
                      <w14:textFill>
                        <w14:solidFill>
                          <w14:schemeClr w14:val="tx1"/>
                        </w14:solidFill>
                      </w14:textFill>
                    </w:rPr>
                  </w:pPr>
                  <w:r>
                    <w:rPr>
                      <w:rFonts w:hint="default" w:ascii="Times New Roman" w:hAnsi="Times New Roman" w:eastAsia="宋体" w:cs="Times New Roman"/>
                      <w:b/>
                      <w:color w:val="000000" w:themeColor="text1"/>
                      <w:sz w:val="21"/>
                      <w:szCs w:val="21"/>
                      <w14:textFill>
                        <w14:solidFill>
                          <w14:schemeClr w14:val="tx1"/>
                        </w14:solidFill>
                      </w14:textFill>
                    </w:rPr>
                    <w:t>废物名称</w:t>
                  </w:r>
                </w:p>
              </w:tc>
              <w:tc>
                <w:tcPr>
                  <w:tcW w:w="1320" w:type="dxa"/>
                  <w:vAlign w:val="center"/>
                </w:tcPr>
                <w:p>
                  <w:pPr>
                    <w:jc w:val="center"/>
                    <w:rPr>
                      <w:rFonts w:hint="default" w:ascii="Times New Roman" w:hAnsi="Times New Roman" w:eastAsia="宋体" w:cs="Times New Roman"/>
                      <w:b/>
                      <w:color w:val="000000" w:themeColor="text1"/>
                      <w:sz w:val="21"/>
                      <w:szCs w:val="21"/>
                      <w14:textFill>
                        <w14:solidFill>
                          <w14:schemeClr w14:val="tx1"/>
                        </w14:solidFill>
                      </w14:textFill>
                    </w:rPr>
                  </w:pPr>
                  <w:r>
                    <w:rPr>
                      <w:rFonts w:hint="default" w:ascii="Times New Roman" w:hAnsi="Times New Roman" w:eastAsia="宋体" w:cs="Times New Roman"/>
                      <w:b/>
                      <w:color w:val="000000" w:themeColor="text1"/>
                      <w:sz w:val="21"/>
                      <w:szCs w:val="21"/>
                      <w14:textFill>
                        <w14:solidFill>
                          <w14:schemeClr w14:val="tx1"/>
                        </w14:solidFill>
                      </w14:textFill>
                    </w:rPr>
                    <w:t>产生工序</w:t>
                  </w:r>
                </w:p>
              </w:tc>
              <w:tc>
                <w:tcPr>
                  <w:tcW w:w="1427" w:type="dxa"/>
                  <w:vAlign w:val="center"/>
                </w:tcPr>
                <w:p>
                  <w:pPr>
                    <w:jc w:val="center"/>
                    <w:rPr>
                      <w:rFonts w:hint="default" w:ascii="Times New Roman" w:hAnsi="Times New Roman" w:eastAsia="宋体" w:cs="Times New Roman"/>
                      <w:b/>
                      <w:color w:val="000000" w:themeColor="text1"/>
                      <w:sz w:val="21"/>
                      <w:szCs w:val="21"/>
                      <w14:textFill>
                        <w14:solidFill>
                          <w14:schemeClr w14:val="tx1"/>
                        </w14:solidFill>
                      </w14:textFill>
                    </w:rPr>
                  </w:pPr>
                  <w:r>
                    <w:rPr>
                      <w:rFonts w:hint="default" w:ascii="Times New Roman" w:hAnsi="Times New Roman" w:eastAsia="宋体" w:cs="Times New Roman"/>
                      <w:b/>
                      <w:color w:val="000000" w:themeColor="text1"/>
                      <w:sz w:val="21"/>
                      <w:szCs w:val="21"/>
                      <w:lang w:val="en-US" w:eastAsia="zh-CN"/>
                      <w14:textFill>
                        <w14:solidFill>
                          <w14:schemeClr w14:val="tx1"/>
                        </w14:solidFill>
                      </w14:textFill>
                    </w:rPr>
                    <w:t>环评</w:t>
                  </w:r>
                  <w:r>
                    <w:rPr>
                      <w:rFonts w:hint="default" w:ascii="Times New Roman" w:hAnsi="Times New Roman" w:eastAsia="宋体" w:cs="Times New Roman"/>
                      <w:b/>
                      <w:color w:val="000000" w:themeColor="text1"/>
                      <w:sz w:val="21"/>
                      <w:szCs w:val="21"/>
                      <w14:textFill>
                        <w14:solidFill>
                          <w14:schemeClr w14:val="tx1"/>
                        </w14:solidFill>
                      </w14:textFill>
                    </w:rPr>
                    <w:t>产生量</w:t>
                  </w:r>
                </w:p>
                <w:p>
                  <w:pPr>
                    <w:jc w:val="center"/>
                    <w:rPr>
                      <w:rFonts w:hint="default" w:ascii="Times New Roman" w:hAnsi="Times New Roman" w:eastAsia="宋体" w:cs="Times New Roman"/>
                      <w:b/>
                      <w:color w:val="000000" w:themeColor="text1"/>
                      <w:sz w:val="21"/>
                      <w:szCs w:val="21"/>
                      <w14:textFill>
                        <w14:solidFill>
                          <w14:schemeClr w14:val="tx1"/>
                        </w14:solidFill>
                      </w14:textFill>
                    </w:rPr>
                  </w:pPr>
                  <w:r>
                    <w:rPr>
                      <w:rFonts w:hint="default" w:ascii="Times New Roman" w:hAnsi="Times New Roman" w:eastAsia="宋体" w:cs="Times New Roman"/>
                      <w:b/>
                      <w:color w:val="000000" w:themeColor="text1"/>
                      <w:sz w:val="21"/>
                      <w:szCs w:val="21"/>
                      <w14:textFill>
                        <w14:solidFill>
                          <w14:schemeClr w14:val="tx1"/>
                        </w14:solidFill>
                      </w14:textFill>
                    </w:rPr>
                    <w:t>（t/a）</w:t>
                  </w:r>
                </w:p>
              </w:tc>
              <w:tc>
                <w:tcPr>
                  <w:tcW w:w="1300" w:type="dxa"/>
                  <w:vAlign w:val="center"/>
                </w:tcPr>
                <w:p>
                  <w:pPr>
                    <w:jc w:val="center"/>
                    <w:rPr>
                      <w:rFonts w:hint="default" w:ascii="Times New Roman" w:hAnsi="Times New Roman" w:eastAsia="宋体" w:cs="Times New Roman"/>
                      <w:b/>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b/>
                      <w:color w:val="000000" w:themeColor="text1"/>
                      <w:sz w:val="21"/>
                      <w:szCs w:val="21"/>
                      <w:lang w:val="en-US" w:eastAsia="zh-CN"/>
                      <w14:textFill>
                        <w14:solidFill>
                          <w14:schemeClr w14:val="tx1"/>
                        </w14:solidFill>
                      </w14:textFill>
                    </w:rPr>
                    <w:t>实际产生量（t/a）</w:t>
                  </w:r>
                </w:p>
              </w:tc>
              <w:tc>
                <w:tcPr>
                  <w:tcW w:w="2051" w:type="dxa"/>
                  <w:vAlign w:val="center"/>
                </w:tcPr>
                <w:p>
                  <w:pPr>
                    <w:jc w:val="center"/>
                    <w:rPr>
                      <w:rFonts w:hint="default" w:ascii="Times New Roman" w:hAnsi="Times New Roman" w:eastAsia="宋体" w:cs="Times New Roman"/>
                      <w:b/>
                      <w:color w:val="000000" w:themeColor="text1"/>
                      <w:sz w:val="21"/>
                      <w:szCs w:val="21"/>
                      <w:lang w:eastAsia="zh-CN"/>
                      <w14:textFill>
                        <w14:solidFill>
                          <w14:schemeClr w14:val="tx1"/>
                        </w14:solidFill>
                      </w14:textFill>
                    </w:rPr>
                  </w:pPr>
                  <w:r>
                    <w:rPr>
                      <w:rFonts w:hint="default" w:ascii="Times New Roman" w:hAnsi="Times New Roman" w:eastAsia="宋体" w:cs="Times New Roman"/>
                      <w:b/>
                      <w:color w:val="000000" w:themeColor="text1"/>
                      <w:sz w:val="21"/>
                      <w:szCs w:val="21"/>
                      <w:lang w:val="en-US" w:eastAsia="zh-CN"/>
                      <w14:textFill>
                        <w14:solidFill>
                          <w14:schemeClr w14:val="tx1"/>
                        </w14:solidFill>
                      </w14:textFill>
                    </w:rPr>
                    <w:t>处理方式</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0" w:type="dxa"/>
                  <w:bottom w:w="0" w:type="dxa"/>
                  <w:right w:w="0" w:type="dxa"/>
                </w:tblCellMar>
              </w:tblPrEx>
              <w:trPr>
                <w:trHeight w:val="454" w:hRule="atLeast"/>
                <w:jc w:val="center"/>
              </w:trPr>
              <w:tc>
                <w:tcPr>
                  <w:tcW w:w="476" w:type="dxa"/>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1</w:t>
                  </w:r>
                </w:p>
              </w:tc>
              <w:tc>
                <w:tcPr>
                  <w:tcW w:w="2262" w:type="dxa"/>
                  <w:vAlign w:val="center"/>
                </w:tcPr>
                <w:p>
                  <w:pPr>
                    <w:spacing w:before="62" w:beforeLines="20" w:line="280" w:lineRule="exact"/>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不合格工件及边角料</w:t>
                  </w:r>
                </w:p>
              </w:tc>
              <w:tc>
                <w:tcPr>
                  <w:tcW w:w="1320" w:type="dxa"/>
                  <w:vAlign w:val="center"/>
                </w:tcPr>
                <w:p>
                  <w:pPr>
                    <w:spacing w:before="62" w:beforeLines="20" w:line="280" w:lineRule="exact"/>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生产车间</w:t>
                  </w:r>
                </w:p>
              </w:tc>
              <w:tc>
                <w:tcPr>
                  <w:tcW w:w="1427" w:type="dxa"/>
                  <w:vAlign w:val="center"/>
                </w:tcPr>
                <w:p>
                  <w:pPr>
                    <w:spacing w:before="62" w:beforeLines="20" w:line="280" w:lineRule="exact"/>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75</w:t>
                  </w:r>
                </w:p>
              </w:tc>
              <w:tc>
                <w:tcPr>
                  <w:tcW w:w="1300" w:type="dxa"/>
                  <w:vAlign w:val="center"/>
                </w:tcPr>
                <w:p>
                  <w:pPr>
                    <w:spacing w:before="62" w:beforeLines="20" w:line="280" w:lineRule="exact"/>
                    <w:jc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eastAsia" w:cs="Times New Roman"/>
                      <w:color w:val="000000" w:themeColor="text1"/>
                      <w:sz w:val="21"/>
                      <w:szCs w:val="21"/>
                      <w:highlight w:val="none"/>
                      <w:lang w:val="en-US" w:eastAsia="zh-CN"/>
                      <w14:textFill>
                        <w14:solidFill>
                          <w14:schemeClr w14:val="tx1"/>
                        </w14:solidFill>
                      </w14:textFill>
                    </w:rPr>
                    <w:t>38</w:t>
                  </w:r>
                </w:p>
              </w:tc>
              <w:tc>
                <w:tcPr>
                  <w:tcW w:w="2051" w:type="dxa"/>
                  <w:vMerge w:val="restart"/>
                  <w:vAlign w:val="center"/>
                </w:tcPr>
                <w:p>
                  <w:pPr>
                    <w:spacing w:before="62" w:beforeLines="20" w:line="280" w:lineRule="exact"/>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回收利用</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0" w:type="dxa"/>
                  <w:bottom w:w="0" w:type="dxa"/>
                  <w:right w:w="0" w:type="dxa"/>
                </w:tblCellMar>
              </w:tblPrEx>
              <w:trPr>
                <w:trHeight w:val="454" w:hRule="atLeast"/>
                <w:jc w:val="center"/>
              </w:trPr>
              <w:tc>
                <w:tcPr>
                  <w:tcW w:w="476" w:type="dxa"/>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2</w:t>
                  </w:r>
                </w:p>
              </w:tc>
              <w:tc>
                <w:tcPr>
                  <w:tcW w:w="2262" w:type="dxa"/>
                  <w:vAlign w:val="center"/>
                </w:tcPr>
                <w:p>
                  <w:pPr>
                    <w:spacing w:before="62" w:beforeLines="20" w:line="280" w:lineRule="exact"/>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金属碎屑</w:t>
                  </w:r>
                </w:p>
              </w:tc>
              <w:tc>
                <w:tcPr>
                  <w:tcW w:w="1320" w:type="dxa"/>
                  <w:vAlign w:val="center"/>
                </w:tcPr>
                <w:p>
                  <w:pPr>
                    <w:spacing w:before="62" w:beforeLines="20" w:line="280" w:lineRule="exact"/>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机加设备</w:t>
                  </w:r>
                </w:p>
              </w:tc>
              <w:tc>
                <w:tcPr>
                  <w:tcW w:w="1427" w:type="dxa"/>
                  <w:vAlign w:val="center"/>
                </w:tcPr>
                <w:p>
                  <w:pPr>
                    <w:spacing w:before="62" w:beforeLines="20" w:line="280" w:lineRule="exact"/>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65</w:t>
                  </w:r>
                </w:p>
              </w:tc>
              <w:tc>
                <w:tcPr>
                  <w:tcW w:w="1300" w:type="dxa"/>
                  <w:vAlign w:val="center"/>
                </w:tcPr>
                <w:p>
                  <w:pPr>
                    <w:spacing w:before="62" w:beforeLines="20" w:line="280" w:lineRule="exact"/>
                    <w:jc w:val="center"/>
                    <w:rPr>
                      <w:rFonts w:hint="eastAsia" w:ascii="Times New Roman" w:hAnsi="Times New Roman" w:eastAsia="宋体" w:cs="Times New Roman"/>
                      <w:color w:val="000000" w:themeColor="text1"/>
                      <w:sz w:val="21"/>
                      <w:szCs w:val="21"/>
                      <w:highlight w:val="none"/>
                      <w:lang w:eastAsia="zh-CN"/>
                      <w14:textFill>
                        <w14:solidFill>
                          <w14:schemeClr w14:val="tx1"/>
                        </w14:solidFill>
                      </w14:textFill>
                    </w:rPr>
                  </w:pPr>
                  <w:r>
                    <w:rPr>
                      <w:rFonts w:hint="eastAsia" w:cs="Times New Roman"/>
                      <w:color w:val="000000" w:themeColor="text1"/>
                      <w:sz w:val="21"/>
                      <w:szCs w:val="21"/>
                      <w:highlight w:val="none"/>
                      <w:lang w:val="en-US" w:eastAsia="zh-CN"/>
                      <w14:textFill>
                        <w14:solidFill>
                          <w14:schemeClr w14:val="tx1"/>
                        </w14:solidFill>
                      </w14:textFill>
                    </w:rPr>
                    <w:t>0</w:t>
                  </w:r>
                </w:p>
              </w:tc>
              <w:tc>
                <w:tcPr>
                  <w:tcW w:w="2051" w:type="dxa"/>
                  <w:vMerge w:val="continue"/>
                  <w:vAlign w:val="center"/>
                </w:tcPr>
                <w:p>
                  <w:pPr>
                    <w:spacing w:before="62" w:beforeLines="20" w:line="280" w:lineRule="exact"/>
                    <w:jc w:val="center"/>
                    <w:rPr>
                      <w:rFonts w:hint="default" w:ascii="Times New Roman" w:hAnsi="Times New Roman" w:eastAsia="宋体" w:cs="Times New Roman"/>
                      <w:color w:val="000000" w:themeColor="text1"/>
                      <w:sz w:val="21"/>
                      <w:szCs w:val="21"/>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0" w:type="dxa"/>
                  <w:bottom w:w="0" w:type="dxa"/>
                  <w:right w:w="0" w:type="dxa"/>
                </w:tblCellMar>
              </w:tblPrEx>
              <w:trPr>
                <w:trHeight w:val="454" w:hRule="atLeast"/>
                <w:jc w:val="center"/>
              </w:trPr>
              <w:tc>
                <w:tcPr>
                  <w:tcW w:w="476" w:type="dxa"/>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3</w:t>
                  </w:r>
                </w:p>
              </w:tc>
              <w:tc>
                <w:tcPr>
                  <w:tcW w:w="2262" w:type="dxa"/>
                  <w:vAlign w:val="center"/>
                </w:tcPr>
                <w:p>
                  <w:pPr>
                    <w:spacing w:before="62" w:beforeLines="20" w:line="280" w:lineRule="exact"/>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含油抹布及手套</w:t>
                  </w:r>
                </w:p>
              </w:tc>
              <w:tc>
                <w:tcPr>
                  <w:tcW w:w="1320" w:type="dxa"/>
                  <w:vAlign w:val="center"/>
                </w:tcPr>
                <w:p>
                  <w:pPr>
                    <w:spacing w:before="62" w:beforeLines="20" w:line="280" w:lineRule="exact"/>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机加设备</w:t>
                  </w:r>
                </w:p>
              </w:tc>
              <w:tc>
                <w:tcPr>
                  <w:tcW w:w="1427" w:type="dxa"/>
                  <w:vAlign w:val="center"/>
                </w:tcPr>
                <w:p>
                  <w:pPr>
                    <w:spacing w:before="62" w:beforeLines="20" w:line="280" w:lineRule="exact"/>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0.5</w:t>
                  </w:r>
                </w:p>
              </w:tc>
              <w:tc>
                <w:tcPr>
                  <w:tcW w:w="1300" w:type="dxa"/>
                  <w:vAlign w:val="center"/>
                </w:tcPr>
                <w:p>
                  <w:pPr>
                    <w:spacing w:before="62" w:beforeLines="20" w:line="280" w:lineRule="exact"/>
                    <w:jc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eastAsia" w:cs="Times New Roman"/>
                      <w:color w:val="000000" w:themeColor="text1"/>
                      <w:sz w:val="21"/>
                      <w:szCs w:val="21"/>
                      <w:highlight w:val="none"/>
                      <w:lang w:val="en-US" w:eastAsia="zh-CN"/>
                      <w14:textFill>
                        <w14:solidFill>
                          <w14:schemeClr w14:val="tx1"/>
                        </w14:solidFill>
                      </w14:textFill>
                    </w:rPr>
                    <w:t>0.3</w:t>
                  </w:r>
                </w:p>
              </w:tc>
              <w:tc>
                <w:tcPr>
                  <w:tcW w:w="2051" w:type="dxa"/>
                  <w:vAlign w:val="center"/>
                </w:tcPr>
                <w:p>
                  <w:pPr>
                    <w:spacing w:before="62" w:beforeLines="20" w:line="280" w:lineRule="exact"/>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委托环卫清运</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0" w:type="dxa"/>
                  <w:bottom w:w="0" w:type="dxa"/>
                  <w:right w:w="0" w:type="dxa"/>
                </w:tblCellMar>
              </w:tblPrEx>
              <w:trPr>
                <w:trHeight w:val="454" w:hRule="atLeast"/>
                <w:jc w:val="center"/>
              </w:trPr>
              <w:tc>
                <w:tcPr>
                  <w:tcW w:w="476" w:type="dxa"/>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4</w:t>
                  </w:r>
                </w:p>
              </w:tc>
              <w:tc>
                <w:tcPr>
                  <w:tcW w:w="2262" w:type="dxa"/>
                  <w:vAlign w:val="center"/>
                </w:tcPr>
                <w:p>
                  <w:pPr>
                    <w:spacing w:before="62" w:beforeLines="20" w:line="280" w:lineRule="exact"/>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废机油</w:t>
                  </w:r>
                </w:p>
              </w:tc>
              <w:tc>
                <w:tcPr>
                  <w:tcW w:w="1320" w:type="dxa"/>
                  <w:vAlign w:val="center"/>
                </w:tcPr>
                <w:p>
                  <w:pPr>
                    <w:spacing w:before="62" w:beforeLines="20" w:line="280" w:lineRule="exact"/>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机加设备</w:t>
                  </w:r>
                </w:p>
              </w:tc>
              <w:tc>
                <w:tcPr>
                  <w:tcW w:w="1427" w:type="dxa"/>
                  <w:vAlign w:val="center"/>
                </w:tcPr>
                <w:p>
                  <w:pPr>
                    <w:spacing w:before="62" w:beforeLines="20" w:line="280" w:lineRule="exact"/>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0.25</w:t>
                  </w:r>
                </w:p>
              </w:tc>
              <w:tc>
                <w:tcPr>
                  <w:tcW w:w="1300" w:type="dxa"/>
                  <w:vAlign w:val="center"/>
                </w:tcPr>
                <w:p>
                  <w:pPr>
                    <w:spacing w:before="62" w:beforeLines="20" w:line="280" w:lineRule="exact"/>
                    <w:jc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eastAsia" w:cs="Times New Roman"/>
                      <w:color w:val="000000" w:themeColor="text1"/>
                      <w:sz w:val="21"/>
                      <w:szCs w:val="21"/>
                      <w:highlight w:val="none"/>
                      <w:lang w:val="en-US" w:eastAsia="zh-CN"/>
                      <w14:textFill>
                        <w14:solidFill>
                          <w14:schemeClr w14:val="tx1"/>
                        </w14:solidFill>
                      </w14:textFill>
                    </w:rPr>
                    <w:t>0</w:t>
                  </w:r>
                </w:p>
              </w:tc>
              <w:tc>
                <w:tcPr>
                  <w:tcW w:w="2051" w:type="dxa"/>
                  <w:vMerge w:val="restart"/>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委托</w:t>
                  </w:r>
                  <w:r>
                    <w:rPr>
                      <w:rFonts w:hint="default" w:ascii="Times New Roman" w:hAnsi="Times New Roman" w:eastAsia="宋体" w:cs="Times New Roman"/>
                      <w:color w:val="000000" w:themeColor="text1"/>
                      <w:sz w:val="21"/>
                      <w:szCs w:val="21"/>
                      <w14:textFill>
                        <w14:solidFill>
                          <w14:schemeClr w14:val="tx1"/>
                        </w14:solidFill>
                      </w14:textFill>
                    </w:rPr>
                    <w:t>资质单位进行处理</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0" w:type="dxa"/>
                  <w:bottom w:w="0" w:type="dxa"/>
                  <w:right w:w="0" w:type="dxa"/>
                </w:tblCellMar>
              </w:tblPrEx>
              <w:trPr>
                <w:trHeight w:val="454" w:hRule="atLeast"/>
                <w:jc w:val="center"/>
              </w:trPr>
              <w:tc>
                <w:tcPr>
                  <w:tcW w:w="476" w:type="dxa"/>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5</w:t>
                  </w:r>
                </w:p>
              </w:tc>
              <w:tc>
                <w:tcPr>
                  <w:tcW w:w="2262" w:type="dxa"/>
                  <w:vAlign w:val="center"/>
                </w:tcPr>
                <w:p>
                  <w:pPr>
                    <w:spacing w:before="62" w:beforeLines="20" w:line="280" w:lineRule="exact"/>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污水处理站污泥</w:t>
                  </w:r>
                </w:p>
              </w:tc>
              <w:tc>
                <w:tcPr>
                  <w:tcW w:w="1320" w:type="dxa"/>
                  <w:vAlign w:val="center"/>
                </w:tcPr>
                <w:p>
                  <w:pPr>
                    <w:spacing w:before="62" w:beforeLines="20" w:line="280" w:lineRule="exact"/>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污水处理站</w:t>
                  </w:r>
                </w:p>
              </w:tc>
              <w:tc>
                <w:tcPr>
                  <w:tcW w:w="1427" w:type="dxa"/>
                  <w:vAlign w:val="center"/>
                </w:tcPr>
                <w:p>
                  <w:pPr>
                    <w:spacing w:before="62" w:beforeLines="20" w:line="280" w:lineRule="exact"/>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10.2</w:t>
                  </w:r>
                </w:p>
              </w:tc>
              <w:tc>
                <w:tcPr>
                  <w:tcW w:w="1300" w:type="dxa"/>
                  <w:vAlign w:val="center"/>
                </w:tcPr>
                <w:p>
                  <w:pPr>
                    <w:spacing w:before="62" w:beforeLines="20" w:line="280" w:lineRule="exact"/>
                    <w:jc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eastAsia" w:cs="Times New Roman"/>
                      <w:color w:val="000000" w:themeColor="text1"/>
                      <w:sz w:val="21"/>
                      <w:szCs w:val="21"/>
                      <w:highlight w:val="none"/>
                      <w:lang w:val="en-US" w:eastAsia="zh-CN"/>
                      <w14:textFill>
                        <w14:solidFill>
                          <w14:schemeClr w14:val="tx1"/>
                        </w14:solidFill>
                      </w14:textFill>
                    </w:rPr>
                    <w:t>5.0</w:t>
                  </w:r>
                </w:p>
              </w:tc>
              <w:tc>
                <w:tcPr>
                  <w:tcW w:w="2051" w:type="dxa"/>
                  <w:vMerge w:val="continue"/>
                  <w:vAlign w:val="center"/>
                </w:tcPr>
                <w:p>
                  <w:pPr>
                    <w:spacing w:before="62" w:beforeLines="20" w:line="280" w:lineRule="exact"/>
                    <w:jc w:val="center"/>
                    <w:rPr>
                      <w:rFonts w:hint="default" w:ascii="Times New Roman" w:hAnsi="Times New Roman" w:eastAsia="宋体" w:cs="Times New Roman"/>
                      <w:color w:val="000000" w:themeColor="text1"/>
                      <w:sz w:val="21"/>
                      <w:szCs w:val="21"/>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0" w:type="dxa"/>
                  <w:bottom w:w="0" w:type="dxa"/>
                  <w:right w:w="0" w:type="dxa"/>
                </w:tblCellMar>
              </w:tblPrEx>
              <w:trPr>
                <w:trHeight w:val="454" w:hRule="atLeast"/>
                <w:jc w:val="center"/>
              </w:trPr>
              <w:tc>
                <w:tcPr>
                  <w:tcW w:w="476" w:type="dxa"/>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6</w:t>
                  </w:r>
                </w:p>
              </w:tc>
              <w:tc>
                <w:tcPr>
                  <w:tcW w:w="2262" w:type="dxa"/>
                  <w:vAlign w:val="center"/>
                </w:tcPr>
                <w:p>
                  <w:pPr>
                    <w:spacing w:before="62" w:beforeLines="20" w:line="280" w:lineRule="exact"/>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废包装桶</w:t>
                  </w:r>
                </w:p>
              </w:tc>
              <w:tc>
                <w:tcPr>
                  <w:tcW w:w="1320" w:type="dxa"/>
                  <w:vAlign w:val="center"/>
                </w:tcPr>
                <w:p>
                  <w:pPr>
                    <w:spacing w:before="62" w:beforeLines="20" w:line="280" w:lineRule="exact"/>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原料仓库</w:t>
                  </w:r>
                </w:p>
              </w:tc>
              <w:tc>
                <w:tcPr>
                  <w:tcW w:w="1427" w:type="dxa"/>
                  <w:vAlign w:val="center"/>
                </w:tcPr>
                <w:p>
                  <w:pPr>
                    <w:spacing w:before="62" w:beforeLines="20" w:line="280" w:lineRule="exact"/>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2</w:t>
                  </w:r>
                </w:p>
              </w:tc>
              <w:tc>
                <w:tcPr>
                  <w:tcW w:w="1300" w:type="dxa"/>
                  <w:vAlign w:val="center"/>
                </w:tcPr>
                <w:p>
                  <w:pPr>
                    <w:spacing w:before="62" w:beforeLines="20" w:line="280" w:lineRule="exact"/>
                    <w:jc w:val="center"/>
                    <w:rPr>
                      <w:rFonts w:hint="eastAsia" w:ascii="Times New Roman" w:hAnsi="Times New Roman" w:eastAsia="宋体" w:cs="Times New Roman"/>
                      <w:color w:val="000000" w:themeColor="text1"/>
                      <w:sz w:val="21"/>
                      <w:szCs w:val="21"/>
                      <w:highlight w:val="none"/>
                      <w:lang w:eastAsia="zh-CN"/>
                      <w14:textFill>
                        <w14:solidFill>
                          <w14:schemeClr w14:val="tx1"/>
                        </w14:solidFill>
                      </w14:textFill>
                    </w:rPr>
                  </w:pPr>
                  <w:r>
                    <w:rPr>
                      <w:rFonts w:hint="eastAsia" w:cs="Times New Roman"/>
                      <w:color w:val="000000" w:themeColor="text1"/>
                      <w:sz w:val="21"/>
                      <w:szCs w:val="21"/>
                      <w:highlight w:val="none"/>
                      <w:lang w:val="en-US" w:eastAsia="zh-CN"/>
                      <w14:textFill>
                        <w14:solidFill>
                          <w14:schemeClr w14:val="tx1"/>
                        </w14:solidFill>
                      </w14:textFill>
                    </w:rPr>
                    <w:t>1</w:t>
                  </w:r>
                </w:p>
              </w:tc>
              <w:tc>
                <w:tcPr>
                  <w:tcW w:w="2051" w:type="dxa"/>
                  <w:vMerge w:val="continue"/>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0" w:type="dxa"/>
                  <w:bottom w:w="0" w:type="dxa"/>
                  <w:right w:w="0" w:type="dxa"/>
                </w:tblCellMar>
              </w:tblPrEx>
              <w:trPr>
                <w:trHeight w:val="454" w:hRule="atLeast"/>
                <w:jc w:val="center"/>
              </w:trPr>
              <w:tc>
                <w:tcPr>
                  <w:tcW w:w="476" w:type="dxa"/>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7</w:t>
                  </w:r>
                </w:p>
              </w:tc>
              <w:tc>
                <w:tcPr>
                  <w:tcW w:w="2262" w:type="dxa"/>
                  <w:vAlign w:val="center"/>
                </w:tcPr>
                <w:p>
                  <w:pPr>
                    <w:spacing w:before="62" w:beforeLines="20" w:line="280" w:lineRule="exact"/>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废活性炭</w:t>
                  </w:r>
                </w:p>
              </w:tc>
              <w:tc>
                <w:tcPr>
                  <w:tcW w:w="1320" w:type="dxa"/>
                  <w:vAlign w:val="center"/>
                </w:tcPr>
                <w:p>
                  <w:pPr>
                    <w:spacing w:before="62" w:beforeLines="20" w:line="280" w:lineRule="exact"/>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废气处理</w:t>
                  </w:r>
                </w:p>
              </w:tc>
              <w:tc>
                <w:tcPr>
                  <w:tcW w:w="1427" w:type="dxa"/>
                  <w:vAlign w:val="center"/>
                </w:tcPr>
                <w:p>
                  <w:pPr>
                    <w:spacing w:before="62" w:beforeLines="20" w:line="280" w:lineRule="exact"/>
                    <w:jc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0.2</w:t>
                  </w:r>
                </w:p>
              </w:tc>
              <w:tc>
                <w:tcPr>
                  <w:tcW w:w="1300" w:type="dxa"/>
                  <w:vAlign w:val="center"/>
                </w:tcPr>
                <w:p>
                  <w:pPr>
                    <w:spacing w:before="62" w:beforeLines="20" w:line="280" w:lineRule="exact"/>
                    <w:jc w:val="cente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eastAsia" w:cs="Times New Roman"/>
                      <w:color w:val="000000" w:themeColor="text1"/>
                      <w:sz w:val="21"/>
                      <w:szCs w:val="21"/>
                      <w:highlight w:val="none"/>
                      <w:lang w:val="en-US" w:eastAsia="zh-CN"/>
                      <w14:textFill>
                        <w14:solidFill>
                          <w14:schemeClr w14:val="tx1"/>
                        </w14:solidFill>
                      </w14:textFill>
                    </w:rPr>
                    <w:t>0.1</w:t>
                  </w:r>
                </w:p>
              </w:tc>
              <w:tc>
                <w:tcPr>
                  <w:tcW w:w="2051" w:type="dxa"/>
                  <w:vMerge w:val="continue"/>
                  <w:vAlign w:val="center"/>
                </w:tcPr>
                <w:p>
                  <w:pPr>
                    <w:jc w:val="center"/>
                    <w:rPr>
                      <w:rFonts w:hint="default" w:ascii="Times New Roman" w:hAnsi="Times New Roman" w:eastAsia="宋体" w:cs="Times New Roman"/>
                      <w:color w:val="000000" w:themeColor="text1"/>
                      <w:sz w:val="21"/>
                      <w:szCs w:val="21"/>
                      <w14:textFill>
                        <w14:solidFill>
                          <w14:schemeClr w14:val="tx1"/>
                        </w14:solidFill>
                      </w14:textFill>
                    </w:rPr>
                  </w:pPr>
                </w:p>
              </w:tc>
            </w:tr>
          </w:tbl>
          <w:p>
            <w:pPr>
              <w:spacing w:line="360" w:lineRule="auto"/>
              <w:jc w:val="center"/>
              <w:rPr>
                <w:rFonts w:hint="eastAsia" w:ascii="宋体" w:hAnsi="宋体"/>
                <w:b/>
                <w:sz w:val="28"/>
                <w:szCs w:val="28"/>
                <w:highlight w:val="none"/>
              </w:rPr>
            </w:pPr>
            <w:r>
              <w:rPr>
                <w:rFonts w:hint="eastAsia" w:ascii="宋体" w:hAnsi="宋体"/>
                <w:b/>
                <w:sz w:val="28"/>
                <w:szCs w:val="28"/>
                <w:highlight w:val="none"/>
              </w:rPr>
              <w:drawing>
                <wp:inline distT="0" distB="0" distL="114300" distR="114300">
                  <wp:extent cx="5420360" cy="3619500"/>
                  <wp:effectExtent l="0" t="0" r="8890" b="0"/>
                  <wp:docPr id="15"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6"/>
                          <pic:cNvPicPr>
                            <a:picLocks noChangeAspect="1"/>
                          </pic:cNvPicPr>
                        </pic:nvPicPr>
                        <pic:blipFill>
                          <a:blip r:embed="rId17"/>
                          <a:stretch>
                            <a:fillRect/>
                          </a:stretch>
                        </pic:blipFill>
                        <pic:spPr>
                          <a:xfrm>
                            <a:off x="0" y="0"/>
                            <a:ext cx="5420360" cy="3619500"/>
                          </a:xfrm>
                          <a:prstGeom prst="rect">
                            <a:avLst/>
                          </a:prstGeom>
                          <a:noFill/>
                          <a:ln>
                            <a:noFill/>
                          </a:ln>
                        </pic:spPr>
                      </pic:pic>
                    </a:graphicData>
                  </a:graphic>
                </wp:inline>
              </w:drawing>
            </w:r>
          </w:p>
          <w:p>
            <w:pPr>
              <w:spacing w:line="360" w:lineRule="auto"/>
              <w:jc w:val="center"/>
              <w:rPr>
                <w:rFonts w:hint="eastAsia" w:ascii="宋体" w:hAnsi="宋体"/>
                <w:b/>
                <w:sz w:val="28"/>
                <w:szCs w:val="28"/>
                <w:highlight w:val="none"/>
              </w:rPr>
            </w:pPr>
            <w:r>
              <w:rPr>
                <w:rFonts w:hint="eastAsia" w:ascii="宋体" w:hAnsi="宋体"/>
                <w:b/>
                <w:sz w:val="24"/>
                <w:szCs w:val="24"/>
                <w:highlight w:val="none"/>
                <w:lang w:val="en-US" w:eastAsia="zh-CN"/>
              </w:rPr>
              <w:t>图3-4 危废仓库</w:t>
            </w:r>
          </w:p>
          <w:p>
            <w:pPr>
              <w:spacing w:line="360" w:lineRule="auto"/>
              <w:jc w:val="left"/>
              <w:rPr>
                <w:rFonts w:ascii="宋体" w:hAnsi="宋体"/>
                <w:b/>
                <w:sz w:val="28"/>
                <w:szCs w:val="28"/>
                <w:highlight w:val="none"/>
              </w:rPr>
            </w:pPr>
            <w:r>
              <w:rPr>
                <w:rFonts w:hint="eastAsia" w:ascii="宋体" w:hAnsi="宋体"/>
                <w:b/>
                <w:sz w:val="28"/>
                <w:szCs w:val="28"/>
                <w:highlight w:val="none"/>
              </w:rPr>
              <w:t>5、环保投资</w:t>
            </w:r>
          </w:p>
          <w:p>
            <w:pPr>
              <w:pStyle w:val="148"/>
              <w:rPr>
                <w:rFonts w:ascii="宋体" w:hAnsi="宋体"/>
                <w:b/>
                <w:sz w:val="24"/>
                <w:highlight w:val="none"/>
              </w:rPr>
            </w:pPr>
            <w:r>
              <w:rPr>
                <w:rFonts w:hint="default" w:ascii="Times New Roman" w:hAnsi="Times New Roman" w:eastAsia="宋体" w:cs="Times New Roman"/>
                <w:highlight w:val="none"/>
              </w:rPr>
              <w:t>项目总投资为</w:t>
            </w:r>
            <w:r>
              <w:rPr>
                <w:rFonts w:hint="default" w:ascii="Times New Roman" w:hAnsi="Times New Roman" w:eastAsia="宋体" w:cs="Times New Roman"/>
                <w:highlight w:val="none"/>
                <w:lang w:val="en-US" w:eastAsia="zh-CN"/>
              </w:rPr>
              <w:t>5191</w:t>
            </w:r>
            <w:r>
              <w:rPr>
                <w:rFonts w:hint="default" w:ascii="Times New Roman" w:hAnsi="Times New Roman" w:eastAsia="宋体" w:cs="Times New Roman"/>
                <w:highlight w:val="none"/>
              </w:rPr>
              <w:t>万元，其中环保投资</w:t>
            </w:r>
            <w:r>
              <w:rPr>
                <w:rFonts w:hint="eastAsia" w:ascii="Times New Roman" w:hAnsi="Times New Roman" w:eastAsia="宋体" w:cs="Times New Roman"/>
                <w:highlight w:val="none"/>
                <w:lang w:val="en-US" w:eastAsia="zh-CN"/>
              </w:rPr>
              <w:t>290</w:t>
            </w:r>
            <w:r>
              <w:rPr>
                <w:rFonts w:hint="default" w:ascii="Times New Roman" w:hAnsi="Times New Roman" w:eastAsia="宋体" w:cs="Times New Roman"/>
                <w:highlight w:val="none"/>
              </w:rPr>
              <w:t>万元，环保投资占总投资的比例</w:t>
            </w:r>
            <w:bookmarkStart w:id="11" w:name="_GoBack"/>
            <w:r>
              <w:rPr>
                <w:rFonts w:hint="default" w:ascii="Times New Roman" w:hAnsi="Times New Roman" w:eastAsia="宋体" w:cs="Times New Roman"/>
                <w:highlight w:val="none"/>
                <w:lang w:val="en-US" w:eastAsia="zh-CN"/>
              </w:rPr>
              <w:t>5.</w:t>
            </w:r>
            <w:r>
              <w:rPr>
                <w:rFonts w:hint="eastAsia" w:ascii="Times New Roman" w:hAnsi="Times New Roman" w:eastAsia="宋体" w:cs="Times New Roman"/>
                <w:highlight w:val="none"/>
                <w:lang w:val="en-US" w:eastAsia="zh-CN"/>
              </w:rPr>
              <w:t>59</w:t>
            </w:r>
            <w:bookmarkEnd w:id="11"/>
            <w:r>
              <w:rPr>
                <w:rFonts w:hint="default" w:ascii="Times New Roman" w:hAnsi="Times New Roman" w:eastAsia="宋体" w:cs="Times New Roman"/>
                <w:highlight w:val="none"/>
                <w:lang w:val="en-US" w:eastAsia="zh-CN"/>
              </w:rPr>
              <w:t>%</w:t>
            </w:r>
            <w:r>
              <w:rPr>
                <w:rFonts w:hint="default" w:ascii="Times New Roman" w:hAnsi="Times New Roman" w:eastAsia="宋体" w:cs="Times New Roman"/>
                <w:highlight w:val="none"/>
              </w:rPr>
              <w:t>，</w:t>
            </w:r>
            <w:r>
              <w:rPr>
                <w:rFonts w:hint="eastAsia" w:eastAsia="宋体"/>
                <w:highlight w:val="none"/>
              </w:rPr>
              <w:t>建立了较为完善的污染控制措施，有效的控制了废水、废气、固废和噪声等对环境的污染。</w:t>
            </w:r>
          </w:p>
          <w:p>
            <w:pPr>
              <w:spacing w:before="156" w:beforeLines="50" w:line="360" w:lineRule="auto"/>
              <w:jc w:val="center"/>
              <w:rPr>
                <w:rFonts w:hint="eastAsia" w:ascii="宋体" w:hAnsi="宋体"/>
                <w:b/>
                <w:sz w:val="24"/>
                <w:highlight w:val="none"/>
              </w:rPr>
            </w:pPr>
            <w:r>
              <w:rPr>
                <w:rFonts w:hint="eastAsia" w:ascii="宋体" w:hAnsi="宋体"/>
                <w:b/>
                <w:sz w:val="24"/>
                <w:highlight w:val="none"/>
              </w:rPr>
              <w:t>表3</w:t>
            </w:r>
            <w:r>
              <w:rPr>
                <w:rFonts w:ascii="宋体" w:hAnsi="宋体"/>
                <w:b/>
                <w:sz w:val="24"/>
                <w:highlight w:val="none"/>
              </w:rPr>
              <w:t>-</w:t>
            </w:r>
            <w:r>
              <w:rPr>
                <w:rFonts w:hint="eastAsia" w:ascii="宋体" w:hAnsi="宋体"/>
                <w:b/>
                <w:sz w:val="24"/>
                <w:highlight w:val="none"/>
                <w:lang w:val="en-US" w:eastAsia="zh-CN"/>
              </w:rPr>
              <w:t>4</w:t>
            </w:r>
            <w:r>
              <w:rPr>
                <w:rFonts w:hint="eastAsia" w:ascii="宋体" w:hAnsi="宋体"/>
                <w:b/>
                <w:sz w:val="24"/>
                <w:highlight w:val="none"/>
              </w:rPr>
              <w:t xml:space="preserve">  建设项目环保投资</w:t>
            </w:r>
          </w:p>
          <w:tbl>
            <w:tblPr>
              <w:tblStyle w:val="32"/>
              <w:tblW w:w="8817" w:type="dxa"/>
              <w:jc w:val="center"/>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Layout w:type="autofit"/>
              <w:tblCellMar>
                <w:top w:w="0" w:type="dxa"/>
                <w:left w:w="108" w:type="dxa"/>
                <w:bottom w:w="0" w:type="dxa"/>
                <w:right w:w="108" w:type="dxa"/>
              </w:tblCellMar>
            </w:tblPr>
            <w:tblGrid>
              <w:gridCol w:w="742"/>
              <w:gridCol w:w="1530"/>
              <w:gridCol w:w="3390"/>
              <w:gridCol w:w="1620"/>
              <w:gridCol w:w="1535"/>
            </w:tblGrid>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742" w:type="dxa"/>
                  <w:vAlign w:val="center"/>
                </w:tcPr>
                <w:p>
                  <w:pPr>
                    <w:jc w:val="center"/>
                    <w:rPr>
                      <w:b/>
                      <w:color w:val="000000" w:themeColor="text1"/>
                      <w:sz w:val="21"/>
                      <w:szCs w:val="21"/>
                      <w14:textFill>
                        <w14:solidFill>
                          <w14:schemeClr w14:val="tx1"/>
                        </w14:solidFill>
                      </w14:textFill>
                    </w:rPr>
                  </w:pPr>
                  <w:r>
                    <w:rPr>
                      <w:b/>
                      <w:color w:val="000000" w:themeColor="text1"/>
                      <w:sz w:val="21"/>
                      <w:szCs w:val="21"/>
                      <w14:textFill>
                        <w14:solidFill>
                          <w14:schemeClr w14:val="tx1"/>
                        </w14:solidFill>
                      </w14:textFill>
                    </w:rPr>
                    <w:t>序号</w:t>
                  </w:r>
                </w:p>
              </w:tc>
              <w:tc>
                <w:tcPr>
                  <w:tcW w:w="1530" w:type="dxa"/>
                  <w:vAlign w:val="center"/>
                </w:tcPr>
                <w:p>
                  <w:pPr>
                    <w:jc w:val="center"/>
                    <w:rPr>
                      <w:b/>
                      <w:color w:val="000000" w:themeColor="text1"/>
                      <w:sz w:val="21"/>
                      <w:szCs w:val="21"/>
                      <w14:textFill>
                        <w14:solidFill>
                          <w14:schemeClr w14:val="tx1"/>
                        </w14:solidFill>
                      </w14:textFill>
                    </w:rPr>
                  </w:pPr>
                  <w:r>
                    <w:rPr>
                      <w:b/>
                      <w:color w:val="000000" w:themeColor="text1"/>
                      <w:sz w:val="21"/>
                      <w:szCs w:val="21"/>
                      <w14:textFill>
                        <w14:solidFill>
                          <w14:schemeClr w14:val="tx1"/>
                        </w14:solidFill>
                      </w14:textFill>
                    </w:rPr>
                    <w:t>名称</w:t>
                  </w:r>
                </w:p>
              </w:tc>
              <w:tc>
                <w:tcPr>
                  <w:tcW w:w="3390" w:type="dxa"/>
                  <w:vAlign w:val="center"/>
                </w:tcPr>
                <w:p>
                  <w:pPr>
                    <w:jc w:val="center"/>
                    <w:rPr>
                      <w:b/>
                      <w:color w:val="000000" w:themeColor="text1"/>
                      <w:sz w:val="21"/>
                      <w:szCs w:val="21"/>
                      <w14:textFill>
                        <w14:solidFill>
                          <w14:schemeClr w14:val="tx1"/>
                        </w14:solidFill>
                      </w14:textFill>
                    </w:rPr>
                  </w:pPr>
                  <w:r>
                    <w:rPr>
                      <w:b/>
                      <w:color w:val="000000" w:themeColor="text1"/>
                      <w:sz w:val="21"/>
                      <w:szCs w:val="21"/>
                      <w14:textFill>
                        <w14:solidFill>
                          <w14:schemeClr w14:val="tx1"/>
                        </w14:solidFill>
                      </w14:textFill>
                    </w:rPr>
                    <w:t>环保治理措施</w:t>
                  </w:r>
                </w:p>
              </w:tc>
              <w:tc>
                <w:tcPr>
                  <w:tcW w:w="1620" w:type="dxa"/>
                  <w:vAlign w:val="center"/>
                </w:tcPr>
                <w:p>
                  <w:pPr>
                    <w:jc w:val="center"/>
                    <w:rPr>
                      <w:rFonts w:hint="eastAsia" w:eastAsia="宋体"/>
                      <w:b/>
                      <w:color w:val="000000" w:themeColor="text1"/>
                      <w:sz w:val="21"/>
                      <w:szCs w:val="21"/>
                      <w:lang w:eastAsia="zh-CN"/>
                      <w14:textFill>
                        <w14:solidFill>
                          <w14:schemeClr w14:val="tx1"/>
                        </w14:solidFill>
                      </w14:textFill>
                    </w:rPr>
                  </w:pPr>
                  <w:r>
                    <w:rPr>
                      <w:rFonts w:hint="eastAsia"/>
                      <w:b/>
                      <w:color w:val="000000" w:themeColor="text1"/>
                      <w:sz w:val="21"/>
                      <w:szCs w:val="21"/>
                      <w:lang w:val="en-US" w:eastAsia="zh-CN"/>
                      <w14:textFill>
                        <w14:solidFill>
                          <w14:schemeClr w14:val="tx1"/>
                        </w14:solidFill>
                      </w14:textFill>
                    </w:rPr>
                    <w:t>环评预估投资</w:t>
                  </w:r>
                </w:p>
                <w:p>
                  <w:pPr>
                    <w:jc w:val="center"/>
                    <w:rPr>
                      <w:b/>
                      <w:color w:val="000000" w:themeColor="text1"/>
                      <w:sz w:val="21"/>
                      <w:szCs w:val="21"/>
                      <w14:textFill>
                        <w14:solidFill>
                          <w14:schemeClr w14:val="tx1"/>
                        </w14:solidFill>
                      </w14:textFill>
                    </w:rPr>
                  </w:pPr>
                  <w:r>
                    <w:rPr>
                      <w:b/>
                      <w:color w:val="000000" w:themeColor="text1"/>
                      <w:sz w:val="21"/>
                      <w:szCs w:val="21"/>
                      <w14:textFill>
                        <w14:solidFill>
                          <w14:schemeClr w14:val="tx1"/>
                        </w14:solidFill>
                      </w14:textFill>
                    </w:rPr>
                    <w:t>（万元）</w:t>
                  </w:r>
                </w:p>
              </w:tc>
              <w:tc>
                <w:tcPr>
                  <w:tcW w:w="1535" w:type="dxa"/>
                  <w:vAlign w:val="center"/>
                </w:tcPr>
                <w:p>
                  <w:pPr>
                    <w:jc w:val="center"/>
                    <w:rPr>
                      <w:rFonts w:hint="default" w:eastAsia="宋体"/>
                      <w:b/>
                      <w:color w:val="000000" w:themeColor="text1"/>
                      <w:sz w:val="21"/>
                      <w:szCs w:val="21"/>
                      <w:lang w:val="en-US" w:eastAsia="zh-CN"/>
                      <w14:textFill>
                        <w14:solidFill>
                          <w14:schemeClr w14:val="tx1"/>
                        </w14:solidFill>
                      </w14:textFill>
                    </w:rPr>
                  </w:pPr>
                  <w:r>
                    <w:rPr>
                      <w:rFonts w:hint="eastAsia"/>
                      <w:b/>
                      <w:color w:val="000000" w:themeColor="text1"/>
                      <w:sz w:val="21"/>
                      <w:szCs w:val="21"/>
                      <w:lang w:val="en-US" w:eastAsia="zh-CN"/>
                      <w14:textFill>
                        <w14:solidFill>
                          <w14:schemeClr w14:val="tx1"/>
                        </w14:solidFill>
                      </w14:textFill>
                    </w:rPr>
                    <w:t>实际环保投资（万元）</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742" w:type="dxa"/>
                  <w:vAlign w:val="center"/>
                </w:tcPr>
                <w:p>
                  <w:pPr>
                    <w:spacing w:line="320" w:lineRule="exact"/>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1</w:t>
                  </w:r>
                </w:p>
              </w:tc>
              <w:tc>
                <w:tcPr>
                  <w:tcW w:w="1530" w:type="dxa"/>
                  <w:vAlign w:val="center"/>
                </w:tcPr>
                <w:p>
                  <w:pPr>
                    <w:spacing w:line="320" w:lineRule="exact"/>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废水处理</w:t>
                  </w:r>
                </w:p>
              </w:tc>
              <w:tc>
                <w:tcPr>
                  <w:tcW w:w="3390" w:type="dxa"/>
                  <w:vAlign w:val="center"/>
                </w:tcPr>
                <w:p>
                  <w:pPr>
                    <w:spacing w:line="320" w:lineRule="exact"/>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生活废水经</w:t>
                  </w:r>
                  <w:r>
                    <w:rPr>
                      <w:rFonts w:hint="eastAsia"/>
                      <w:color w:val="000000" w:themeColor="text1"/>
                      <w:sz w:val="21"/>
                      <w:szCs w:val="21"/>
                      <w:lang w:val="en-US" w:eastAsia="zh-CN"/>
                      <w14:textFill>
                        <w14:solidFill>
                          <w14:schemeClr w14:val="tx1"/>
                        </w14:solidFill>
                      </w14:textFill>
                    </w:rPr>
                    <w:t>隔油池、</w:t>
                  </w:r>
                  <w:r>
                    <w:rPr>
                      <w:color w:val="000000" w:themeColor="text1"/>
                      <w:sz w:val="21"/>
                      <w:szCs w:val="21"/>
                      <w14:textFill>
                        <w14:solidFill>
                          <w14:schemeClr w14:val="tx1"/>
                        </w14:solidFill>
                      </w14:textFill>
                    </w:rPr>
                    <w:t>化粪池处理；生产废水</w:t>
                  </w:r>
                  <w:r>
                    <w:rPr>
                      <w:rFonts w:hint="eastAsia"/>
                      <w:color w:val="000000" w:themeColor="text1"/>
                      <w:sz w:val="21"/>
                      <w:szCs w:val="21"/>
                      <w:lang w:val="en-US" w:eastAsia="zh-CN"/>
                      <w14:textFill>
                        <w14:solidFill>
                          <w14:schemeClr w14:val="tx1"/>
                        </w14:solidFill>
                      </w14:textFill>
                    </w:rPr>
                    <w:t>依托</w:t>
                  </w:r>
                  <w:r>
                    <w:rPr>
                      <w:color w:val="000000" w:themeColor="text1"/>
                      <w:sz w:val="21"/>
                      <w:szCs w:val="21"/>
                      <w14:textFill>
                        <w14:solidFill>
                          <w14:schemeClr w14:val="tx1"/>
                        </w14:solidFill>
                      </w14:textFill>
                    </w:rPr>
                    <w:t>厂区</w:t>
                  </w:r>
                  <w:r>
                    <w:rPr>
                      <w:rFonts w:hint="eastAsia"/>
                      <w:color w:val="000000" w:themeColor="text1"/>
                      <w:sz w:val="21"/>
                      <w:szCs w:val="21"/>
                      <w:lang w:val="en-US" w:eastAsia="zh-CN"/>
                      <w14:textFill>
                        <w14:solidFill>
                          <w14:schemeClr w14:val="tx1"/>
                        </w14:solidFill>
                      </w14:textFill>
                    </w:rPr>
                    <w:t>原有</w:t>
                  </w:r>
                  <w:r>
                    <w:rPr>
                      <w:color w:val="000000" w:themeColor="text1"/>
                      <w:sz w:val="21"/>
                      <w:szCs w:val="21"/>
                      <w14:textFill>
                        <w14:solidFill>
                          <w14:schemeClr w14:val="tx1"/>
                        </w14:solidFill>
                      </w14:textFill>
                    </w:rPr>
                    <w:t>污水处理站处理，废水处理后排入市政管网</w:t>
                  </w:r>
                </w:p>
              </w:tc>
              <w:tc>
                <w:tcPr>
                  <w:tcW w:w="1620" w:type="dxa"/>
                  <w:vAlign w:val="center"/>
                </w:tcPr>
                <w:p>
                  <w:pPr>
                    <w:spacing w:line="320" w:lineRule="exact"/>
                    <w:jc w:val="center"/>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2</w:t>
                  </w:r>
                  <w:r>
                    <w:rPr>
                      <w:rFonts w:hint="eastAsia"/>
                      <w:color w:val="000000" w:themeColor="text1"/>
                      <w:sz w:val="21"/>
                      <w:szCs w:val="21"/>
                      <w:highlight w:val="none"/>
                      <w14:textFill>
                        <w14:solidFill>
                          <w14:schemeClr w14:val="tx1"/>
                        </w14:solidFill>
                      </w14:textFill>
                    </w:rPr>
                    <w:t>0</w:t>
                  </w:r>
                </w:p>
              </w:tc>
              <w:tc>
                <w:tcPr>
                  <w:tcW w:w="1535" w:type="dxa"/>
                  <w:vAlign w:val="center"/>
                </w:tcPr>
                <w:p>
                  <w:pPr>
                    <w:spacing w:line="320" w:lineRule="exact"/>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eastAsia"/>
                      <w:color w:val="000000" w:themeColor="text1"/>
                      <w:sz w:val="21"/>
                      <w:szCs w:val="21"/>
                      <w:highlight w:val="none"/>
                      <w:lang w:val="en-US" w:eastAsia="zh-CN"/>
                      <w14:textFill>
                        <w14:solidFill>
                          <w14:schemeClr w14:val="tx1"/>
                        </w14:solidFill>
                      </w14:textFill>
                    </w:rPr>
                    <w:t>20（污水处理站运行费用）</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742" w:type="dxa"/>
                  <w:vAlign w:val="center"/>
                </w:tcPr>
                <w:p>
                  <w:pPr>
                    <w:spacing w:line="320" w:lineRule="exact"/>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2</w:t>
                  </w:r>
                </w:p>
              </w:tc>
              <w:tc>
                <w:tcPr>
                  <w:tcW w:w="1530" w:type="dxa"/>
                  <w:vAlign w:val="center"/>
                </w:tcPr>
                <w:p>
                  <w:pPr>
                    <w:spacing w:line="320" w:lineRule="exact"/>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废气处理</w:t>
                  </w:r>
                </w:p>
              </w:tc>
              <w:tc>
                <w:tcPr>
                  <w:tcW w:w="3390" w:type="dxa"/>
                  <w:vAlign w:val="center"/>
                </w:tcPr>
                <w:p>
                  <w:pPr>
                    <w:spacing w:line="320" w:lineRule="exact"/>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压铸工序</w:t>
                  </w:r>
                  <w:r>
                    <w:rPr>
                      <w:rFonts w:hint="eastAsia"/>
                      <w:color w:val="000000" w:themeColor="text1"/>
                      <w:sz w:val="21"/>
                      <w:szCs w:val="21"/>
                      <w14:textFill>
                        <w14:solidFill>
                          <w14:schemeClr w14:val="tx1"/>
                        </w14:solidFill>
                      </w14:textFill>
                    </w:rPr>
                    <w:t>脱模</w:t>
                  </w:r>
                  <w:r>
                    <w:rPr>
                      <w:color w:val="000000" w:themeColor="text1"/>
                      <w:sz w:val="21"/>
                      <w:szCs w:val="21"/>
                      <w14:textFill>
                        <w14:solidFill>
                          <w14:schemeClr w14:val="tx1"/>
                        </w14:solidFill>
                      </w14:textFill>
                    </w:rPr>
                    <w:t>废气</w:t>
                  </w:r>
                  <w:r>
                    <w:rPr>
                      <w:rFonts w:hint="eastAsia"/>
                      <w:color w:val="000000" w:themeColor="text1"/>
                      <w:sz w:val="21"/>
                      <w:szCs w:val="21"/>
                      <w14:textFill>
                        <w14:solidFill>
                          <w14:schemeClr w14:val="tx1"/>
                        </w14:solidFill>
                      </w14:textFill>
                    </w:rPr>
                    <w:t>采取“静电除雾+等离子光氧装置”处理后经</w:t>
                  </w:r>
                  <w:r>
                    <w:rPr>
                      <w:color w:val="000000" w:themeColor="text1"/>
                      <w:sz w:val="21"/>
                      <w:szCs w:val="21"/>
                      <w14:textFill>
                        <w14:solidFill>
                          <w14:schemeClr w14:val="tx1"/>
                        </w14:solidFill>
                      </w14:textFill>
                    </w:rPr>
                    <w:t>15米高排气筒排放</w:t>
                  </w:r>
                </w:p>
              </w:tc>
              <w:tc>
                <w:tcPr>
                  <w:tcW w:w="1620" w:type="dxa"/>
                  <w:vAlign w:val="center"/>
                </w:tcPr>
                <w:p>
                  <w:pPr>
                    <w:spacing w:line="320" w:lineRule="exact"/>
                    <w:jc w:val="center"/>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270</w:t>
                  </w:r>
                </w:p>
              </w:tc>
              <w:tc>
                <w:tcPr>
                  <w:tcW w:w="1535" w:type="dxa"/>
                  <w:vAlign w:val="center"/>
                </w:tcPr>
                <w:p>
                  <w:pPr>
                    <w:spacing w:line="320" w:lineRule="exact"/>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eastAsia"/>
                      <w:color w:val="000000" w:themeColor="text1"/>
                      <w:sz w:val="21"/>
                      <w:szCs w:val="21"/>
                      <w:highlight w:val="none"/>
                      <w:lang w:val="en-US" w:eastAsia="zh-CN"/>
                      <w14:textFill>
                        <w14:solidFill>
                          <w14:schemeClr w14:val="tx1"/>
                        </w14:solidFill>
                      </w14:textFill>
                    </w:rPr>
                    <w:t>260</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742" w:type="dxa"/>
                  <w:vAlign w:val="center"/>
                </w:tcPr>
                <w:p>
                  <w:pPr>
                    <w:spacing w:line="320" w:lineRule="exact"/>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3</w:t>
                  </w:r>
                </w:p>
              </w:tc>
              <w:tc>
                <w:tcPr>
                  <w:tcW w:w="1530" w:type="dxa"/>
                  <w:vAlign w:val="center"/>
                </w:tcPr>
                <w:p>
                  <w:pPr>
                    <w:spacing w:line="320" w:lineRule="exact"/>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噪声处理</w:t>
                  </w:r>
                </w:p>
              </w:tc>
              <w:tc>
                <w:tcPr>
                  <w:tcW w:w="3390" w:type="dxa"/>
                  <w:vAlign w:val="center"/>
                </w:tcPr>
                <w:p>
                  <w:pPr>
                    <w:spacing w:line="320" w:lineRule="exact"/>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隔声、减振等</w:t>
                  </w:r>
                </w:p>
              </w:tc>
              <w:tc>
                <w:tcPr>
                  <w:tcW w:w="1620" w:type="dxa"/>
                  <w:vAlign w:val="center"/>
                </w:tcPr>
                <w:p>
                  <w:pPr>
                    <w:spacing w:line="320" w:lineRule="exact"/>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5</w:t>
                  </w:r>
                </w:p>
              </w:tc>
              <w:tc>
                <w:tcPr>
                  <w:tcW w:w="1535" w:type="dxa"/>
                  <w:vAlign w:val="center"/>
                </w:tcPr>
                <w:p>
                  <w:pPr>
                    <w:spacing w:line="320" w:lineRule="exact"/>
                    <w:jc w:val="center"/>
                    <w:rPr>
                      <w:rFonts w:hint="eastAsia"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eastAsia"/>
                      <w:color w:val="000000" w:themeColor="text1"/>
                      <w:sz w:val="21"/>
                      <w:szCs w:val="21"/>
                      <w:highlight w:val="none"/>
                      <w:lang w:val="en-US" w:eastAsia="zh-CN"/>
                      <w14:textFill>
                        <w14:solidFill>
                          <w14:schemeClr w14:val="tx1"/>
                        </w14:solidFill>
                      </w14:textFill>
                    </w:rPr>
                    <w:t>5</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742" w:type="dxa"/>
                  <w:vAlign w:val="center"/>
                </w:tcPr>
                <w:p>
                  <w:pPr>
                    <w:spacing w:line="320" w:lineRule="exact"/>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4</w:t>
                  </w:r>
                </w:p>
              </w:tc>
              <w:tc>
                <w:tcPr>
                  <w:tcW w:w="1530" w:type="dxa"/>
                  <w:vAlign w:val="center"/>
                </w:tcPr>
                <w:p>
                  <w:pPr>
                    <w:spacing w:line="320" w:lineRule="exact"/>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固废处理</w:t>
                  </w:r>
                </w:p>
              </w:tc>
              <w:tc>
                <w:tcPr>
                  <w:tcW w:w="3390" w:type="dxa"/>
                  <w:vAlign w:val="center"/>
                </w:tcPr>
                <w:p>
                  <w:pPr>
                    <w:spacing w:line="320" w:lineRule="exact"/>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垃圾桶若干、一般固废堆场和危险固废堆场</w:t>
                  </w:r>
                </w:p>
              </w:tc>
              <w:tc>
                <w:tcPr>
                  <w:tcW w:w="1620" w:type="dxa"/>
                  <w:vAlign w:val="center"/>
                </w:tcPr>
                <w:p>
                  <w:pPr>
                    <w:spacing w:line="320" w:lineRule="exact"/>
                    <w:jc w:val="center"/>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15</w:t>
                  </w:r>
                </w:p>
              </w:tc>
              <w:tc>
                <w:tcPr>
                  <w:tcW w:w="1535" w:type="dxa"/>
                  <w:vAlign w:val="center"/>
                </w:tcPr>
                <w:p>
                  <w:pPr>
                    <w:spacing w:line="320" w:lineRule="exact"/>
                    <w:jc w:val="center"/>
                    <w:rPr>
                      <w:rFonts w:hint="eastAsia"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eastAsia"/>
                      <w:color w:val="000000" w:themeColor="text1"/>
                      <w:sz w:val="21"/>
                      <w:szCs w:val="21"/>
                      <w:highlight w:val="none"/>
                      <w:lang w:val="en-US" w:eastAsia="zh-CN"/>
                      <w14:textFill>
                        <w14:solidFill>
                          <w14:schemeClr w14:val="tx1"/>
                        </w14:solidFill>
                      </w14:textFill>
                    </w:rPr>
                    <w:t>0</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742" w:type="dxa"/>
                  <w:vAlign w:val="center"/>
                </w:tcPr>
                <w:p>
                  <w:pPr>
                    <w:spacing w:line="320" w:lineRule="exact"/>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5</w:t>
                  </w:r>
                </w:p>
              </w:tc>
              <w:tc>
                <w:tcPr>
                  <w:tcW w:w="1530" w:type="dxa"/>
                  <w:vAlign w:val="center"/>
                </w:tcPr>
                <w:p>
                  <w:pPr>
                    <w:adjustRightInd w:val="0"/>
                    <w:snapToGrid w:val="0"/>
                    <w:ind w:left="-105" w:leftChars="-50" w:right="-105" w:rightChars="-5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区域防渗</w:t>
                  </w:r>
                </w:p>
              </w:tc>
              <w:tc>
                <w:tcPr>
                  <w:tcW w:w="3390" w:type="dxa"/>
                  <w:vAlign w:val="center"/>
                </w:tcPr>
                <w:p>
                  <w:pPr>
                    <w:adjustRightInd w:val="0"/>
                    <w:snapToGrid w:val="0"/>
                    <w:ind w:left="-105" w:leftChars="-50" w:right="-105" w:rightChars="-5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废液处理设备区等重点防渗</w:t>
                  </w:r>
                </w:p>
              </w:tc>
              <w:tc>
                <w:tcPr>
                  <w:tcW w:w="1620" w:type="dxa"/>
                  <w:vAlign w:val="center"/>
                </w:tcPr>
                <w:p>
                  <w:pPr>
                    <w:spacing w:line="320" w:lineRule="exact"/>
                    <w:jc w:val="center"/>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5</w:t>
                  </w:r>
                </w:p>
              </w:tc>
              <w:tc>
                <w:tcPr>
                  <w:tcW w:w="1535" w:type="dxa"/>
                  <w:vAlign w:val="center"/>
                </w:tcPr>
                <w:p>
                  <w:pPr>
                    <w:spacing w:line="320" w:lineRule="exact"/>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eastAsia" w:cs="Times New Roman"/>
                      <w:color w:val="000000" w:themeColor="text1"/>
                      <w:kern w:val="2"/>
                      <w:sz w:val="21"/>
                      <w:szCs w:val="21"/>
                      <w:highlight w:val="none"/>
                      <w:lang w:val="en-US" w:eastAsia="zh-CN" w:bidi="ar-SA"/>
                      <w14:textFill>
                        <w14:solidFill>
                          <w14:schemeClr w14:val="tx1"/>
                        </w14:solidFill>
                      </w14:textFill>
                    </w:rPr>
                    <w:t>5</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2272" w:type="dxa"/>
                  <w:gridSpan w:val="2"/>
                  <w:vAlign w:val="center"/>
                </w:tcPr>
                <w:p>
                  <w:pPr>
                    <w:spacing w:line="320" w:lineRule="exact"/>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合计</w:t>
                  </w:r>
                </w:p>
              </w:tc>
              <w:tc>
                <w:tcPr>
                  <w:tcW w:w="3390" w:type="dxa"/>
                  <w:vAlign w:val="center"/>
                </w:tcPr>
                <w:p>
                  <w:pPr>
                    <w:spacing w:line="320" w:lineRule="exact"/>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w:t>
                  </w:r>
                </w:p>
              </w:tc>
              <w:tc>
                <w:tcPr>
                  <w:tcW w:w="1620" w:type="dxa"/>
                  <w:vAlign w:val="center"/>
                </w:tcPr>
                <w:p>
                  <w:pPr>
                    <w:spacing w:line="320" w:lineRule="exact"/>
                    <w:jc w:val="center"/>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315</w:t>
                  </w:r>
                </w:p>
              </w:tc>
              <w:tc>
                <w:tcPr>
                  <w:tcW w:w="1535" w:type="dxa"/>
                  <w:vAlign w:val="center"/>
                </w:tcPr>
                <w:p>
                  <w:pPr>
                    <w:spacing w:line="320" w:lineRule="exact"/>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eastAsia"/>
                      <w:color w:val="000000" w:themeColor="text1"/>
                      <w:sz w:val="21"/>
                      <w:szCs w:val="21"/>
                      <w:highlight w:val="none"/>
                      <w:lang w:val="en-US" w:eastAsia="zh-CN"/>
                      <w14:textFill>
                        <w14:solidFill>
                          <w14:schemeClr w14:val="tx1"/>
                        </w14:solidFill>
                      </w14:textFill>
                    </w:rPr>
                    <w:t>290</w:t>
                  </w:r>
                </w:p>
              </w:tc>
            </w:tr>
          </w:tbl>
          <w:p>
            <w:pPr>
              <w:spacing w:line="480" w:lineRule="auto"/>
              <w:rPr>
                <w:rFonts w:hint="eastAsia"/>
                <w:lang w:val="en-US" w:eastAsia="zh-CN"/>
              </w:rPr>
            </w:pPr>
          </w:p>
          <w:p>
            <w:pPr>
              <w:spacing w:line="480" w:lineRule="auto"/>
              <w:rPr>
                <w:rFonts w:hint="eastAsia"/>
                <w:lang w:val="en-US" w:eastAsia="zh-CN"/>
              </w:rPr>
            </w:pPr>
          </w:p>
          <w:p>
            <w:pPr>
              <w:spacing w:line="480" w:lineRule="auto"/>
              <w:rPr>
                <w:rFonts w:hint="eastAsia"/>
                <w:lang w:val="en-US" w:eastAsia="zh-CN"/>
              </w:rPr>
            </w:pPr>
          </w:p>
          <w:p>
            <w:pPr>
              <w:spacing w:line="480" w:lineRule="auto"/>
              <w:rPr>
                <w:rFonts w:hint="eastAsia"/>
                <w:lang w:val="en-US" w:eastAsia="zh-CN"/>
              </w:rPr>
            </w:pPr>
          </w:p>
          <w:p>
            <w:pPr>
              <w:spacing w:line="480" w:lineRule="auto"/>
              <w:rPr>
                <w:rFonts w:hint="eastAsia"/>
                <w:lang w:val="en-US" w:eastAsia="zh-CN"/>
              </w:rPr>
            </w:pPr>
          </w:p>
          <w:p>
            <w:pPr>
              <w:spacing w:line="480" w:lineRule="auto"/>
              <w:rPr>
                <w:rFonts w:hint="eastAsia"/>
                <w:lang w:val="en-US" w:eastAsia="zh-CN"/>
              </w:rPr>
            </w:pPr>
          </w:p>
          <w:p>
            <w:pPr>
              <w:spacing w:line="480" w:lineRule="auto"/>
              <w:rPr>
                <w:rFonts w:hint="eastAsia"/>
                <w:lang w:val="en-US" w:eastAsia="zh-CN"/>
              </w:rPr>
            </w:pPr>
          </w:p>
          <w:p>
            <w:pPr>
              <w:spacing w:line="480" w:lineRule="auto"/>
              <w:rPr>
                <w:rFonts w:hint="eastAsia"/>
                <w:lang w:val="en-US" w:eastAsia="zh-CN"/>
              </w:rPr>
            </w:pPr>
          </w:p>
          <w:p>
            <w:pPr>
              <w:spacing w:line="480" w:lineRule="auto"/>
              <w:rPr>
                <w:rFonts w:hint="eastAsia"/>
                <w:lang w:val="en-US" w:eastAsia="zh-CN"/>
              </w:rPr>
            </w:pPr>
          </w:p>
          <w:p>
            <w:pPr>
              <w:spacing w:line="480" w:lineRule="auto"/>
              <w:rPr>
                <w:rFonts w:hint="eastAsia"/>
                <w:lang w:val="en-US" w:eastAsia="zh-CN"/>
              </w:rPr>
            </w:pPr>
          </w:p>
          <w:p>
            <w:pPr>
              <w:spacing w:line="480" w:lineRule="auto"/>
              <w:rPr>
                <w:rFonts w:hint="eastAsia"/>
                <w:lang w:val="en-US" w:eastAsia="zh-CN"/>
              </w:rPr>
            </w:pPr>
          </w:p>
          <w:p>
            <w:pPr>
              <w:spacing w:line="480" w:lineRule="auto"/>
              <w:rPr>
                <w:rFonts w:hint="eastAsia" w:eastAsia="宋体"/>
                <w:lang w:val="en-US" w:eastAsia="zh-CN"/>
              </w:rPr>
            </w:pPr>
          </w:p>
        </w:tc>
      </w:tr>
    </w:tbl>
    <w:p>
      <w:pPr>
        <w:rPr>
          <w:b/>
          <w:sz w:val="28"/>
          <w:szCs w:val="28"/>
        </w:rPr>
        <w:sectPr>
          <w:pgSz w:w="11906" w:h="16838"/>
          <w:pgMar w:top="1588" w:right="1418" w:bottom="1418" w:left="1418" w:header="851" w:footer="992" w:gutter="0"/>
          <w:pgBorders>
            <w:top w:val="none" w:sz="0" w:space="0"/>
            <w:left w:val="none" w:sz="0" w:space="0"/>
            <w:bottom w:val="none" w:sz="0" w:space="0"/>
            <w:right w:val="none" w:sz="0" w:space="0"/>
          </w:pgBorders>
          <w:cols w:space="425" w:num="1"/>
          <w:docGrid w:type="lines" w:linePitch="312" w:charSpace="0"/>
        </w:sectPr>
      </w:pPr>
    </w:p>
    <w:p>
      <w:pPr>
        <w:rPr>
          <w:b/>
          <w:sz w:val="28"/>
          <w:szCs w:val="28"/>
        </w:rPr>
      </w:pPr>
      <w:r>
        <w:rPr>
          <w:rFonts w:hint="eastAsia"/>
          <w:b/>
          <w:sz w:val="28"/>
          <w:szCs w:val="28"/>
        </w:rPr>
        <w:t>表四</w:t>
      </w:r>
    </w:p>
    <w:tbl>
      <w:tblPr>
        <w:tblStyle w:val="33"/>
        <w:tblW w:w="9503"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9503"/>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12862" w:hRule="atLeast"/>
          <w:jc w:val="center"/>
        </w:trPr>
        <w:tc>
          <w:tcPr>
            <w:tcW w:w="9503" w:type="dxa"/>
          </w:tcPr>
          <w:p>
            <w:pPr>
              <w:spacing w:line="360" w:lineRule="auto"/>
              <w:rPr>
                <w:rFonts w:ascii="宋体" w:hAnsi="宋体"/>
                <w:b/>
                <w:sz w:val="24"/>
              </w:rPr>
            </w:pPr>
            <w:r>
              <w:rPr>
                <w:rFonts w:hint="eastAsia" w:ascii="宋体" w:hAnsi="宋体"/>
                <w:b/>
                <w:sz w:val="24"/>
              </w:rPr>
              <w:t>建设项目环境影响报告表主要结论及审批部门审批决定：</w:t>
            </w:r>
          </w:p>
          <w:p>
            <w:pPr>
              <w:spacing w:line="360" w:lineRule="auto"/>
              <w:rPr>
                <w:rFonts w:ascii="宋体" w:hAnsi="宋体"/>
                <w:b/>
                <w:sz w:val="24"/>
              </w:rPr>
            </w:pPr>
            <w:r>
              <w:rPr>
                <w:rFonts w:hint="eastAsia" w:ascii="宋体" w:hAnsi="宋体"/>
                <w:b/>
                <w:sz w:val="24"/>
              </w:rPr>
              <w:t>一、建设项目环评报告书（表）的主要结论</w:t>
            </w:r>
          </w:p>
          <w:p>
            <w:pPr>
              <w:spacing w:line="360" w:lineRule="auto"/>
              <w:rPr>
                <w:rFonts w:ascii="宋体" w:hAnsi="宋体"/>
                <w:b/>
                <w:bCs/>
                <w:sz w:val="24"/>
              </w:rPr>
            </w:pPr>
            <w:r>
              <w:rPr>
                <w:rFonts w:ascii="宋体" w:hAnsi="宋体"/>
                <w:b/>
                <w:bCs/>
                <w:sz w:val="24"/>
              </w:rPr>
              <w:t>结论：</w:t>
            </w:r>
          </w:p>
          <w:p>
            <w:pPr>
              <w:spacing w:line="360" w:lineRule="auto"/>
              <w:ind w:firstLine="482" w:firstLineChars="200"/>
              <w:rPr>
                <w:rFonts w:ascii="Times New Roman" w:hAnsi="Times New Roman" w:eastAsia="宋体" w:cs="Times New Roman"/>
                <w:b/>
                <w:color w:val="000000"/>
                <w:sz w:val="24"/>
              </w:rPr>
            </w:pPr>
            <w:r>
              <w:rPr>
                <w:rFonts w:ascii="Times New Roman" w:hAnsi="Times New Roman" w:eastAsia="宋体" w:cs="Times New Roman"/>
                <w:b/>
                <w:color w:val="000000"/>
                <w:sz w:val="24"/>
              </w:rPr>
              <w:t>1、项目概况</w:t>
            </w:r>
          </w:p>
          <w:p>
            <w:pPr>
              <w:spacing w:line="360" w:lineRule="auto"/>
              <w:ind w:firstLine="480" w:firstLineChars="200"/>
              <w:rPr>
                <w:rFonts w:ascii="Times New Roman" w:hAnsi="Times New Roman" w:eastAsia="宋体" w:cs="Times New Roman"/>
                <w:color w:val="000000"/>
                <w:sz w:val="24"/>
              </w:rPr>
            </w:pPr>
            <w:r>
              <w:rPr>
                <w:rFonts w:ascii="Times New Roman" w:hAnsi="Times New Roman" w:eastAsia="宋体" w:cs="Times New Roman"/>
                <w:color w:val="000000"/>
                <w:sz w:val="24"/>
              </w:rPr>
              <w:t>芜湖永达科技有限公司拟</w:t>
            </w:r>
            <w:r>
              <w:rPr>
                <w:rFonts w:ascii="Times New Roman" w:hAnsi="Times New Roman" w:eastAsia="宋体" w:cs="Times New Roman"/>
                <w:color w:val="000000"/>
                <w:kern w:val="0"/>
                <w:sz w:val="24"/>
              </w:rPr>
              <w:t>投资</w:t>
            </w:r>
            <w:r>
              <w:rPr>
                <w:rFonts w:ascii="Times New Roman" w:hAnsi="Times New Roman" w:eastAsia="宋体" w:cs="Times New Roman"/>
                <w:color w:val="000000"/>
                <w:sz w:val="24"/>
              </w:rPr>
              <w:t>10647万元</w:t>
            </w:r>
            <w:r>
              <w:rPr>
                <w:rFonts w:ascii="Times New Roman" w:hAnsi="Times New Roman" w:eastAsia="宋体" w:cs="Times New Roman"/>
                <w:color w:val="000000"/>
                <w:kern w:val="0"/>
                <w:sz w:val="24"/>
              </w:rPr>
              <w:t>建设“</w:t>
            </w:r>
            <w:r>
              <w:rPr>
                <w:rFonts w:ascii="Times New Roman" w:hAnsi="Times New Roman" w:eastAsia="宋体" w:cs="Times New Roman"/>
                <w:color w:val="000000"/>
                <w:sz w:val="24"/>
              </w:rPr>
              <w:t>压铸缸体技术改造升级项目</w:t>
            </w:r>
            <w:r>
              <w:rPr>
                <w:rFonts w:ascii="Times New Roman" w:hAnsi="Times New Roman" w:eastAsia="宋体" w:cs="Times New Roman"/>
                <w:color w:val="000000"/>
                <w:kern w:val="0"/>
                <w:sz w:val="24"/>
              </w:rPr>
              <w:t>”。</w:t>
            </w:r>
            <w:r>
              <w:rPr>
                <w:rFonts w:ascii="Times New Roman" w:hAnsi="Times New Roman" w:eastAsia="宋体" w:cs="Times New Roman"/>
                <w:color w:val="000000"/>
                <w:sz w:val="24"/>
              </w:rPr>
              <w:t>项目占地面积</w:t>
            </w:r>
            <w:r>
              <w:rPr>
                <w:rFonts w:ascii="Times New Roman" w:hAnsi="Times New Roman" w:eastAsia="宋体" w:cs="Times New Roman"/>
                <w:color w:val="000000"/>
                <w:kern w:val="24"/>
                <w:sz w:val="24"/>
              </w:rPr>
              <w:t>4725</w:t>
            </w:r>
            <w:r>
              <w:rPr>
                <w:rFonts w:ascii="Times New Roman" w:hAnsi="Times New Roman" w:eastAsia="宋体" w:cs="Times New Roman"/>
                <w:color w:val="000000"/>
                <w:sz w:val="24"/>
              </w:rPr>
              <w:t>m</w:t>
            </w:r>
            <w:r>
              <w:rPr>
                <w:rFonts w:ascii="Times New Roman" w:hAnsi="Times New Roman" w:eastAsia="宋体" w:cs="Times New Roman"/>
                <w:color w:val="000000"/>
                <w:sz w:val="24"/>
                <w:vertAlign w:val="superscript"/>
              </w:rPr>
              <w:t>2</w:t>
            </w:r>
            <w:r>
              <w:rPr>
                <w:rFonts w:ascii="Times New Roman" w:hAnsi="Times New Roman" w:eastAsia="宋体" w:cs="Times New Roman"/>
                <w:color w:val="000000"/>
                <w:sz w:val="24"/>
              </w:rPr>
              <w:t>（现有厂区占地），</w:t>
            </w:r>
            <w:r>
              <w:rPr>
                <w:rFonts w:hint="eastAsia" w:ascii="Times New Roman" w:hAnsi="Times New Roman" w:eastAsia="宋体" w:cs="Times New Roman"/>
                <w:color w:val="000000"/>
                <w:sz w:val="24"/>
              </w:rPr>
              <w:t>在确保不突破已形成的铝液产能的前提下，对现有压铸线进行技术改造，更新压铸设备并新建环保设施，技改</w:t>
            </w:r>
            <w:r>
              <w:rPr>
                <w:rFonts w:ascii="Times New Roman" w:hAnsi="Times New Roman" w:eastAsia="宋体" w:cs="Times New Roman"/>
                <w:color w:val="000000"/>
                <w:sz w:val="24"/>
              </w:rPr>
              <w:t>后可实现年产28万件缸体</w:t>
            </w:r>
            <w:r>
              <w:rPr>
                <w:rFonts w:ascii="Times New Roman" w:hAnsi="Times New Roman" w:eastAsia="宋体" w:cs="Times New Roman"/>
                <w:color w:val="000000"/>
                <w:kern w:val="0"/>
                <w:sz w:val="24"/>
              </w:rPr>
              <w:t>的生产规模</w:t>
            </w:r>
            <w:r>
              <w:rPr>
                <w:rFonts w:ascii="Times New Roman" w:hAnsi="Times New Roman" w:eastAsia="宋体" w:cs="Times New Roman"/>
                <w:color w:val="000000"/>
                <w:sz w:val="24"/>
              </w:rPr>
              <w:t>。芜湖经济技术开发区管理委员会于2018年8月7日以开管秘【2018】289号对该项目进行了备案。</w:t>
            </w:r>
          </w:p>
          <w:p>
            <w:pPr>
              <w:spacing w:line="360" w:lineRule="auto"/>
              <w:ind w:firstLine="482" w:firstLineChars="200"/>
              <w:rPr>
                <w:rFonts w:ascii="Times New Roman" w:hAnsi="Times New Roman" w:eastAsia="宋体" w:cs="Times New Roman"/>
                <w:b/>
                <w:color w:val="000000"/>
                <w:sz w:val="24"/>
              </w:rPr>
            </w:pPr>
            <w:r>
              <w:rPr>
                <w:rFonts w:ascii="Times New Roman" w:hAnsi="Times New Roman" w:eastAsia="宋体" w:cs="Times New Roman"/>
                <w:b/>
                <w:color w:val="000000"/>
                <w:sz w:val="24"/>
              </w:rPr>
              <w:t>2、产业政策符合性</w:t>
            </w:r>
          </w:p>
          <w:p>
            <w:pPr>
              <w:spacing w:line="360" w:lineRule="auto"/>
              <w:ind w:firstLine="480" w:firstLineChars="200"/>
              <w:rPr>
                <w:rFonts w:ascii="Times New Roman" w:hAnsi="Times New Roman" w:eastAsia="宋体" w:cs="Times New Roman"/>
                <w:color w:val="000000"/>
                <w:sz w:val="24"/>
              </w:rPr>
            </w:pPr>
            <w:r>
              <w:rPr>
                <w:rFonts w:ascii="Times New Roman" w:hAnsi="Times New Roman" w:eastAsia="宋体" w:cs="Times New Roman"/>
                <w:color w:val="000000"/>
                <w:sz w:val="24"/>
              </w:rPr>
              <w:t>本项目</w:t>
            </w:r>
            <w:r>
              <w:rPr>
                <w:rFonts w:ascii="Times New Roman" w:hAnsi="Times New Roman" w:eastAsia="宋体" w:cs="Times New Roman"/>
                <w:color w:val="000000"/>
                <w:kern w:val="24"/>
                <w:sz w:val="24"/>
              </w:rPr>
              <w:t>已</w:t>
            </w:r>
            <w:r>
              <w:rPr>
                <w:rFonts w:ascii="Times New Roman" w:hAnsi="Times New Roman" w:eastAsia="宋体" w:cs="Times New Roman"/>
                <w:color w:val="000000"/>
                <w:sz w:val="24"/>
              </w:rPr>
              <w:t>于2018年8月7日取得了芜湖经济技术开发区管理委员会项目登记表，符合芜湖市经济技术开发区的经济发展要求及相关产业政策要求</w:t>
            </w:r>
            <w:r>
              <w:rPr>
                <w:rFonts w:ascii="Times New Roman" w:hAnsi="Times New Roman" w:eastAsia="宋体" w:cs="Times New Roman"/>
                <w:color w:val="000000"/>
                <w:kern w:val="24"/>
                <w:sz w:val="24"/>
              </w:rPr>
              <w:t>。</w:t>
            </w:r>
            <w:r>
              <w:rPr>
                <w:rFonts w:ascii="Times New Roman" w:hAnsi="Times New Roman" w:eastAsia="宋体" w:cs="Times New Roman"/>
                <w:color w:val="000000"/>
                <w:sz w:val="24"/>
              </w:rPr>
              <w:t>对照《产业结构调整指导目录（2011年本）》（2013修正），本项目不属于鼓励类，也非限制类和淘汰类，为允许类；本项目</w:t>
            </w:r>
            <w:r>
              <w:rPr>
                <w:rFonts w:ascii="Times New Roman" w:hAnsi="Times New Roman" w:eastAsia="宋体" w:cs="Times New Roman"/>
                <w:color w:val="000000"/>
                <w:kern w:val="0"/>
                <w:sz w:val="24"/>
              </w:rPr>
              <w:t>不属于</w:t>
            </w:r>
            <w:r>
              <w:rPr>
                <w:rFonts w:ascii="Times New Roman" w:hAnsi="Times New Roman" w:eastAsia="宋体" w:cs="Times New Roman"/>
                <w:color w:val="000000"/>
                <w:sz w:val="24"/>
              </w:rPr>
              <w:t>《安徽省工业产业结构调整指导目录（2007年本）》中</w:t>
            </w:r>
            <w:r>
              <w:rPr>
                <w:rFonts w:ascii="Times New Roman" w:hAnsi="Times New Roman" w:eastAsia="宋体" w:cs="Times New Roman"/>
                <w:color w:val="000000"/>
                <w:kern w:val="0"/>
                <w:sz w:val="24"/>
              </w:rPr>
              <w:t>鼓励类、限制类和淘汰类范畴，视为允许类</w:t>
            </w:r>
            <w:r>
              <w:rPr>
                <w:rFonts w:ascii="Times New Roman" w:hAnsi="Times New Roman" w:eastAsia="宋体" w:cs="Times New Roman"/>
                <w:color w:val="000000"/>
                <w:sz w:val="24"/>
              </w:rPr>
              <w:t>，故本项目的建设符合国家和地方产业政策。</w:t>
            </w:r>
          </w:p>
          <w:p>
            <w:pPr>
              <w:spacing w:line="360" w:lineRule="auto"/>
              <w:ind w:firstLine="482" w:firstLineChars="200"/>
              <w:rPr>
                <w:rFonts w:ascii="Times New Roman" w:hAnsi="Times New Roman" w:eastAsia="宋体" w:cs="Times New Roman"/>
                <w:b/>
                <w:color w:val="000000"/>
                <w:sz w:val="24"/>
              </w:rPr>
            </w:pPr>
            <w:r>
              <w:rPr>
                <w:rFonts w:ascii="Times New Roman" w:hAnsi="Times New Roman" w:eastAsia="宋体" w:cs="Times New Roman"/>
                <w:b/>
                <w:color w:val="000000"/>
                <w:sz w:val="24"/>
              </w:rPr>
              <w:t>3、规划及选址合理性</w:t>
            </w:r>
          </w:p>
          <w:p>
            <w:pPr>
              <w:spacing w:line="360" w:lineRule="auto"/>
              <w:ind w:firstLine="480" w:firstLineChars="200"/>
              <w:rPr>
                <w:rFonts w:ascii="Times New Roman" w:hAnsi="Times New Roman" w:eastAsia="宋体" w:cs="Times New Roman"/>
                <w:color w:val="000000"/>
                <w:sz w:val="24"/>
              </w:rPr>
            </w:pPr>
            <w:r>
              <w:rPr>
                <w:rFonts w:ascii="Times New Roman" w:hAnsi="Times New Roman" w:eastAsia="宋体" w:cs="Times New Roman"/>
                <w:color w:val="000000"/>
                <w:sz w:val="24"/>
              </w:rPr>
              <w:t>建设项目选址位于安徽省芜湖市经济技术开发区长江北路芜湖永达科技有限公司，建设符合开发区产业定位及规划环境影响评价审查意见，用地为工业用地，符合芜湖市经济技术开发区用地规划。项目排放的废水、废气、固废、噪声均能得到有效的处理处置，对周边的环境影响较小，因此从环保的角度分析，项目的选址合理。</w:t>
            </w:r>
          </w:p>
          <w:p>
            <w:pPr>
              <w:spacing w:line="360" w:lineRule="auto"/>
              <w:ind w:firstLine="482" w:firstLineChars="200"/>
              <w:rPr>
                <w:rFonts w:ascii="Times New Roman" w:hAnsi="Times New Roman" w:eastAsia="宋体" w:cs="Times New Roman"/>
                <w:b/>
                <w:color w:val="000000"/>
                <w:sz w:val="24"/>
              </w:rPr>
            </w:pPr>
            <w:r>
              <w:rPr>
                <w:rFonts w:ascii="Times New Roman" w:hAnsi="Times New Roman" w:eastAsia="宋体" w:cs="Times New Roman"/>
                <w:b/>
                <w:color w:val="000000"/>
                <w:sz w:val="24"/>
              </w:rPr>
              <w:t>4、环境质量现状</w:t>
            </w:r>
          </w:p>
          <w:p>
            <w:pPr>
              <w:spacing w:line="360" w:lineRule="auto"/>
              <w:ind w:firstLine="480" w:firstLineChars="200"/>
              <w:jc w:val="left"/>
              <w:rPr>
                <w:rFonts w:ascii="Times New Roman" w:hAnsi="Times New Roman" w:eastAsia="宋体" w:cs="Times New Roman"/>
                <w:color w:val="000000"/>
                <w:sz w:val="24"/>
              </w:rPr>
            </w:pPr>
            <w:r>
              <w:rPr>
                <w:rFonts w:ascii="Times New Roman" w:hAnsi="Times New Roman" w:eastAsia="宋体" w:cs="Times New Roman"/>
                <w:color w:val="000000"/>
                <w:sz w:val="24"/>
              </w:rPr>
              <w:t>项目所在区域环境空气质量良好，符合GB3095-2012《环境空气质量标准》中二级标准要求；长江水污染因子各项污染指数均能够满足GB3838-2002《地表水环境质量标准》中</w:t>
            </w:r>
            <w:r>
              <w:rPr>
                <w:rFonts w:ascii="Times New Roman" w:hAnsi="Times New Roman" w:eastAsia="宋体" w:cs="Times New Roman"/>
                <w:color w:val="000000"/>
                <w:sz w:val="24"/>
              </w:rPr>
              <w:fldChar w:fldCharType="begin"/>
            </w:r>
            <w:r>
              <w:rPr>
                <w:rFonts w:ascii="Times New Roman" w:hAnsi="Times New Roman" w:eastAsia="宋体" w:cs="Times New Roman"/>
                <w:color w:val="000000"/>
                <w:sz w:val="24"/>
              </w:rPr>
              <w:instrText xml:space="preserve"> = 3 \* ROMAN </w:instrText>
            </w:r>
            <w:r>
              <w:rPr>
                <w:rFonts w:ascii="Times New Roman" w:hAnsi="Times New Roman" w:eastAsia="宋体" w:cs="Times New Roman"/>
                <w:color w:val="000000"/>
                <w:sz w:val="24"/>
              </w:rPr>
              <w:fldChar w:fldCharType="separate"/>
            </w:r>
            <w:r>
              <w:rPr>
                <w:rFonts w:ascii="Times New Roman" w:hAnsi="Times New Roman" w:eastAsia="宋体" w:cs="Times New Roman"/>
                <w:color w:val="000000"/>
                <w:sz w:val="24"/>
              </w:rPr>
              <w:t>III</w:t>
            </w:r>
            <w:r>
              <w:rPr>
                <w:rFonts w:ascii="Times New Roman" w:hAnsi="Times New Roman" w:eastAsia="宋体" w:cs="Times New Roman"/>
                <w:color w:val="000000"/>
                <w:sz w:val="24"/>
              </w:rPr>
              <w:fldChar w:fldCharType="end"/>
            </w:r>
            <w:r>
              <w:rPr>
                <w:rFonts w:ascii="Times New Roman" w:hAnsi="Times New Roman" w:eastAsia="宋体" w:cs="Times New Roman"/>
                <w:color w:val="000000"/>
                <w:sz w:val="24"/>
              </w:rPr>
              <w:t>类标准的要求；</w:t>
            </w:r>
            <w:r>
              <w:rPr>
                <w:rFonts w:ascii="Times New Roman" w:hAnsi="Times New Roman" w:eastAsia="宋体" w:cs="Times New Roman"/>
                <w:bCs/>
                <w:color w:val="000000"/>
                <w:sz w:val="24"/>
              </w:rPr>
              <w:t>区域环境噪声值满足GB3096-2008《声环境质量标准》中的3类标准要求</w:t>
            </w:r>
            <w:r>
              <w:rPr>
                <w:rFonts w:ascii="Times New Roman" w:hAnsi="Times New Roman" w:eastAsia="宋体" w:cs="Times New Roman"/>
                <w:color w:val="000000"/>
                <w:sz w:val="24"/>
              </w:rPr>
              <w:t>。</w:t>
            </w:r>
          </w:p>
          <w:p>
            <w:pPr>
              <w:spacing w:line="360" w:lineRule="auto"/>
              <w:ind w:firstLine="482" w:firstLineChars="200"/>
              <w:rPr>
                <w:rFonts w:ascii="Times New Roman" w:hAnsi="Times New Roman" w:eastAsia="宋体" w:cs="Times New Roman"/>
                <w:b/>
                <w:color w:val="000000"/>
                <w:sz w:val="24"/>
              </w:rPr>
            </w:pPr>
            <w:r>
              <w:rPr>
                <w:rFonts w:ascii="Times New Roman" w:hAnsi="Times New Roman" w:eastAsia="宋体" w:cs="Times New Roman"/>
                <w:b/>
                <w:color w:val="000000"/>
                <w:sz w:val="24"/>
              </w:rPr>
              <w:t>5、项目投产后对周围环境影响分析</w:t>
            </w:r>
          </w:p>
          <w:p>
            <w:pPr>
              <w:spacing w:line="360" w:lineRule="auto"/>
              <w:ind w:firstLine="480" w:firstLineChars="200"/>
              <w:jc w:val="left"/>
              <w:rPr>
                <w:rFonts w:ascii="Times New Roman" w:hAnsi="Times New Roman" w:eastAsia="宋体" w:cs="Times New Roman"/>
                <w:color w:val="000000"/>
                <w:sz w:val="24"/>
              </w:rPr>
            </w:pPr>
            <w:r>
              <w:rPr>
                <w:rFonts w:ascii="Times New Roman" w:hAnsi="Times New Roman" w:eastAsia="宋体" w:cs="Times New Roman"/>
                <w:color w:val="000000"/>
                <w:sz w:val="24"/>
              </w:rPr>
              <w:t>（1）废气</w:t>
            </w:r>
          </w:p>
          <w:p>
            <w:pPr>
              <w:spacing w:line="360" w:lineRule="auto"/>
              <w:ind w:firstLine="480" w:firstLineChars="200"/>
              <w:jc w:val="left"/>
              <w:rPr>
                <w:rFonts w:ascii="Times New Roman" w:hAnsi="Times New Roman" w:eastAsia="宋体" w:cs="Times New Roman"/>
                <w:color w:val="000000"/>
                <w:sz w:val="24"/>
              </w:rPr>
            </w:pPr>
            <w:r>
              <w:rPr>
                <w:rFonts w:ascii="Times New Roman" w:hAnsi="Times New Roman" w:eastAsia="宋体" w:cs="Times New Roman"/>
                <w:color w:val="000000"/>
                <w:sz w:val="24"/>
              </w:rPr>
              <w:t>项目运营期产生的</w:t>
            </w:r>
            <w:r>
              <w:rPr>
                <w:rFonts w:hint="eastAsia" w:ascii="Times New Roman" w:hAnsi="Times New Roman" w:eastAsia="宋体" w:cs="Times New Roman"/>
                <w:color w:val="000000"/>
                <w:sz w:val="24"/>
              </w:rPr>
              <w:t>脱模</w:t>
            </w:r>
            <w:r>
              <w:rPr>
                <w:rFonts w:ascii="Times New Roman" w:hAnsi="Times New Roman" w:eastAsia="宋体" w:cs="Times New Roman"/>
                <w:color w:val="000000"/>
                <w:sz w:val="24"/>
              </w:rPr>
              <w:t>废气（VOCs）经静电除雾+等离子光氧装置+活性炭吸附装置处理后通过15米高排气筒排放</w:t>
            </w:r>
            <w:r>
              <w:rPr>
                <w:rFonts w:hint="eastAsia" w:ascii="Times New Roman" w:hAnsi="Times New Roman" w:eastAsia="宋体" w:cs="Times New Roman"/>
                <w:color w:val="000000"/>
                <w:sz w:val="24"/>
              </w:rPr>
              <w:t>（共2套）</w:t>
            </w:r>
            <w:r>
              <w:rPr>
                <w:rFonts w:ascii="Times New Roman" w:hAnsi="Times New Roman" w:eastAsia="宋体" w:cs="Times New Roman"/>
                <w:color w:val="000000"/>
                <w:sz w:val="24"/>
              </w:rPr>
              <w:t>；项目废气的污染物排放可满足</w:t>
            </w:r>
            <w:r>
              <w:rPr>
                <w:rFonts w:hint="eastAsia" w:ascii="Times New Roman" w:hAnsi="Times New Roman" w:eastAsia="宋体" w:cs="Times New Roman"/>
                <w:color w:val="000000"/>
                <w:sz w:val="24"/>
              </w:rPr>
              <w:t>河北省《工业企业挥发性有机物排放控制标准》（DB13/2322—2016）</w:t>
            </w:r>
            <w:r>
              <w:rPr>
                <w:rFonts w:ascii="Times New Roman" w:hAnsi="Times New Roman" w:eastAsia="宋体" w:cs="Times New Roman"/>
                <w:color w:val="000000"/>
                <w:sz w:val="24"/>
              </w:rPr>
              <w:t>表1排放限值及表2浓度限值要求和《大气污染物综合排放标准》（GB16297-1996）中的相关要求。</w:t>
            </w:r>
            <w:r>
              <w:rPr>
                <w:rFonts w:hint="eastAsia" w:ascii="Times New Roman" w:hAnsi="Times New Roman" w:eastAsia="宋体" w:cs="Times New Roman"/>
                <w:color w:val="000000"/>
                <w:sz w:val="24"/>
              </w:rPr>
              <w:t>根据表27可知，此次技改后在保持现有产能不变的情况下，技改后压铸线有机废气排放总量减少，符合技改“不增污”的要求。</w:t>
            </w:r>
          </w:p>
          <w:p>
            <w:pPr>
              <w:spacing w:line="360" w:lineRule="auto"/>
              <w:ind w:firstLine="480" w:firstLineChars="200"/>
              <w:jc w:val="left"/>
              <w:rPr>
                <w:rFonts w:ascii="Times New Roman" w:hAnsi="Times New Roman" w:eastAsia="宋体" w:cs="Times New Roman"/>
                <w:color w:val="000000"/>
              </w:rPr>
            </w:pPr>
            <w:r>
              <w:rPr>
                <w:rFonts w:ascii="Times New Roman" w:hAnsi="Times New Roman" w:eastAsia="宋体" w:cs="Times New Roman"/>
                <w:color w:val="000000"/>
                <w:sz w:val="24"/>
              </w:rPr>
              <w:t>根据环境影响预测本项目</w:t>
            </w:r>
            <w:r>
              <w:rPr>
                <w:rFonts w:hint="eastAsia" w:ascii="Times New Roman" w:hAnsi="Times New Roman" w:eastAsia="宋体" w:cs="Times New Roman"/>
                <w:color w:val="000000"/>
                <w:sz w:val="24"/>
              </w:rPr>
              <w:t>卫生</w:t>
            </w:r>
            <w:r>
              <w:rPr>
                <w:rFonts w:ascii="Times New Roman" w:hAnsi="Times New Roman" w:eastAsia="宋体" w:cs="Times New Roman"/>
                <w:color w:val="000000"/>
                <w:sz w:val="24"/>
              </w:rPr>
              <w:t>防护距离应以生产厂房为界外扩50m。结合项目外环境关系：项目防护距离之内没有居民，满足环保要求。另外，环评建议在项目周围今后的规划建设中，在该防护距离内，不能规划建设住宅、医院、学校及对大气环境有较高要求的建设项目。</w:t>
            </w:r>
          </w:p>
          <w:p>
            <w:pPr>
              <w:spacing w:line="360" w:lineRule="auto"/>
              <w:ind w:firstLine="480" w:firstLineChars="200"/>
              <w:jc w:val="left"/>
              <w:rPr>
                <w:rFonts w:ascii="Times New Roman" w:hAnsi="Times New Roman" w:eastAsia="宋体" w:cs="Times New Roman"/>
                <w:color w:val="000000"/>
                <w:sz w:val="24"/>
              </w:rPr>
            </w:pPr>
            <w:r>
              <w:rPr>
                <w:rFonts w:ascii="Times New Roman" w:hAnsi="Times New Roman" w:eastAsia="宋体" w:cs="Times New Roman"/>
                <w:color w:val="000000"/>
                <w:sz w:val="24"/>
              </w:rPr>
              <w:t>（2）废水</w:t>
            </w:r>
          </w:p>
          <w:p>
            <w:pPr>
              <w:spacing w:line="360" w:lineRule="auto"/>
              <w:ind w:firstLine="480" w:firstLineChars="200"/>
              <w:jc w:val="left"/>
              <w:rPr>
                <w:rFonts w:ascii="Times New Roman" w:hAnsi="Times New Roman" w:eastAsia="宋体" w:cs="Times New Roman"/>
                <w:color w:val="000000"/>
                <w:sz w:val="24"/>
              </w:rPr>
            </w:pPr>
            <w:r>
              <w:rPr>
                <w:rFonts w:hint="eastAsia" w:ascii="Times New Roman" w:hAnsi="Times New Roman" w:eastAsia="宋体" w:cs="Times New Roman"/>
                <w:color w:val="000000"/>
                <w:sz w:val="24"/>
              </w:rPr>
              <w:t>本次技改项目不新增废水，</w:t>
            </w:r>
            <w:r>
              <w:rPr>
                <w:rFonts w:ascii="Times New Roman" w:hAnsi="Times New Roman" w:eastAsia="宋体" w:cs="Times New Roman"/>
                <w:color w:val="000000"/>
                <w:sz w:val="24"/>
              </w:rPr>
              <w:t>项目生活污水进入隔油池、化粪池预处理，</w:t>
            </w:r>
            <w:r>
              <w:rPr>
                <w:rFonts w:hint="eastAsia" w:ascii="Times New Roman" w:hAnsi="Times New Roman" w:eastAsia="宋体" w:cs="Times New Roman"/>
                <w:color w:val="000000"/>
                <w:sz w:val="24"/>
              </w:rPr>
              <w:t>生产废水进入场内污水处理站处理，</w:t>
            </w:r>
            <w:r>
              <w:rPr>
                <w:rFonts w:ascii="Times New Roman" w:hAnsi="Times New Roman" w:eastAsia="宋体" w:cs="Times New Roman"/>
                <w:color w:val="000000"/>
                <w:sz w:val="24"/>
              </w:rPr>
              <w:t>废水处理</w:t>
            </w:r>
            <w:r>
              <w:rPr>
                <w:rFonts w:hint="eastAsia" w:ascii="Times New Roman" w:hAnsi="Times New Roman" w:eastAsia="宋体" w:cs="Times New Roman"/>
                <w:color w:val="000000"/>
                <w:sz w:val="24"/>
              </w:rPr>
              <w:t>达接管标准后，接入</w:t>
            </w:r>
            <w:r>
              <w:rPr>
                <w:rFonts w:ascii="Times New Roman" w:hAnsi="Times New Roman" w:eastAsia="宋体" w:cs="Times New Roman"/>
                <w:color w:val="000000"/>
                <w:sz w:val="24"/>
              </w:rPr>
              <w:t>朱家桥污水处理厂</w:t>
            </w:r>
            <w:r>
              <w:rPr>
                <w:rFonts w:hint="eastAsia" w:ascii="Times New Roman" w:hAnsi="Times New Roman" w:eastAsia="宋体" w:cs="Times New Roman"/>
                <w:color w:val="000000"/>
                <w:sz w:val="24"/>
              </w:rPr>
              <w:t>处理</w:t>
            </w:r>
            <w:r>
              <w:rPr>
                <w:rFonts w:ascii="Times New Roman" w:hAnsi="Times New Roman" w:eastAsia="宋体" w:cs="Times New Roman"/>
                <w:color w:val="000000"/>
                <w:sz w:val="24"/>
              </w:rPr>
              <w:t>，废水经朱家桥污水处理厂处理达到《城镇污水处理厂污染物排放标准》（GB18918-2002）表1中一级A标准后排入长江。因此，本项目外排污水经处理后对地表水环境影响较小。</w:t>
            </w:r>
          </w:p>
          <w:p>
            <w:pPr>
              <w:spacing w:line="360" w:lineRule="auto"/>
              <w:ind w:firstLine="480" w:firstLineChars="200"/>
              <w:jc w:val="left"/>
              <w:rPr>
                <w:rFonts w:ascii="Times New Roman" w:hAnsi="Times New Roman" w:eastAsia="宋体" w:cs="Times New Roman"/>
                <w:color w:val="000000"/>
                <w:sz w:val="24"/>
              </w:rPr>
            </w:pPr>
            <w:r>
              <w:rPr>
                <w:rFonts w:ascii="Times New Roman" w:hAnsi="Times New Roman" w:eastAsia="宋体" w:cs="Times New Roman"/>
                <w:color w:val="000000"/>
                <w:sz w:val="24"/>
              </w:rPr>
              <w:t>（3）固体废弃物</w:t>
            </w:r>
          </w:p>
          <w:p>
            <w:pPr>
              <w:spacing w:line="460" w:lineRule="exact"/>
              <w:ind w:firstLine="420" w:firstLineChars="175"/>
              <w:rPr>
                <w:rFonts w:ascii="Times New Roman" w:hAnsi="Times New Roman" w:eastAsia="宋体" w:cs="Times New Roman"/>
                <w:color w:val="000000"/>
                <w:sz w:val="24"/>
              </w:rPr>
            </w:pPr>
            <w:r>
              <w:rPr>
                <w:rFonts w:hint="eastAsia" w:ascii="Times New Roman" w:hAnsi="Times New Roman" w:eastAsia="宋体" w:cs="Times New Roman"/>
                <w:color w:val="000000"/>
                <w:sz w:val="24"/>
              </w:rPr>
              <w:t>本项目一般工业固废收集后全部综合利用或外售；生活垃圾委托环卫部门统一清运处理；危险固废委托有资质的单位进行处置；</w:t>
            </w:r>
            <w:r>
              <w:rPr>
                <w:rFonts w:ascii="Times New Roman" w:hAnsi="Times New Roman" w:eastAsia="宋体" w:cs="Times New Roman"/>
                <w:color w:val="000000"/>
                <w:sz w:val="24"/>
              </w:rPr>
              <w:t>全厂固废100%综合利用或处置，不会对周围环境造成影响。</w:t>
            </w:r>
          </w:p>
          <w:p>
            <w:pPr>
              <w:spacing w:line="360" w:lineRule="auto"/>
              <w:ind w:firstLine="480" w:firstLineChars="200"/>
              <w:jc w:val="left"/>
              <w:rPr>
                <w:rFonts w:ascii="Times New Roman" w:hAnsi="Times New Roman" w:eastAsia="宋体" w:cs="Times New Roman"/>
                <w:color w:val="000000"/>
                <w:sz w:val="24"/>
              </w:rPr>
            </w:pPr>
            <w:r>
              <w:rPr>
                <w:rFonts w:ascii="Times New Roman" w:hAnsi="Times New Roman" w:eastAsia="宋体" w:cs="Times New Roman"/>
                <w:color w:val="000000"/>
                <w:sz w:val="24"/>
              </w:rPr>
              <w:t>（4）噪声</w:t>
            </w:r>
          </w:p>
          <w:p>
            <w:pPr>
              <w:spacing w:line="360" w:lineRule="auto"/>
              <w:ind w:firstLine="480" w:firstLineChars="200"/>
              <w:jc w:val="left"/>
              <w:rPr>
                <w:rFonts w:ascii="Times New Roman" w:hAnsi="Times New Roman" w:eastAsia="宋体" w:cs="Times New Roman"/>
                <w:color w:val="000000"/>
                <w:sz w:val="24"/>
              </w:rPr>
            </w:pPr>
            <w:r>
              <w:rPr>
                <w:rFonts w:ascii="Times New Roman" w:hAnsi="Times New Roman" w:eastAsia="宋体" w:cs="Times New Roman"/>
                <w:color w:val="000000"/>
                <w:sz w:val="24"/>
              </w:rPr>
              <w:t>本项目噪声源强75～90dB(A)，经优先选用低噪声设备，高噪声设施在厂区内合理布局，同时对噪声设备采用隔声、减振等降噪措施，</w:t>
            </w:r>
            <w:r>
              <w:rPr>
                <w:rFonts w:hint="eastAsia" w:ascii="Times New Roman" w:hAnsi="Times New Roman" w:eastAsia="宋体" w:cs="Times New Roman"/>
                <w:color w:val="000000"/>
                <w:sz w:val="24"/>
              </w:rPr>
              <w:t>使</w:t>
            </w:r>
            <w:r>
              <w:rPr>
                <w:rFonts w:ascii="Times New Roman" w:hAnsi="Times New Roman" w:eastAsia="宋体" w:cs="Times New Roman"/>
                <w:color w:val="000000"/>
                <w:sz w:val="24"/>
              </w:rPr>
              <w:t>厂界噪声均能够</w:t>
            </w:r>
            <w:r>
              <w:rPr>
                <w:rFonts w:hint="eastAsia" w:ascii="Times New Roman" w:hAnsi="Times New Roman" w:eastAsia="宋体" w:cs="Times New Roman"/>
                <w:color w:val="000000"/>
                <w:sz w:val="24"/>
              </w:rPr>
              <w:t>满足</w:t>
            </w:r>
            <w:r>
              <w:rPr>
                <w:rFonts w:ascii="Times New Roman" w:hAnsi="Times New Roman" w:eastAsia="宋体" w:cs="Times New Roman"/>
                <w:color w:val="000000"/>
                <w:sz w:val="24"/>
              </w:rPr>
              <w:t>《工业企业厂界环境噪声排放标准》（GB12348-2008）3类标准要求。</w:t>
            </w:r>
          </w:p>
          <w:p>
            <w:pPr>
              <w:spacing w:line="360" w:lineRule="auto"/>
              <w:ind w:firstLine="480" w:firstLineChars="200"/>
              <w:rPr>
                <w:rFonts w:ascii="Times New Roman" w:hAnsi="Times New Roman" w:eastAsia="宋体" w:cs="Times New Roman"/>
                <w:color w:val="000000"/>
                <w:sz w:val="24"/>
              </w:rPr>
            </w:pPr>
            <w:r>
              <w:rPr>
                <w:rFonts w:ascii="Times New Roman" w:hAnsi="Times New Roman" w:eastAsia="宋体" w:cs="Times New Roman"/>
                <w:color w:val="000000"/>
                <w:sz w:val="24"/>
              </w:rPr>
              <w:t>（5）地下水环境影响</w:t>
            </w:r>
          </w:p>
          <w:p>
            <w:pPr>
              <w:spacing w:line="360" w:lineRule="auto"/>
              <w:ind w:firstLine="480" w:firstLineChars="200"/>
              <w:rPr>
                <w:rFonts w:ascii="Times New Roman" w:hAnsi="Times New Roman" w:eastAsia="宋体" w:cs="Times New Roman"/>
                <w:color w:val="000000"/>
                <w:sz w:val="24"/>
              </w:rPr>
            </w:pPr>
            <w:r>
              <w:rPr>
                <w:rFonts w:ascii="Times New Roman" w:hAnsi="Times New Roman" w:eastAsia="宋体" w:cs="Times New Roman"/>
                <w:color w:val="000000"/>
                <w:sz w:val="24"/>
              </w:rPr>
              <w:t>由污染途径及对应措施分析可知，本项目对可能产生地下水影响的各项途径均需进行有效预防，在确保各项防渗措施得以落实，并加强维护和厂区环境管理的前提下，可有效控制厂区内的废水污染物下渗现象，避免污染地下水，因此项目不会对区域地下水环境产生明显影响。</w:t>
            </w:r>
          </w:p>
          <w:p>
            <w:pPr>
              <w:spacing w:line="360" w:lineRule="auto"/>
              <w:ind w:firstLine="482" w:firstLineChars="200"/>
              <w:rPr>
                <w:rFonts w:ascii="Times New Roman" w:hAnsi="Times New Roman" w:eastAsia="宋体" w:cs="Times New Roman"/>
                <w:b/>
                <w:color w:val="000000"/>
                <w:sz w:val="24"/>
              </w:rPr>
            </w:pPr>
            <w:r>
              <w:rPr>
                <w:rFonts w:ascii="Times New Roman" w:hAnsi="Times New Roman" w:eastAsia="宋体" w:cs="Times New Roman"/>
                <w:b/>
                <w:color w:val="000000"/>
                <w:sz w:val="24"/>
              </w:rPr>
              <w:t>6、总量控制</w:t>
            </w:r>
          </w:p>
          <w:p>
            <w:pPr>
              <w:spacing w:line="360" w:lineRule="auto"/>
              <w:ind w:firstLine="504" w:firstLineChars="210"/>
              <w:rPr>
                <w:rFonts w:ascii="Times New Roman" w:hAnsi="Times New Roman" w:eastAsia="宋体" w:cs="Times New Roman"/>
                <w:color w:val="000000"/>
                <w:sz w:val="24"/>
              </w:rPr>
            </w:pPr>
            <w:r>
              <w:rPr>
                <w:rFonts w:ascii="Times New Roman" w:hAnsi="Times New Roman" w:eastAsia="宋体" w:cs="Times New Roman"/>
                <w:color w:val="000000"/>
                <w:sz w:val="24"/>
              </w:rPr>
              <w:t>本项目</w:t>
            </w:r>
            <w:r>
              <w:rPr>
                <w:rFonts w:ascii="Times New Roman" w:hAnsi="Times New Roman" w:eastAsia="宋体" w:cs="Times New Roman"/>
                <w:bCs/>
                <w:color w:val="000000"/>
                <w:sz w:val="24"/>
              </w:rPr>
              <w:t>生活污水经化粪池预处理，</w:t>
            </w:r>
            <w:r>
              <w:rPr>
                <w:rFonts w:hint="eastAsia" w:ascii="Times New Roman" w:hAnsi="Times New Roman" w:eastAsia="宋体" w:cs="Times New Roman"/>
                <w:bCs/>
                <w:color w:val="000000"/>
                <w:sz w:val="24"/>
              </w:rPr>
              <w:t>生产废水经厂内污水处理站处理，</w:t>
            </w:r>
            <w:r>
              <w:rPr>
                <w:rFonts w:ascii="Times New Roman" w:hAnsi="Times New Roman" w:eastAsia="宋体" w:cs="Times New Roman"/>
                <w:bCs/>
                <w:color w:val="000000"/>
                <w:sz w:val="24"/>
              </w:rPr>
              <w:t xml:space="preserve">废水经处理后纳入市政管网，经朱家桥污水处理厂处理后达标排入长江。污水总接管量：COD </w:t>
            </w:r>
            <w:r>
              <w:rPr>
                <w:rFonts w:hint="eastAsia" w:ascii="Times New Roman" w:hAnsi="Times New Roman" w:eastAsia="宋体" w:cs="Times New Roman"/>
                <w:bCs/>
                <w:color w:val="000000"/>
                <w:sz w:val="24"/>
              </w:rPr>
              <w:t>1.373</w:t>
            </w:r>
            <w:r>
              <w:rPr>
                <w:rFonts w:ascii="Times New Roman" w:hAnsi="Times New Roman" w:eastAsia="宋体" w:cs="Times New Roman"/>
                <w:bCs/>
                <w:color w:val="000000"/>
                <w:sz w:val="24"/>
              </w:rPr>
              <w:t>t/a，NH</w:t>
            </w:r>
            <w:r>
              <w:rPr>
                <w:rFonts w:ascii="Times New Roman" w:hAnsi="Times New Roman" w:eastAsia="宋体" w:cs="Times New Roman"/>
                <w:bCs/>
                <w:color w:val="000000"/>
                <w:sz w:val="24"/>
                <w:vertAlign w:val="subscript"/>
              </w:rPr>
              <w:t>3</w:t>
            </w:r>
            <w:r>
              <w:rPr>
                <w:rFonts w:ascii="Times New Roman" w:hAnsi="Times New Roman" w:eastAsia="宋体" w:cs="Times New Roman"/>
                <w:bCs/>
                <w:color w:val="000000"/>
                <w:sz w:val="24"/>
              </w:rPr>
              <w:t xml:space="preserve">-N </w:t>
            </w:r>
            <w:r>
              <w:rPr>
                <w:rFonts w:hint="eastAsia" w:ascii="Times New Roman" w:hAnsi="Times New Roman" w:eastAsia="宋体" w:cs="Times New Roman"/>
                <w:bCs/>
                <w:color w:val="000000"/>
                <w:sz w:val="24"/>
              </w:rPr>
              <w:t>0.075</w:t>
            </w:r>
            <w:r>
              <w:rPr>
                <w:rFonts w:ascii="Times New Roman" w:hAnsi="Times New Roman" w:eastAsia="宋体" w:cs="Times New Roman"/>
                <w:bCs/>
                <w:color w:val="000000"/>
                <w:sz w:val="24"/>
              </w:rPr>
              <w:t>t/a，处理后废水排入地表水环境的总量：COD 0.</w:t>
            </w:r>
            <w:r>
              <w:rPr>
                <w:rFonts w:hint="eastAsia" w:ascii="Times New Roman" w:hAnsi="Times New Roman" w:eastAsia="宋体" w:cs="Times New Roman"/>
                <w:bCs/>
                <w:color w:val="000000"/>
                <w:sz w:val="24"/>
              </w:rPr>
              <w:t>04</w:t>
            </w:r>
            <w:r>
              <w:rPr>
                <w:rFonts w:ascii="Times New Roman" w:hAnsi="Times New Roman" w:eastAsia="宋体" w:cs="Times New Roman"/>
                <w:bCs/>
                <w:color w:val="000000"/>
                <w:sz w:val="24"/>
              </w:rPr>
              <w:t>3</w:t>
            </w:r>
            <w:r>
              <w:rPr>
                <w:rFonts w:hint="eastAsia" w:ascii="Times New Roman" w:hAnsi="Times New Roman" w:eastAsia="宋体" w:cs="Times New Roman"/>
                <w:bCs/>
                <w:color w:val="000000"/>
                <w:sz w:val="24"/>
              </w:rPr>
              <w:t>0</w:t>
            </w:r>
            <w:r>
              <w:rPr>
                <w:rFonts w:ascii="Times New Roman" w:hAnsi="Times New Roman" w:eastAsia="宋体" w:cs="Times New Roman"/>
                <w:bCs/>
                <w:color w:val="000000"/>
                <w:sz w:val="24"/>
              </w:rPr>
              <w:t>t/a，NH</w:t>
            </w:r>
            <w:r>
              <w:rPr>
                <w:rFonts w:ascii="Times New Roman" w:hAnsi="Times New Roman" w:eastAsia="宋体" w:cs="Times New Roman"/>
                <w:bCs/>
                <w:color w:val="000000"/>
                <w:sz w:val="24"/>
                <w:vertAlign w:val="subscript"/>
              </w:rPr>
              <w:t>3</w:t>
            </w:r>
            <w:r>
              <w:rPr>
                <w:rFonts w:ascii="Times New Roman" w:hAnsi="Times New Roman" w:eastAsia="宋体" w:cs="Times New Roman"/>
                <w:bCs/>
                <w:color w:val="000000"/>
                <w:sz w:val="24"/>
              </w:rPr>
              <w:t>-N 0.</w:t>
            </w:r>
            <w:r>
              <w:rPr>
                <w:rFonts w:hint="eastAsia" w:ascii="Times New Roman" w:hAnsi="Times New Roman" w:eastAsia="宋体" w:cs="Times New Roman"/>
                <w:bCs/>
                <w:color w:val="000000"/>
                <w:sz w:val="24"/>
              </w:rPr>
              <w:t>0</w:t>
            </w:r>
            <w:r>
              <w:rPr>
                <w:rFonts w:ascii="Times New Roman" w:hAnsi="Times New Roman" w:eastAsia="宋体" w:cs="Times New Roman"/>
                <w:bCs/>
                <w:color w:val="000000"/>
                <w:sz w:val="24"/>
              </w:rPr>
              <w:t>0</w:t>
            </w:r>
            <w:r>
              <w:rPr>
                <w:rFonts w:hint="eastAsia" w:ascii="Times New Roman" w:hAnsi="Times New Roman" w:eastAsia="宋体" w:cs="Times New Roman"/>
                <w:bCs/>
                <w:color w:val="000000"/>
                <w:sz w:val="24"/>
              </w:rPr>
              <w:t>43</w:t>
            </w:r>
            <w:r>
              <w:rPr>
                <w:rFonts w:ascii="Times New Roman" w:hAnsi="Times New Roman" w:eastAsia="宋体" w:cs="Times New Roman"/>
                <w:bCs/>
                <w:color w:val="000000"/>
                <w:sz w:val="24"/>
              </w:rPr>
              <w:t>t/a。</w:t>
            </w:r>
            <w:r>
              <w:rPr>
                <w:rFonts w:ascii="Times New Roman" w:hAnsi="Times New Roman" w:eastAsia="宋体" w:cs="Times New Roman"/>
                <w:color w:val="000000"/>
                <w:sz w:val="24"/>
              </w:rPr>
              <w:t>因此，本环评建议水污染物总量控制指标</w:t>
            </w:r>
            <w:r>
              <w:rPr>
                <w:rFonts w:ascii="Times New Roman" w:hAnsi="Times New Roman" w:eastAsia="宋体" w:cs="Times New Roman"/>
                <w:bCs/>
                <w:color w:val="000000"/>
                <w:sz w:val="24"/>
              </w:rPr>
              <w:t>：COD 0.</w:t>
            </w:r>
            <w:r>
              <w:rPr>
                <w:rFonts w:hint="eastAsia" w:ascii="Times New Roman" w:hAnsi="Times New Roman" w:eastAsia="宋体" w:cs="Times New Roman"/>
                <w:bCs/>
                <w:color w:val="000000"/>
                <w:sz w:val="24"/>
              </w:rPr>
              <w:t>0430</w:t>
            </w:r>
            <w:r>
              <w:rPr>
                <w:rFonts w:ascii="Times New Roman" w:hAnsi="Times New Roman" w:eastAsia="宋体" w:cs="Times New Roman"/>
                <w:bCs/>
                <w:color w:val="000000"/>
                <w:sz w:val="24"/>
              </w:rPr>
              <w:t>t/a，NH</w:t>
            </w:r>
            <w:r>
              <w:rPr>
                <w:rFonts w:ascii="Times New Roman" w:hAnsi="Times New Roman" w:eastAsia="宋体" w:cs="Times New Roman"/>
                <w:bCs/>
                <w:color w:val="000000"/>
                <w:sz w:val="24"/>
                <w:vertAlign w:val="subscript"/>
              </w:rPr>
              <w:t>3</w:t>
            </w:r>
            <w:r>
              <w:rPr>
                <w:rFonts w:ascii="Times New Roman" w:hAnsi="Times New Roman" w:eastAsia="宋体" w:cs="Times New Roman"/>
                <w:bCs/>
                <w:color w:val="000000"/>
                <w:sz w:val="24"/>
              </w:rPr>
              <w:t>-N 0.</w:t>
            </w:r>
            <w:r>
              <w:rPr>
                <w:rFonts w:hint="eastAsia" w:ascii="Times New Roman" w:hAnsi="Times New Roman" w:eastAsia="宋体" w:cs="Times New Roman"/>
                <w:bCs/>
                <w:color w:val="000000"/>
                <w:sz w:val="24"/>
              </w:rPr>
              <w:t>0043</w:t>
            </w:r>
            <w:r>
              <w:rPr>
                <w:rFonts w:ascii="Times New Roman" w:hAnsi="Times New Roman" w:eastAsia="宋体" w:cs="Times New Roman"/>
                <w:bCs/>
                <w:color w:val="000000"/>
                <w:sz w:val="24"/>
              </w:rPr>
              <w:t>t/a。</w:t>
            </w:r>
            <w:r>
              <w:rPr>
                <w:rFonts w:ascii="Times New Roman" w:hAnsi="Times New Roman" w:eastAsia="宋体" w:cs="Times New Roman"/>
                <w:color w:val="000000"/>
                <w:sz w:val="24"/>
              </w:rPr>
              <w:t xml:space="preserve">大气污染物排放总量控制指标建议值为有组织VOC </w:t>
            </w:r>
            <w:r>
              <w:rPr>
                <w:rFonts w:hint="eastAsia" w:ascii="Times New Roman" w:hAnsi="Times New Roman" w:eastAsia="宋体" w:cs="Times New Roman"/>
                <w:color w:val="000000"/>
                <w:sz w:val="24"/>
              </w:rPr>
              <w:t>1.17</w:t>
            </w:r>
            <w:r>
              <w:rPr>
                <w:rFonts w:ascii="Times New Roman" w:hAnsi="Times New Roman" w:eastAsia="宋体" w:cs="Times New Roman"/>
                <w:color w:val="000000"/>
                <w:sz w:val="24"/>
              </w:rPr>
              <w:t>t/a，无组织VOC 0.</w:t>
            </w:r>
            <w:r>
              <w:rPr>
                <w:rFonts w:hint="eastAsia" w:ascii="Times New Roman" w:hAnsi="Times New Roman" w:eastAsia="宋体" w:cs="Times New Roman"/>
                <w:color w:val="000000"/>
                <w:sz w:val="24"/>
              </w:rPr>
              <w:t>65</w:t>
            </w:r>
            <w:r>
              <w:rPr>
                <w:rFonts w:ascii="Times New Roman" w:hAnsi="Times New Roman" w:eastAsia="宋体" w:cs="Times New Roman"/>
                <w:color w:val="000000"/>
                <w:sz w:val="24"/>
              </w:rPr>
              <w:t>t/a。</w:t>
            </w:r>
          </w:p>
          <w:p>
            <w:pPr>
              <w:spacing w:line="360" w:lineRule="auto"/>
              <w:ind w:firstLine="482" w:firstLineChars="200"/>
              <w:rPr>
                <w:rFonts w:ascii="Times New Roman" w:hAnsi="Times New Roman" w:eastAsia="宋体" w:cs="Times New Roman"/>
                <w:b/>
                <w:color w:val="000000"/>
                <w:sz w:val="24"/>
              </w:rPr>
            </w:pPr>
            <w:r>
              <w:rPr>
                <w:rFonts w:ascii="Times New Roman" w:hAnsi="Times New Roman" w:eastAsia="宋体" w:cs="Times New Roman"/>
                <w:b/>
                <w:color w:val="000000"/>
                <w:sz w:val="24"/>
              </w:rPr>
              <w:t>7、总结论</w:t>
            </w:r>
          </w:p>
          <w:p>
            <w:pPr>
              <w:spacing w:line="460" w:lineRule="exact"/>
              <w:ind w:firstLine="480" w:firstLineChars="200"/>
              <w:rPr>
                <w:rFonts w:hint="default" w:ascii="Times New Roman" w:hAnsi="Times New Roman" w:eastAsia="宋体" w:cs="Times New Roman"/>
                <w:b w:val="0"/>
                <w:bCs/>
                <w:color w:val="auto"/>
                <w:kern w:val="0"/>
                <w:sz w:val="24"/>
                <w:szCs w:val="24"/>
                <w:highlight w:val="none"/>
                <w:lang w:val="en-US" w:eastAsia="zh-CN"/>
              </w:rPr>
            </w:pPr>
            <w:r>
              <w:rPr>
                <w:rFonts w:ascii="Times New Roman" w:hAnsi="Times New Roman" w:eastAsia="宋体" w:cs="Times New Roman"/>
                <w:b w:val="0"/>
                <w:bCs/>
                <w:color w:val="000000"/>
                <w:sz w:val="24"/>
              </w:rPr>
              <w:t>芜湖永达科技有限公司“压铸缸体技术改造升级项目”符合国家和地区产业政策，符合开发区规划要求。在严格落实本环评提出的环保对策及措施，执行“三同时”制度情况下，各项污染治理措施能够满足环保管理的要求，废气、废水、噪声、固体废物均能实现达标排放和合理处置，对大气环境、声环境、地表水环境的影响较小。从环境影响角度分析，该项目的建设是可行的。</w:t>
            </w:r>
          </w:p>
          <w:p>
            <w:pPr>
              <w:spacing w:line="360" w:lineRule="auto"/>
              <w:rPr>
                <w:rFonts w:hint="default" w:ascii="Times New Roman" w:hAnsi="Times New Roman" w:cs="Times New Roman"/>
                <w:b/>
                <w:bCs/>
                <w:sz w:val="24"/>
                <w:lang w:val="en-US" w:eastAsia="zh-CN"/>
              </w:rPr>
            </w:pPr>
            <w:r>
              <w:rPr>
                <w:rFonts w:hint="default" w:ascii="Times New Roman" w:hAnsi="Times New Roman" w:cs="Times New Roman"/>
                <w:b/>
                <w:bCs/>
                <w:sz w:val="24"/>
                <w:lang w:val="en-US" w:eastAsia="zh-CN"/>
              </w:rPr>
              <w:t>建议：</w:t>
            </w:r>
          </w:p>
          <w:p>
            <w:pPr>
              <w:spacing w:line="460" w:lineRule="exact"/>
              <w:ind w:firstLine="480" w:firstLineChars="200"/>
              <w:rPr>
                <w:rFonts w:ascii="Times New Roman" w:hAnsi="Times New Roman" w:eastAsia="宋体" w:cs="Times New Roman"/>
                <w:color w:val="000000"/>
                <w:sz w:val="24"/>
              </w:rPr>
            </w:pPr>
            <w:r>
              <w:rPr>
                <w:rFonts w:ascii="Times New Roman" w:hAnsi="Times New Roman" w:eastAsia="宋体" w:cs="Times New Roman"/>
                <w:color w:val="000000"/>
                <w:sz w:val="24"/>
              </w:rPr>
              <w:t>1.严格执行“三同时”制度，确保污染治理资金的落实和到位。加强管理，严格岗位责任制，确保治理设施长期、稳定、有效地运行。</w:t>
            </w:r>
          </w:p>
          <w:p>
            <w:pPr>
              <w:spacing w:line="460" w:lineRule="exact"/>
              <w:ind w:firstLine="480" w:firstLineChars="200"/>
              <w:rPr>
                <w:rFonts w:ascii="Times New Roman" w:hAnsi="Times New Roman" w:eastAsia="宋体" w:cs="Times New Roman"/>
                <w:color w:val="000000"/>
                <w:sz w:val="24"/>
              </w:rPr>
            </w:pPr>
            <w:r>
              <w:rPr>
                <w:rFonts w:ascii="Times New Roman" w:hAnsi="Times New Roman" w:eastAsia="宋体" w:cs="Times New Roman"/>
                <w:color w:val="000000"/>
                <w:sz w:val="24"/>
              </w:rPr>
              <w:t>2.对废气、废水处理设施加强日常维护与保养，确保日常正常运行，严禁带病运行。</w:t>
            </w:r>
          </w:p>
          <w:p>
            <w:pPr>
              <w:spacing w:line="460" w:lineRule="exact"/>
              <w:ind w:firstLine="480" w:firstLineChars="200"/>
              <w:rPr>
                <w:rFonts w:ascii="Times New Roman" w:hAnsi="Times New Roman" w:eastAsia="宋体" w:cs="Times New Roman"/>
                <w:color w:val="000000"/>
                <w:sz w:val="24"/>
              </w:rPr>
            </w:pPr>
            <w:r>
              <w:rPr>
                <w:rFonts w:ascii="Times New Roman" w:hAnsi="Times New Roman" w:eastAsia="宋体" w:cs="Times New Roman"/>
                <w:color w:val="000000"/>
                <w:sz w:val="24"/>
              </w:rPr>
              <w:t>3.落实各类固废处置的途径渠道，及时清运处理，不得产生二次污染。危险固废的临时存放需单独设置堆场，堆场必须有防渗、防漏、防雨、防挥发等措施。并设置标牌明示。</w:t>
            </w:r>
          </w:p>
          <w:p>
            <w:pPr>
              <w:spacing w:line="460" w:lineRule="exact"/>
              <w:ind w:firstLine="480" w:firstLineChars="200"/>
              <w:rPr>
                <w:rFonts w:ascii="Times New Roman" w:hAnsi="Times New Roman" w:eastAsia="宋体" w:cs="Times New Roman"/>
                <w:color w:val="000000"/>
                <w:sz w:val="24"/>
              </w:rPr>
            </w:pPr>
            <w:r>
              <w:rPr>
                <w:rFonts w:ascii="Times New Roman" w:hAnsi="Times New Roman" w:eastAsia="宋体" w:cs="Times New Roman"/>
                <w:color w:val="000000"/>
                <w:sz w:val="24"/>
              </w:rPr>
              <w:t>4.落实污水设施、危废暂存间、化学品仓库等重点防渗区域防渗措施，加强对职工的培训和安全教育，建立安全管理制度、预警及应急方案，杜绝污染地下水和土壤事故发生。</w:t>
            </w:r>
          </w:p>
          <w:p>
            <w:pPr>
              <w:spacing w:line="460" w:lineRule="exact"/>
              <w:ind w:firstLine="480" w:firstLineChars="200"/>
              <w:rPr>
                <w:rFonts w:ascii="Times New Roman" w:hAnsi="Times New Roman" w:eastAsia="宋体" w:cs="Times New Roman"/>
                <w:color w:val="000000"/>
                <w:sz w:val="24"/>
              </w:rPr>
            </w:pPr>
            <w:r>
              <w:rPr>
                <w:rFonts w:ascii="Times New Roman" w:hAnsi="Times New Roman" w:eastAsia="宋体" w:cs="Times New Roman"/>
                <w:color w:val="000000"/>
                <w:sz w:val="24"/>
              </w:rPr>
              <w:t>5.加强厂区、厂界绿化。</w:t>
            </w:r>
          </w:p>
          <w:p>
            <w:pPr>
              <w:spacing w:line="360" w:lineRule="auto"/>
              <w:rPr>
                <w:rFonts w:ascii="宋体" w:hAnsi="宋体"/>
                <w:b/>
                <w:sz w:val="24"/>
                <w:highlight w:val="none"/>
              </w:rPr>
            </w:pPr>
            <w:r>
              <w:rPr>
                <w:rFonts w:hint="eastAsia" w:ascii="宋体" w:hAnsi="宋体"/>
                <w:b/>
                <w:sz w:val="24"/>
                <w:highlight w:val="none"/>
              </w:rPr>
              <w:t>二、审批部门审批意见</w:t>
            </w:r>
          </w:p>
          <w:p>
            <w:pPr>
              <w:spacing w:line="360" w:lineRule="auto"/>
              <w:ind w:firstLine="480" w:firstLineChars="200"/>
              <w:jc w:val="left"/>
              <w:rPr>
                <w:rFonts w:hint="eastAsia" w:ascii="宋体" w:hAnsi="宋体"/>
                <w:sz w:val="24"/>
                <w:highlight w:val="none"/>
                <w:lang w:eastAsia="zh-CN"/>
              </w:rPr>
            </w:pPr>
            <w:r>
              <w:rPr>
                <w:rFonts w:hint="eastAsia" w:ascii="宋体" w:hAnsi="宋体"/>
                <w:sz w:val="24"/>
                <w:highlight w:val="none"/>
                <w:lang w:val="en-US" w:eastAsia="zh-CN"/>
              </w:rPr>
              <w:t>1、</w:t>
            </w:r>
            <w:r>
              <w:rPr>
                <w:rFonts w:hint="eastAsia" w:ascii="宋体" w:hAnsi="宋体"/>
                <w:sz w:val="24"/>
                <w:highlight w:val="none"/>
                <w:lang w:eastAsia="zh-CN"/>
              </w:rPr>
              <w:t>芜湖永达科技有限公司前期项目于2003年3月、2018年7月经我局审批(</w:t>
            </w:r>
            <w:r>
              <w:rPr>
                <w:rFonts w:hint="eastAsia" w:ascii="宋体" w:hAnsi="宋体"/>
                <w:sz w:val="24"/>
                <w:highlight w:val="none"/>
                <w:lang w:val="en-US" w:eastAsia="zh-CN"/>
              </w:rPr>
              <w:t>芜</w:t>
            </w:r>
            <w:r>
              <w:rPr>
                <w:rFonts w:hint="eastAsia" w:ascii="宋体" w:hAnsi="宋体"/>
                <w:sz w:val="24"/>
                <w:highlight w:val="none"/>
                <w:lang w:eastAsia="zh-CN"/>
              </w:rPr>
              <w:t>环评</w:t>
            </w:r>
            <w:r>
              <w:rPr>
                <w:rFonts w:hint="eastAsia" w:ascii="宋体" w:hAnsi="宋体"/>
                <w:color w:val="000000" w:themeColor="text1"/>
                <w:sz w:val="24"/>
                <w:highlight w:val="none"/>
                <w:lang w:val="en-US" w:eastAsia="zh-CN"/>
                <w14:textFill>
                  <w14:solidFill>
                    <w14:schemeClr w14:val="tx1"/>
                  </w14:solidFill>
                </w14:textFill>
              </w:rPr>
              <w:t>审</w:t>
            </w:r>
            <w:r>
              <w:rPr>
                <w:rFonts w:hint="eastAsia" w:ascii="宋体" w:hAnsi="宋体"/>
                <w:color w:val="000000" w:themeColor="text1"/>
                <w:sz w:val="24"/>
                <w:highlight w:val="none"/>
                <w:lang w:eastAsia="zh-CN"/>
                <w14:textFill>
                  <w14:solidFill>
                    <w14:schemeClr w14:val="tx1"/>
                  </w14:solidFill>
                </w14:textFill>
              </w:rPr>
              <w:t>[2018]</w:t>
            </w:r>
            <w:r>
              <w:rPr>
                <w:rFonts w:hint="eastAsia" w:ascii="宋体" w:hAnsi="宋体"/>
                <w:color w:val="000000" w:themeColor="text1"/>
                <w:sz w:val="24"/>
                <w:highlight w:val="none"/>
                <w:lang w:val="en-US" w:eastAsia="zh-CN"/>
                <w14:textFill>
                  <w14:solidFill>
                    <w14:schemeClr w14:val="tx1"/>
                  </w14:solidFill>
                </w14:textFill>
              </w:rPr>
              <w:t>1</w:t>
            </w:r>
            <w:r>
              <w:rPr>
                <w:rFonts w:hint="eastAsia" w:ascii="宋体" w:hAnsi="宋体"/>
                <w:color w:val="000000" w:themeColor="text1"/>
                <w:sz w:val="24"/>
                <w:highlight w:val="none"/>
                <w:lang w:eastAsia="zh-CN"/>
                <w14:textFill>
                  <w14:solidFill>
                    <w14:schemeClr w14:val="tx1"/>
                  </w14:solidFill>
                </w14:textFill>
              </w:rPr>
              <w:t>66号)。因企业发展，拟投资10641万元在荛湖市经济技术开发区长江北路250号厂址范</w:t>
            </w:r>
            <w:r>
              <w:rPr>
                <w:rFonts w:hint="eastAsia" w:ascii="宋体" w:hAnsi="宋体"/>
                <w:color w:val="000000" w:themeColor="text1"/>
                <w:sz w:val="24"/>
                <w:highlight w:val="none"/>
                <w:lang w:val="en-US" w:eastAsia="zh-CN"/>
                <w14:textFill>
                  <w14:solidFill>
                    <w14:schemeClr w14:val="tx1"/>
                  </w14:solidFill>
                </w14:textFill>
              </w:rPr>
              <w:t>围</w:t>
            </w:r>
            <w:r>
              <w:rPr>
                <w:rFonts w:hint="eastAsia" w:ascii="宋体" w:hAnsi="宋体"/>
                <w:color w:val="000000" w:themeColor="text1"/>
                <w:sz w:val="24"/>
                <w:highlight w:val="none"/>
                <w:lang w:eastAsia="zh-CN"/>
                <w14:textFill>
                  <w14:solidFill>
                    <w14:schemeClr w14:val="tx1"/>
                  </w14:solidFill>
                </w14:textFill>
              </w:rPr>
              <w:t>内建设压街缸休技术改造升级项目，依据</w:t>
            </w:r>
            <w:r>
              <w:rPr>
                <w:rFonts w:hint="eastAsia" w:ascii="宋体" w:hAnsi="宋体"/>
                <w:color w:val="000000" w:themeColor="text1"/>
                <w:sz w:val="24"/>
                <w:highlight w:val="none"/>
                <w:lang w:val="en-US" w:eastAsia="zh-CN"/>
                <w14:textFill>
                  <w14:solidFill>
                    <w14:schemeClr w14:val="tx1"/>
                  </w14:solidFill>
                </w14:textFill>
              </w:rPr>
              <w:t>芜</w:t>
            </w:r>
            <w:r>
              <w:rPr>
                <w:rFonts w:hint="eastAsia" w:ascii="宋体" w:hAnsi="宋体"/>
                <w:color w:val="000000" w:themeColor="text1"/>
                <w:sz w:val="24"/>
                <w:highlight w:val="none"/>
                <w:lang w:eastAsia="zh-CN"/>
                <w14:textFill>
                  <w14:solidFill>
                    <w14:schemeClr w14:val="tx1"/>
                  </w14:solidFill>
                </w14:textFill>
              </w:rPr>
              <w:t>湖市委市政府《关于全面打</w:t>
            </w:r>
            <w:r>
              <w:rPr>
                <w:rFonts w:hint="eastAsia" w:ascii="宋体" w:hAnsi="宋体"/>
                <w:color w:val="000000" w:themeColor="text1"/>
                <w:sz w:val="24"/>
                <w:highlight w:val="none"/>
                <w:lang w:val="en-US" w:eastAsia="zh-CN"/>
                <w14:textFill>
                  <w14:solidFill>
                    <w14:schemeClr w14:val="tx1"/>
                  </w14:solidFill>
                </w14:textFill>
              </w:rPr>
              <w:t>造</w:t>
            </w:r>
            <w:r>
              <w:rPr>
                <w:rFonts w:hint="eastAsia" w:ascii="宋体" w:hAnsi="宋体"/>
                <w:color w:val="000000" w:themeColor="text1"/>
                <w:sz w:val="24"/>
                <w:highlight w:val="none"/>
                <w:lang w:eastAsia="zh-CN"/>
                <w14:textFill>
                  <w14:solidFill>
                    <w14:schemeClr w14:val="tx1"/>
                  </w14:solidFill>
                </w14:textFill>
              </w:rPr>
              <w:t>水清</w:t>
            </w:r>
            <w:r>
              <w:rPr>
                <w:rFonts w:hint="eastAsia" w:ascii="宋体" w:hAnsi="宋体"/>
                <w:color w:val="000000" w:themeColor="text1"/>
                <w:sz w:val="24"/>
                <w:highlight w:val="none"/>
                <w:lang w:val="en-US" w:eastAsia="zh-CN"/>
                <w14:textFill>
                  <w14:solidFill>
                    <w14:schemeClr w14:val="tx1"/>
                  </w14:solidFill>
                </w14:textFill>
              </w:rPr>
              <w:t>岸</w:t>
            </w:r>
            <w:r>
              <w:rPr>
                <w:rFonts w:hint="eastAsia" w:ascii="宋体" w:hAnsi="宋体"/>
                <w:color w:val="000000" w:themeColor="text1"/>
                <w:sz w:val="24"/>
                <w:highlight w:val="none"/>
                <w:lang w:eastAsia="zh-CN"/>
                <w14:textFill>
                  <w14:solidFill>
                    <w14:schemeClr w14:val="tx1"/>
                  </w14:solidFill>
                </w14:textFill>
              </w:rPr>
              <w:t>绿</w:t>
            </w:r>
            <w:r>
              <w:rPr>
                <w:rFonts w:hint="eastAsia" w:ascii="宋体" w:hAnsi="宋体"/>
                <w:color w:val="000000" w:themeColor="text1"/>
                <w:sz w:val="24"/>
                <w:highlight w:val="none"/>
                <w:lang w:val="en-US" w:eastAsia="zh-CN"/>
                <w14:textFill>
                  <w14:solidFill>
                    <w14:schemeClr w14:val="tx1"/>
                  </w14:solidFill>
                </w14:textFill>
              </w:rPr>
              <w:t>产</w:t>
            </w:r>
            <w:r>
              <w:rPr>
                <w:rFonts w:hint="eastAsia" w:ascii="宋体" w:hAnsi="宋体"/>
                <w:color w:val="000000" w:themeColor="text1"/>
                <w:sz w:val="24"/>
                <w:highlight w:val="none"/>
                <w:lang w:eastAsia="zh-CN"/>
                <w14:textFill>
                  <w14:solidFill>
                    <w14:schemeClr w14:val="tx1"/>
                  </w14:solidFill>
                </w14:textFill>
              </w:rPr>
              <w:t>业美丽长江(</w:t>
            </w:r>
            <w:r>
              <w:rPr>
                <w:rFonts w:hint="eastAsia" w:ascii="宋体" w:hAnsi="宋体"/>
                <w:color w:val="000000" w:themeColor="text1"/>
                <w:sz w:val="24"/>
                <w:highlight w:val="none"/>
                <w:lang w:val="en-US" w:eastAsia="zh-CN"/>
                <w14:textFill>
                  <w14:solidFill>
                    <w14:schemeClr w14:val="tx1"/>
                  </w14:solidFill>
                </w14:textFill>
              </w:rPr>
              <w:t>芜</w:t>
            </w:r>
            <w:r>
              <w:rPr>
                <w:rFonts w:hint="eastAsia" w:ascii="宋体" w:hAnsi="宋体"/>
                <w:color w:val="000000" w:themeColor="text1"/>
                <w:sz w:val="24"/>
                <w:highlight w:val="none"/>
                <w:lang w:eastAsia="zh-CN"/>
                <w14:textFill>
                  <w14:solidFill>
                    <w14:schemeClr w14:val="tx1"/>
                  </w14:solidFill>
                </w14:textFill>
              </w:rPr>
              <w:t>湖)经济带的实施意见》(芜市发[2018]18号)精神</w:t>
            </w:r>
            <w:r>
              <w:rPr>
                <w:rFonts w:hint="eastAsia" w:ascii="宋体" w:hAnsi="宋体"/>
                <w:sz w:val="24"/>
                <w:highlight w:val="none"/>
                <w:lang w:eastAsia="zh-CN"/>
              </w:rPr>
              <w:t>，该项目在不</w:t>
            </w:r>
            <w:r>
              <w:rPr>
                <w:rFonts w:hint="eastAsia" w:ascii="宋体" w:hAnsi="宋体"/>
                <w:sz w:val="24"/>
                <w:highlight w:val="none"/>
                <w:lang w:val="en-US" w:eastAsia="zh-CN"/>
              </w:rPr>
              <w:t>增加</w:t>
            </w:r>
            <w:r>
              <w:rPr>
                <w:rFonts w:hint="eastAsia" w:ascii="宋体" w:hAnsi="宋体"/>
                <w:sz w:val="24"/>
                <w:highlight w:val="none"/>
                <w:lang w:eastAsia="zh-CN"/>
              </w:rPr>
              <w:t>产能前提下，淘汰老旧设备，降低能耗和生产成本，属于技术改造项目，该项目通过经开区会备案登记(开管秘[2018]466号)并经经开区投资促进局确认项目</w:t>
            </w:r>
            <w:r>
              <w:rPr>
                <w:rFonts w:hint="eastAsia" w:ascii="宋体" w:hAnsi="宋体"/>
                <w:sz w:val="24"/>
                <w:highlight w:val="none"/>
                <w:lang w:val="en-US" w:eastAsia="zh-CN"/>
              </w:rPr>
              <w:t>建</w:t>
            </w:r>
            <w:r>
              <w:rPr>
                <w:rFonts w:hint="eastAsia" w:ascii="宋体" w:hAnsi="宋体"/>
                <w:sz w:val="24"/>
                <w:highlight w:val="none"/>
                <w:lang w:eastAsia="zh-CN"/>
              </w:rPr>
              <w:t>设性质。</w:t>
            </w:r>
          </w:p>
          <w:p>
            <w:pPr>
              <w:spacing w:line="360" w:lineRule="auto"/>
              <w:ind w:firstLine="480" w:firstLineChars="200"/>
              <w:jc w:val="left"/>
              <w:rPr>
                <w:rFonts w:hint="eastAsia" w:ascii="宋体" w:hAnsi="宋体"/>
                <w:sz w:val="24"/>
                <w:highlight w:val="none"/>
                <w:lang w:eastAsia="zh-CN"/>
              </w:rPr>
            </w:pPr>
            <w:r>
              <w:rPr>
                <w:rFonts w:hint="eastAsia" w:ascii="宋体" w:hAnsi="宋体"/>
                <w:sz w:val="24"/>
                <w:highlight w:val="none"/>
                <w:lang w:val="en-US" w:eastAsia="zh-CN"/>
              </w:rPr>
              <w:t>根</w:t>
            </w:r>
            <w:r>
              <w:rPr>
                <w:rFonts w:hint="eastAsia" w:ascii="宋体" w:hAnsi="宋体"/>
                <w:sz w:val="24"/>
                <w:highlight w:val="none"/>
                <w:lang w:eastAsia="zh-CN"/>
              </w:rPr>
              <w:t>据《报告表》申报材料，结合评估意见、评审意见、修改审查意见、经开区生态环境分局初审意见和公开公示反馈意见，该项目建设符合当前国家产业政策要求.在全面落实《报</w:t>
            </w:r>
            <w:r>
              <w:rPr>
                <w:rFonts w:hint="eastAsia" w:ascii="宋体" w:hAnsi="宋体"/>
                <w:sz w:val="24"/>
                <w:highlight w:val="none"/>
                <w:lang w:val="en-US" w:eastAsia="zh-CN"/>
              </w:rPr>
              <w:t>告</w:t>
            </w:r>
            <w:r>
              <w:rPr>
                <w:rFonts w:hint="eastAsia" w:ascii="宋体" w:hAnsi="宋体"/>
                <w:sz w:val="24"/>
                <w:highlight w:val="none"/>
                <w:lang w:eastAsia="zh-CN"/>
              </w:rPr>
              <w:t>表》中提出的环境保护措施、已建项目环评及批复意见及本审批意见各项要求的前</w:t>
            </w:r>
            <w:r>
              <w:rPr>
                <w:rFonts w:hint="eastAsia" w:ascii="宋体" w:hAnsi="宋体"/>
                <w:sz w:val="24"/>
                <w:highlight w:val="none"/>
                <w:lang w:val="en-US" w:eastAsia="zh-CN"/>
              </w:rPr>
              <w:t>提</w:t>
            </w:r>
            <w:r>
              <w:rPr>
                <w:rFonts w:hint="eastAsia" w:ascii="宋体" w:hAnsi="宋体"/>
                <w:sz w:val="24"/>
                <w:highlight w:val="none"/>
                <w:lang w:eastAsia="zh-CN"/>
              </w:rPr>
              <w:t>下，从环境保护角度，我局原则同意你单位按照《报告表》所列建设项目的性质、规模、内容、</w:t>
            </w:r>
            <w:r>
              <w:rPr>
                <w:rFonts w:hint="eastAsia" w:ascii="宋体" w:hAnsi="宋体"/>
                <w:sz w:val="24"/>
                <w:highlight w:val="none"/>
                <w:lang w:val="en-US" w:eastAsia="zh-CN"/>
              </w:rPr>
              <w:t>地</w:t>
            </w:r>
            <w:r>
              <w:rPr>
                <w:rFonts w:hint="eastAsia" w:ascii="宋体" w:hAnsi="宋体"/>
                <w:sz w:val="24"/>
                <w:highlight w:val="none"/>
                <w:lang w:eastAsia="zh-CN"/>
              </w:rPr>
              <w:t>点、工程措施及环境保护对策实施该项目建设，项目建设地点、规模、工程措施或防治污染</w:t>
            </w:r>
            <w:r>
              <w:rPr>
                <w:rFonts w:hint="eastAsia" w:ascii="宋体" w:hAnsi="宋体"/>
                <w:sz w:val="24"/>
                <w:highlight w:val="none"/>
                <w:lang w:val="en-US" w:eastAsia="zh-CN"/>
              </w:rPr>
              <w:t>措施</w:t>
            </w:r>
            <w:r>
              <w:rPr>
                <w:rFonts w:hint="eastAsia" w:ascii="宋体" w:hAnsi="宋体"/>
                <w:sz w:val="24"/>
                <w:highlight w:val="none"/>
                <w:lang w:eastAsia="zh-CN"/>
              </w:rPr>
              <w:t>等发生重大变更时，应依法重新履行相关审批手续。</w:t>
            </w:r>
          </w:p>
          <w:p>
            <w:pPr>
              <w:spacing w:line="360" w:lineRule="auto"/>
              <w:ind w:firstLine="480" w:firstLineChars="200"/>
              <w:jc w:val="left"/>
              <w:rPr>
                <w:rFonts w:hint="eastAsia" w:ascii="宋体" w:hAnsi="宋体"/>
                <w:sz w:val="24"/>
                <w:highlight w:val="none"/>
                <w:lang w:eastAsia="zh-CN"/>
              </w:rPr>
            </w:pPr>
            <w:r>
              <w:rPr>
                <w:rFonts w:hint="eastAsia" w:ascii="宋体" w:hAnsi="宋体"/>
                <w:sz w:val="24"/>
                <w:highlight w:val="none"/>
                <w:lang w:eastAsia="zh-CN"/>
              </w:rPr>
              <w:t>2、加强大气污染防治。切实落实长三角地区、省、市相关大气污染防治行动计划实施方</w:t>
            </w:r>
            <w:r>
              <w:rPr>
                <w:rFonts w:hint="eastAsia" w:ascii="宋体" w:hAnsi="宋体"/>
                <w:sz w:val="24"/>
                <w:highlight w:val="none"/>
                <w:lang w:val="en-US" w:eastAsia="zh-CN"/>
              </w:rPr>
              <w:t>案</w:t>
            </w:r>
            <w:r>
              <w:rPr>
                <w:rFonts w:hint="eastAsia" w:ascii="宋体" w:hAnsi="宋体"/>
                <w:sz w:val="24"/>
                <w:highlight w:val="none"/>
                <w:lang w:eastAsia="zh-CN"/>
              </w:rPr>
              <w:t>以及国家和地方政府制定的冬防措施、重大活动保障措施、重污染天气应急措施、污染物特别排放限值等各项环境管理要求。压铸脱模环节有机废气应经有效收集治理，治理后废气和无组织废气外排满足河北省《工业企业挥发性有机物排放控制标准》(DB13/2322-2016)相关排放限值。机加工等环节一般废气经治理后外排执行《大气污染物综合排放标准》(GB16297-1996)相关标准限值。热处理不使用淬火油等溶剂。排放口符合规范化设置要求。定期开展自行监测。设置卫生防护距高50米。</w:t>
            </w:r>
          </w:p>
          <w:p>
            <w:pPr>
              <w:spacing w:line="360" w:lineRule="auto"/>
              <w:ind w:firstLine="480" w:firstLineChars="200"/>
              <w:jc w:val="left"/>
              <w:rPr>
                <w:rFonts w:hint="eastAsia" w:ascii="宋体" w:hAnsi="宋体" w:eastAsia="宋体"/>
                <w:sz w:val="24"/>
                <w:lang w:eastAsia="zh-CN"/>
              </w:rPr>
            </w:pPr>
            <w:r>
              <w:rPr>
                <w:rFonts w:hint="eastAsia" w:ascii="宋体" w:hAnsi="宋体"/>
                <w:sz w:val="24"/>
                <w:lang w:val="en-US" w:eastAsia="zh-CN"/>
              </w:rPr>
              <w:t>3、</w:t>
            </w:r>
            <w:r>
              <w:rPr>
                <w:rFonts w:hint="eastAsia" w:ascii="宋体" w:hAnsi="宋体"/>
                <w:sz w:val="24"/>
              </w:rPr>
              <w:t>加强水污染防治，落实雨污分流制度。淬火冷却水和气密封废水循环使用不外排</w:t>
            </w:r>
            <w:r>
              <w:rPr>
                <w:rFonts w:hint="eastAsia" w:ascii="宋体" w:hAnsi="宋体"/>
                <w:sz w:val="24"/>
                <w:lang w:eastAsia="zh-CN"/>
              </w:rPr>
              <w:t>。</w:t>
            </w:r>
          </w:p>
          <w:p>
            <w:pPr>
              <w:spacing w:line="360" w:lineRule="auto"/>
              <w:jc w:val="left"/>
              <w:rPr>
                <w:rFonts w:hint="eastAsia" w:ascii="宋体" w:hAnsi="宋体"/>
                <w:sz w:val="24"/>
              </w:rPr>
            </w:pPr>
            <w:r>
              <w:rPr>
                <w:rFonts w:hint="eastAsia" w:ascii="宋体" w:hAnsi="宋体"/>
                <w:sz w:val="24"/>
              </w:rPr>
              <w:t>脱模废水经厂区污水处理设施治理后，与经处理后生活污水一并外排、执行纳管协议及《污</w:t>
            </w:r>
          </w:p>
          <w:p>
            <w:pPr>
              <w:spacing w:line="360" w:lineRule="auto"/>
              <w:jc w:val="left"/>
              <w:rPr>
                <w:rFonts w:hint="eastAsia" w:ascii="宋体" w:hAnsi="宋体" w:eastAsia="宋体"/>
                <w:sz w:val="24"/>
                <w:lang w:eastAsia="zh-CN"/>
              </w:rPr>
            </w:pPr>
            <w:r>
              <w:rPr>
                <w:rFonts w:hint="eastAsia" w:ascii="宋体" w:hAnsi="宋体"/>
                <w:sz w:val="24"/>
              </w:rPr>
              <w:t>水</w:t>
            </w:r>
            <w:r>
              <w:rPr>
                <w:rFonts w:hint="eastAsia" w:ascii="宋体" w:hAnsi="宋体"/>
                <w:sz w:val="24"/>
                <w:lang w:val="en-US" w:eastAsia="zh-CN"/>
              </w:rPr>
              <w:t>综</w:t>
            </w:r>
            <w:r>
              <w:rPr>
                <w:rFonts w:hint="eastAsia" w:ascii="宋体" w:hAnsi="宋体"/>
                <w:sz w:val="24"/>
              </w:rPr>
              <w:t>合排放标准》(GB8978-1996)相应标准限值，并通过污水管网纳入区域污水处理厂集中处理，废水无法接入污水处理厂期间，不得生产。防渗区域及管网应满足防腐防渗要求</w:t>
            </w:r>
            <w:r>
              <w:rPr>
                <w:rFonts w:hint="eastAsia" w:ascii="宋体" w:hAnsi="宋体"/>
                <w:sz w:val="24"/>
                <w:lang w:eastAsia="zh-CN"/>
              </w:rPr>
              <w:t>。</w:t>
            </w:r>
          </w:p>
          <w:p>
            <w:pPr>
              <w:spacing w:line="360" w:lineRule="auto"/>
              <w:ind w:firstLine="480" w:firstLineChars="200"/>
              <w:jc w:val="left"/>
              <w:rPr>
                <w:rFonts w:hint="eastAsia" w:ascii="宋体" w:hAnsi="宋体" w:eastAsia="宋体"/>
                <w:sz w:val="24"/>
                <w:lang w:eastAsia="zh-CN"/>
              </w:rPr>
            </w:pPr>
            <w:r>
              <w:rPr>
                <w:rFonts w:hint="eastAsia" w:ascii="宋体" w:hAnsi="宋体"/>
                <w:sz w:val="24"/>
              </w:rPr>
              <w:t>4、加强噪声污染防治。选用低噪设备，并针对性地分别采取隔声、消声、减振措施降</w:t>
            </w:r>
            <w:r>
              <w:rPr>
                <w:rFonts w:hint="eastAsia" w:ascii="宋体" w:hAnsi="宋体"/>
                <w:sz w:val="24"/>
                <w:lang w:val="en-US" w:eastAsia="zh-CN"/>
              </w:rPr>
              <w:t>低</w:t>
            </w:r>
            <w:r>
              <w:rPr>
                <w:rFonts w:hint="eastAsia" w:ascii="宋体" w:hAnsi="宋体"/>
                <w:sz w:val="24"/>
              </w:rPr>
              <w:t>噪声，噪声外排执行《工业企业厂界环境噪声排放标准》(GB12348-2008)中3类标准限值</w:t>
            </w:r>
            <w:r>
              <w:rPr>
                <w:rFonts w:hint="eastAsia" w:ascii="宋体" w:hAnsi="宋体"/>
                <w:sz w:val="24"/>
                <w:lang w:eastAsia="zh-CN"/>
              </w:rPr>
              <w:t>。</w:t>
            </w:r>
            <w:r>
              <w:rPr>
                <w:rFonts w:hint="eastAsia" w:ascii="宋体" w:hAnsi="宋体"/>
                <w:sz w:val="24"/>
              </w:rPr>
              <w:t>对周边环境保护目标声环境影响须控制在《声环境质量标准》(GB3096-2008)相应标准</w:t>
            </w:r>
            <w:r>
              <w:rPr>
                <w:rFonts w:hint="eastAsia" w:ascii="宋体" w:hAnsi="宋体"/>
                <w:sz w:val="24"/>
                <w:lang w:val="en-US" w:eastAsia="zh-CN"/>
              </w:rPr>
              <w:t>限</w:t>
            </w:r>
            <w:r>
              <w:rPr>
                <w:rFonts w:hint="eastAsia" w:ascii="宋体" w:hAnsi="宋体"/>
                <w:sz w:val="24"/>
              </w:rPr>
              <w:t>值以下</w:t>
            </w:r>
            <w:r>
              <w:rPr>
                <w:rFonts w:hint="eastAsia" w:ascii="宋体" w:hAnsi="宋体"/>
                <w:sz w:val="24"/>
                <w:lang w:eastAsia="zh-CN"/>
              </w:rPr>
              <w:t>。</w:t>
            </w:r>
          </w:p>
          <w:p>
            <w:pPr>
              <w:spacing w:line="360" w:lineRule="auto"/>
              <w:ind w:firstLine="480" w:firstLineChars="200"/>
              <w:jc w:val="left"/>
              <w:rPr>
                <w:rFonts w:hint="eastAsia" w:ascii="宋体" w:hAnsi="宋体" w:eastAsia="宋体"/>
                <w:sz w:val="24"/>
                <w:lang w:eastAsia="zh-CN"/>
              </w:rPr>
            </w:pPr>
            <w:r>
              <w:rPr>
                <w:rFonts w:hint="eastAsia" w:ascii="宋体" w:hAnsi="宋体"/>
                <w:sz w:val="24"/>
              </w:rPr>
              <w:t>5、加强固废污染防治。一般工业固废应分类收集，落实回收利用途径。生活垃圾应统</w:t>
            </w:r>
            <w:r>
              <w:rPr>
                <w:rFonts w:hint="eastAsia" w:ascii="宋体" w:hAnsi="宋体"/>
                <w:sz w:val="24"/>
                <w:lang w:val="en-US" w:eastAsia="zh-CN"/>
              </w:rPr>
              <w:t>一</w:t>
            </w:r>
            <w:r>
              <w:rPr>
                <w:rFonts w:hint="eastAsia" w:ascii="宋体" w:hAnsi="宋体"/>
                <w:sz w:val="24"/>
              </w:rPr>
              <w:t>收集交环卫部门及时清运，以免产生二次污染。属危险废物的，建设单位必须委托有相应资质的单位按照国家有关规定妥善处理处置并做好防渗防腐措施。公司内临时贮存设施建设需符合《危险废物贮存污染控制标准》(GB18597-2001)及其修改单有关规定</w:t>
            </w:r>
            <w:r>
              <w:rPr>
                <w:rFonts w:hint="eastAsia" w:ascii="宋体" w:hAnsi="宋体"/>
                <w:sz w:val="24"/>
                <w:lang w:eastAsia="zh-CN"/>
              </w:rPr>
              <w:t>。</w:t>
            </w:r>
          </w:p>
          <w:p>
            <w:pPr>
              <w:spacing w:line="360" w:lineRule="auto"/>
              <w:ind w:firstLine="480" w:firstLineChars="200"/>
              <w:jc w:val="left"/>
              <w:rPr>
                <w:rFonts w:hint="eastAsia" w:ascii="宋体" w:hAnsi="宋体" w:eastAsia="宋体"/>
                <w:sz w:val="24"/>
                <w:lang w:eastAsia="zh-CN"/>
              </w:rPr>
            </w:pPr>
            <w:r>
              <w:rPr>
                <w:rFonts w:hint="eastAsia" w:ascii="宋体" w:hAnsi="宋体"/>
                <w:sz w:val="24"/>
              </w:rPr>
              <w:t>6、企业应建立健全各项环保规章制度和岗位责任制制定环境风险事故应急预案，落实</w:t>
            </w:r>
            <w:r>
              <w:rPr>
                <w:rFonts w:hint="eastAsia" w:ascii="宋体" w:hAnsi="宋体"/>
                <w:sz w:val="24"/>
                <w:lang w:val="en-US" w:eastAsia="zh-CN"/>
              </w:rPr>
              <w:t>环境</w:t>
            </w:r>
            <w:r>
              <w:rPr>
                <w:rFonts w:hint="eastAsia" w:ascii="宋体" w:hAnsi="宋体"/>
                <w:sz w:val="24"/>
              </w:rPr>
              <w:t>风险事故应急防范措施。及时有效应对施工和运营期间可能导致的突发环境污染事件</w:t>
            </w:r>
            <w:r>
              <w:rPr>
                <w:rFonts w:hint="eastAsia" w:ascii="宋体" w:hAnsi="宋体"/>
                <w:sz w:val="24"/>
                <w:lang w:eastAsia="zh-CN"/>
              </w:rPr>
              <w:t>，</w:t>
            </w:r>
            <w:r>
              <w:rPr>
                <w:rFonts w:hint="eastAsia" w:ascii="宋体" w:hAnsi="宋体"/>
                <w:sz w:val="24"/>
              </w:rPr>
              <w:t>加强对危险废物运输、收集、贮存过程的管理，确保环保设施稳定正常运行，杜绝跑、冒、滴、漏现象</w:t>
            </w:r>
            <w:r>
              <w:rPr>
                <w:rFonts w:hint="eastAsia" w:ascii="宋体" w:hAnsi="宋体"/>
                <w:sz w:val="24"/>
                <w:lang w:eastAsia="zh-CN"/>
              </w:rPr>
              <w:t>。</w:t>
            </w:r>
          </w:p>
          <w:p>
            <w:pPr>
              <w:spacing w:line="360" w:lineRule="auto"/>
              <w:ind w:firstLine="480" w:firstLineChars="200"/>
              <w:jc w:val="left"/>
              <w:rPr>
                <w:rFonts w:hint="eastAsia" w:ascii="宋体" w:hAnsi="宋体"/>
                <w:sz w:val="24"/>
                <w:lang w:val="en-US" w:eastAsia="zh-CN"/>
              </w:rPr>
            </w:pPr>
            <w:r>
              <w:rPr>
                <w:rFonts w:hint="eastAsia" w:ascii="宋体" w:hAnsi="宋体"/>
                <w:sz w:val="24"/>
              </w:rPr>
              <w:t>7、项目实施过程中应按照“达标排放、清洁生产、总量控制”原则，严格执行配套建设的环境保护设施与主体工程同时设计、同时施工、同时投产使用的环境保护“三同时”</w:t>
            </w:r>
            <w:r>
              <w:rPr>
                <w:rFonts w:hint="eastAsia" w:ascii="宋体" w:hAnsi="宋体"/>
                <w:sz w:val="24"/>
                <w:lang w:val="en-US" w:eastAsia="zh-CN"/>
              </w:rPr>
              <w:t>制</w:t>
            </w:r>
            <w:r>
              <w:rPr>
                <w:rFonts w:hint="eastAsia" w:ascii="宋体" w:hAnsi="宋体"/>
                <w:sz w:val="24"/>
              </w:rPr>
              <w:t>度</w:t>
            </w:r>
            <w:r>
              <w:rPr>
                <w:rFonts w:hint="eastAsia" w:ascii="宋体" w:hAnsi="宋体"/>
                <w:sz w:val="24"/>
                <w:lang w:eastAsia="zh-CN"/>
              </w:rPr>
              <w:t>。</w:t>
            </w:r>
            <w:r>
              <w:rPr>
                <w:rFonts w:hint="eastAsia" w:ascii="宋体" w:hAnsi="宋体"/>
                <w:sz w:val="24"/>
              </w:rPr>
              <w:t>项目竣工后，建设单位应当按照《建设项目环境保护管理条例》(国务院第682号令)要求，验收配套建设的环境保护设施，并依法向社会公开验收报告</w:t>
            </w:r>
            <w:r>
              <w:rPr>
                <w:rFonts w:hint="eastAsia" w:ascii="宋体" w:hAnsi="宋体"/>
                <w:sz w:val="24"/>
                <w:lang w:eastAsia="zh-CN"/>
              </w:rPr>
              <w:t>。</w:t>
            </w:r>
            <w:r>
              <w:rPr>
                <w:rFonts w:hint="eastAsia" w:ascii="宋体" w:hAnsi="宋体"/>
                <w:sz w:val="24"/>
                <w:lang w:val="en-US" w:eastAsia="zh-CN"/>
              </w:rPr>
              <w:t>未经验收或验收不合格的不得投入生产、使用。</w:t>
            </w:r>
          </w:p>
          <w:p>
            <w:pPr>
              <w:spacing w:line="360" w:lineRule="auto"/>
              <w:jc w:val="left"/>
              <w:rPr>
                <w:rFonts w:ascii="宋体" w:hAnsi="宋体"/>
                <w:sz w:val="24"/>
              </w:rPr>
            </w:pPr>
            <w:r>
              <w:rPr>
                <w:rFonts w:ascii="宋体" w:hAnsi="宋体"/>
                <w:sz w:val="24"/>
              </w:rPr>
              <w:t xml:space="preserve">                                                                                                                                                                                                                                                                                                              </w:t>
            </w:r>
          </w:p>
        </w:tc>
      </w:tr>
    </w:tbl>
    <w:p>
      <w:pPr>
        <w:rPr>
          <w:b/>
          <w:sz w:val="28"/>
          <w:szCs w:val="28"/>
        </w:rPr>
        <w:sectPr>
          <w:pgSz w:w="11906" w:h="16838"/>
          <w:pgMar w:top="1588" w:right="1418" w:bottom="1418" w:left="1418" w:header="851" w:footer="992" w:gutter="0"/>
          <w:pgBorders>
            <w:top w:val="none" w:sz="0" w:space="0"/>
            <w:left w:val="none" w:sz="0" w:space="0"/>
            <w:bottom w:val="none" w:sz="0" w:space="0"/>
            <w:right w:val="none" w:sz="0" w:space="0"/>
          </w:pgBorders>
          <w:cols w:space="425" w:num="1"/>
          <w:docGrid w:type="lines" w:linePitch="312" w:charSpace="0"/>
        </w:sectPr>
      </w:pPr>
    </w:p>
    <w:p>
      <w:pPr>
        <w:rPr>
          <w:b/>
          <w:sz w:val="28"/>
          <w:szCs w:val="28"/>
          <w:highlight w:val="none"/>
        </w:rPr>
      </w:pPr>
      <w:r>
        <w:rPr>
          <w:rFonts w:hint="eastAsia"/>
          <w:b/>
          <w:sz w:val="28"/>
          <w:szCs w:val="28"/>
          <w:highlight w:val="none"/>
        </w:rPr>
        <w:t>表五</w:t>
      </w:r>
    </w:p>
    <w:tbl>
      <w:tblPr>
        <w:tblStyle w:val="33"/>
        <w:tblW w:w="9503"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10084"/>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2011" w:hRule="atLeast"/>
          <w:jc w:val="center"/>
        </w:trPr>
        <w:tc>
          <w:tcPr>
            <w:tcW w:w="9503" w:type="dxa"/>
            <w:vAlign w:val="center"/>
          </w:tcPr>
          <w:p>
            <w:pPr>
              <w:spacing w:line="360" w:lineRule="auto"/>
              <w:jc w:val="left"/>
              <w:rPr>
                <w:rFonts w:hint="default" w:ascii="Times New Roman" w:hAnsi="Times New Roman" w:eastAsia="宋体" w:cs="Times New Roman"/>
                <w:b/>
                <w:sz w:val="28"/>
                <w:szCs w:val="28"/>
                <w:highlight w:val="none"/>
              </w:rPr>
            </w:pPr>
            <w:r>
              <w:rPr>
                <w:rFonts w:hint="default" w:ascii="Times New Roman" w:hAnsi="Times New Roman" w:eastAsia="宋体" w:cs="Times New Roman"/>
                <w:b/>
                <w:sz w:val="28"/>
                <w:szCs w:val="28"/>
                <w:highlight w:val="none"/>
              </w:rPr>
              <w:t>验收监测质量保证及质量控制：</w:t>
            </w:r>
          </w:p>
          <w:p>
            <w:pPr>
              <w:spacing w:line="360" w:lineRule="auto"/>
              <w:jc w:val="left"/>
              <w:rPr>
                <w:rFonts w:hint="default" w:ascii="Times New Roman" w:hAnsi="Times New Roman" w:eastAsia="宋体" w:cs="Times New Roman"/>
                <w:b/>
                <w:sz w:val="28"/>
                <w:szCs w:val="28"/>
                <w:highlight w:val="none"/>
              </w:rPr>
            </w:pPr>
            <w:r>
              <w:rPr>
                <w:rFonts w:hint="default" w:ascii="Times New Roman" w:hAnsi="Times New Roman" w:eastAsia="宋体" w:cs="Times New Roman"/>
                <w:b/>
                <w:sz w:val="28"/>
                <w:szCs w:val="28"/>
                <w:highlight w:val="none"/>
              </w:rPr>
              <w:t>1、监测分析方法</w:t>
            </w:r>
          </w:p>
          <w:p>
            <w:pPr>
              <w:jc w:val="center"/>
              <w:rPr>
                <w:rFonts w:hint="default" w:ascii="Times New Roman" w:hAnsi="Times New Roman" w:eastAsia="宋体" w:cs="Times New Roman"/>
                <w:b/>
                <w:sz w:val="24"/>
                <w:highlight w:val="none"/>
              </w:rPr>
            </w:pPr>
            <w:r>
              <w:rPr>
                <w:rFonts w:hint="default" w:ascii="Times New Roman" w:hAnsi="Times New Roman" w:eastAsia="宋体" w:cs="Times New Roman"/>
                <w:b/>
                <w:sz w:val="24"/>
                <w:highlight w:val="none"/>
              </w:rPr>
              <w:t>表5-1  监测分析方法及方法来源</w:t>
            </w:r>
          </w:p>
          <w:tbl>
            <w:tblPr>
              <w:tblStyle w:val="32"/>
              <w:tblW w:w="0" w:type="auto"/>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772"/>
              <w:gridCol w:w="1920"/>
              <w:gridCol w:w="6595"/>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86" w:hRule="atLeast"/>
              </w:trPr>
              <w:tc>
                <w:tcPr>
                  <w:tcW w:w="772" w:type="dxa"/>
                  <w:vAlign w:val="center"/>
                </w:tcPr>
                <w:p>
                  <w:pPr>
                    <w:spacing w:line="320" w:lineRule="exact"/>
                    <w:jc w:val="center"/>
                    <w:rPr>
                      <w:rFonts w:hint="default" w:ascii="Times New Roman" w:hAnsi="Times New Roman" w:eastAsia="宋体" w:cs="Times New Roman"/>
                      <w:b/>
                      <w:szCs w:val="21"/>
                      <w:highlight w:val="none"/>
                    </w:rPr>
                  </w:pPr>
                  <w:bookmarkStart w:id="7" w:name="_Hlk6244045"/>
                  <w:r>
                    <w:rPr>
                      <w:rFonts w:hint="default" w:ascii="Times New Roman" w:hAnsi="Times New Roman" w:eastAsia="宋体" w:cs="Times New Roman"/>
                      <w:b/>
                      <w:szCs w:val="21"/>
                      <w:highlight w:val="none"/>
                    </w:rPr>
                    <w:t>类别</w:t>
                  </w:r>
                </w:p>
              </w:tc>
              <w:tc>
                <w:tcPr>
                  <w:tcW w:w="1920" w:type="dxa"/>
                  <w:vAlign w:val="center"/>
                </w:tcPr>
                <w:p>
                  <w:pPr>
                    <w:spacing w:line="320" w:lineRule="exact"/>
                    <w:jc w:val="center"/>
                    <w:rPr>
                      <w:rFonts w:hint="default" w:ascii="Times New Roman" w:hAnsi="Times New Roman" w:eastAsia="宋体" w:cs="Times New Roman"/>
                      <w:b/>
                      <w:szCs w:val="21"/>
                      <w:highlight w:val="none"/>
                    </w:rPr>
                  </w:pPr>
                  <w:r>
                    <w:rPr>
                      <w:rFonts w:hint="default" w:ascii="Times New Roman" w:hAnsi="Times New Roman" w:eastAsia="宋体" w:cs="Times New Roman"/>
                      <w:b/>
                      <w:szCs w:val="21"/>
                      <w:highlight w:val="none"/>
                    </w:rPr>
                    <w:t>项目</w:t>
                  </w:r>
                </w:p>
              </w:tc>
              <w:tc>
                <w:tcPr>
                  <w:tcW w:w="6595" w:type="dxa"/>
                  <w:vAlign w:val="center"/>
                </w:tcPr>
                <w:p>
                  <w:pPr>
                    <w:spacing w:line="320" w:lineRule="exact"/>
                    <w:jc w:val="center"/>
                    <w:rPr>
                      <w:rFonts w:hint="default" w:ascii="Times New Roman" w:hAnsi="Times New Roman" w:eastAsia="宋体" w:cs="Times New Roman"/>
                      <w:b/>
                      <w:szCs w:val="21"/>
                      <w:highlight w:val="none"/>
                    </w:rPr>
                  </w:pPr>
                  <w:r>
                    <w:rPr>
                      <w:rFonts w:hint="default" w:ascii="Times New Roman" w:hAnsi="Times New Roman" w:eastAsia="宋体" w:cs="Times New Roman"/>
                      <w:b/>
                      <w:szCs w:val="21"/>
                      <w:highlight w:val="none"/>
                    </w:rPr>
                    <w:t>分析标准</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86" w:hRule="atLeast"/>
              </w:trPr>
              <w:tc>
                <w:tcPr>
                  <w:tcW w:w="772" w:type="dxa"/>
                  <w:vMerge w:val="restart"/>
                  <w:vAlign w:val="center"/>
                </w:tcPr>
                <w:p>
                  <w:pPr>
                    <w:spacing w:line="320" w:lineRule="exact"/>
                    <w:jc w:val="center"/>
                    <w:rPr>
                      <w:rFonts w:hint="default" w:ascii="Times New Roman" w:hAnsi="Times New Roman" w:eastAsia="宋体" w:cs="Times New Roman"/>
                      <w:bCs/>
                      <w:szCs w:val="21"/>
                      <w:highlight w:val="none"/>
                    </w:rPr>
                  </w:pPr>
                  <w:r>
                    <w:rPr>
                      <w:rFonts w:hint="default" w:ascii="Times New Roman" w:hAnsi="Times New Roman" w:eastAsia="宋体" w:cs="Times New Roman"/>
                      <w:bCs/>
                      <w:szCs w:val="21"/>
                      <w:highlight w:val="none"/>
                    </w:rPr>
                    <w:t>废水</w:t>
                  </w:r>
                </w:p>
              </w:tc>
              <w:tc>
                <w:tcPr>
                  <w:tcW w:w="1920" w:type="dxa"/>
                  <w:vAlign w:val="center"/>
                </w:tcPr>
                <w:p>
                  <w:pPr>
                    <w:widowControl/>
                    <w:jc w:val="center"/>
                    <w:rPr>
                      <w:rFonts w:hint="default" w:ascii="Times New Roman" w:hAnsi="Times New Roman" w:eastAsia="宋体" w:cs="Times New Roman"/>
                      <w:color w:val="000000"/>
                      <w:szCs w:val="21"/>
                      <w:highlight w:val="none"/>
                    </w:rPr>
                  </w:pPr>
                  <w:r>
                    <w:rPr>
                      <w:rFonts w:hint="default" w:ascii="Times New Roman" w:hAnsi="Times New Roman" w:eastAsia="宋体" w:cs="Times New Roman"/>
                      <w:color w:val="000000" w:themeColor="text1"/>
                      <w:szCs w:val="21"/>
                      <w:highlight w:val="none"/>
                      <w14:textFill>
                        <w14:solidFill>
                          <w14:schemeClr w14:val="tx1"/>
                        </w14:solidFill>
                      </w14:textFill>
                    </w:rPr>
                    <w:t>pH</w:t>
                  </w:r>
                  <w:r>
                    <w:rPr>
                      <w:rFonts w:hint="default" w:ascii="Times New Roman" w:hAnsi="Times New Roman" w:eastAsia="宋体" w:cs="Times New Roman"/>
                      <w:color w:val="000000"/>
                      <w:szCs w:val="21"/>
                      <w:highlight w:val="none"/>
                    </w:rPr>
                    <w:t>值</w:t>
                  </w:r>
                </w:p>
              </w:tc>
              <w:tc>
                <w:tcPr>
                  <w:tcW w:w="6595" w:type="dxa"/>
                  <w:vAlign w:val="center"/>
                </w:tcPr>
                <w:p>
                  <w:pPr>
                    <w:widowControl/>
                    <w:jc w:val="left"/>
                    <w:rPr>
                      <w:rFonts w:hint="default" w:ascii="Times New Roman" w:hAnsi="Times New Roman" w:eastAsia="宋体" w:cs="Times New Roman"/>
                      <w:color w:val="000000" w:themeColor="text1"/>
                      <w:szCs w:val="21"/>
                      <w:highlight w:val="none"/>
                      <w14:textFill>
                        <w14:solidFill>
                          <w14:schemeClr w14:val="tx1"/>
                        </w14:solidFill>
                      </w14:textFill>
                    </w:rPr>
                  </w:pPr>
                  <w:r>
                    <w:rPr>
                      <w:rFonts w:hint="default" w:ascii="Times New Roman" w:hAnsi="Times New Roman" w:eastAsia="宋体" w:cs="Times New Roman"/>
                      <w:color w:val="000000" w:themeColor="text1"/>
                      <w:szCs w:val="21"/>
                      <w:highlight w:val="none"/>
                      <w14:textFill>
                        <w14:solidFill>
                          <w14:schemeClr w14:val="tx1"/>
                        </w14:solidFill>
                      </w14:textFill>
                    </w:rPr>
                    <w:t>便携式pH计法 《水和废水监测分析方法》(第四版)国家环保总局（2002年）</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86" w:hRule="atLeast"/>
              </w:trPr>
              <w:tc>
                <w:tcPr>
                  <w:tcW w:w="772" w:type="dxa"/>
                  <w:vMerge w:val="continue"/>
                  <w:vAlign w:val="center"/>
                </w:tcPr>
                <w:p>
                  <w:pPr>
                    <w:spacing w:line="320" w:lineRule="exact"/>
                    <w:jc w:val="center"/>
                    <w:rPr>
                      <w:rFonts w:hint="default" w:ascii="Times New Roman" w:hAnsi="Times New Roman" w:eastAsia="宋体" w:cs="Times New Roman"/>
                      <w:bCs/>
                      <w:szCs w:val="21"/>
                      <w:highlight w:val="none"/>
                    </w:rPr>
                  </w:pPr>
                </w:p>
              </w:tc>
              <w:tc>
                <w:tcPr>
                  <w:tcW w:w="1920" w:type="dxa"/>
                  <w:vAlign w:val="center"/>
                </w:tcPr>
                <w:p>
                  <w:pPr>
                    <w:jc w:val="center"/>
                    <w:rPr>
                      <w:rFonts w:hint="default" w:ascii="Times New Roman" w:hAnsi="Times New Roman" w:eastAsia="宋体" w:cs="Times New Roman"/>
                      <w:color w:val="000000"/>
                      <w:szCs w:val="21"/>
                      <w:highlight w:val="none"/>
                    </w:rPr>
                  </w:pPr>
                  <w:r>
                    <w:rPr>
                      <w:rFonts w:hint="default" w:ascii="Times New Roman" w:hAnsi="Times New Roman" w:eastAsia="宋体" w:cs="Times New Roman"/>
                      <w:color w:val="000000"/>
                      <w:szCs w:val="21"/>
                      <w:highlight w:val="none"/>
                    </w:rPr>
                    <w:t>生化需氧量</w:t>
                  </w:r>
                </w:p>
              </w:tc>
              <w:tc>
                <w:tcPr>
                  <w:tcW w:w="6595" w:type="dxa"/>
                  <w:vAlign w:val="center"/>
                </w:tcPr>
                <w:p>
                  <w:pPr>
                    <w:jc w:val="left"/>
                    <w:rPr>
                      <w:rFonts w:hint="default" w:ascii="Times New Roman" w:hAnsi="Times New Roman" w:eastAsia="宋体" w:cs="Times New Roman"/>
                      <w:color w:val="000000"/>
                      <w:szCs w:val="21"/>
                      <w:highlight w:val="none"/>
                    </w:rPr>
                  </w:pPr>
                  <w:r>
                    <w:rPr>
                      <w:rFonts w:hint="default" w:ascii="Times New Roman" w:hAnsi="Times New Roman" w:eastAsia="宋体" w:cs="Times New Roman"/>
                      <w:color w:val="000000"/>
                      <w:szCs w:val="21"/>
                      <w:highlight w:val="none"/>
                    </w:rPr>
                    <w:t>水质 五日生化需氧量（BOD</w:t>
                  </w:r>
                  <w:r>
                    <w:rPr>
                      <w:rFonts w:hint="default" w:ascii="Times New Roman" w:hAnsi="Times New Roman" w:eastAsia="宋体" w:cs="Times New Roman"/>
                      <w:color w:val="000000"/>
                      <w:szCs w:val="21"/>
                      <w:highlight w:val="none"/>
                      <w:vertAlign w:val="subscript"/>
                    </w:rPr>
                    <w:t>5</w:t>
                  </w:r>
                  <w:r>
                    <w:rPr>
                      <w:rFonts w:hint="default" w:ascii="Times New Roman" w:hAnsi="Times New Roman" w:eastAsia="宋体" w:cs="Times New Roman"/>
                      <w:color w:val="000000"/>
                      <w:szCs w:val="21"/>
                      <w:highlight w:val="none"/>
                    </w:rPr>
                    <w:t>）的测定 稀释与接种法 HJ 505-2009</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86" w:hRule="atLeast"/>
              </w:trPr>
              <w:tc>
                <w:tcPr>
                  <w:tcW w:w="772" w:type="dxa"/>
                  <w:vMerge w:val="continue"/>
                  <w:vAlign w:val="center"/>
                </w:tcPr>
                <w:p>
                  <w:pPr>
                    <w:spacing w:line="320" w:lineRule="exact"/>
                    <w:jc w:val="center"/>
                    <w:rPr>
                      <w:rFonts w:hint="default" w:ascii="Times New Roman" w:hAnsi="Times New Roman" w:eastAsia="宋体" w:cs="Times New Roman"/>
                      <w:bCs/>
                      <w:szCs w:val="21"/>
                      <w:highlight w:val="none"/>
                    </w:rPr>
                  </w:pPr>
                </w:p>
              </w:tc>
              <w:tc>
                <w:tcPr>
                  <w:tcW w:w="1920" w:type="dxa"/>
                  <w:vAlign w:val="center"/>
                </w:tcPr>
                <w:p>
                  <w:pPr>
                    <w:jc w:val="center"/>
                    <w:rPr>
                      <w:rFonts w:hint="default" w:ascii="Times New Roman" w:hAnsi="Times New Roman" w:eastAsia="宋体" w:cs="Times New Roman"/>
                      <w:color w:val="000000"/>
                      <w:szCs w:val="21"/>
                      <w:highlight w:val="none"/>
                    </w:rPr>
                  </w:pPr>
                  <w:r>
                    <w:rPr>
                      <w:rFonts w:hint="default" w:ascii="Times New Roman" w:hAnsi="Times New Roman" w:eastAsia="宋体" w:cs="Times New Roman"/>
                      <w:color w:val="000000"/>
                      <w:szCs w:val="21"/>
                      <w:highlight w:val="none"/>
                    </w:rPr>
                    <w:t>化学需氧量</w:t>
                  </w:r>
                </w:p>
              </w:tc>
              <w:tc>
                <w:tcPr>
                  <w:tcW w:w="6595" w:type="dxa"/>
                  <w:vAlign w:val="center"/>
                </w:tcPr>
                <w:p>
                  <w:pPr>
                    <w:jc w:val="left"/>
                    <w:rPr>
                      <w:rFonts w:hint="default" w:ascii="Times New Roman" w:hAnsi="Times New Roman" w:eastAsia="宋体" w:cs="Times New Roman"/>
                      <w:szCs w:val="21"/>
                      <w:highlight w:val="none"/>
                    </w:rPr>
                  </w:pPr>
                  <w:r>
                    <w:rPr>
                      <w:rFonts w:hint="default" w:ascii="Times New Roman" w:hAnsi="Times New Roman" w:eastAsia="宋体" w:cs="Times New Roman"/>
                      <w:szCs w:val="21"/>
                      <w:highlight w:val="none"/>
                    </w:rPr>
                    <w:t>水质 化学需氧量的测定 重铬酸盐法 HJ 828-2017</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cantSplit/>
                <w:trHeight w:val="386" w:hRule="atLeast"/>
              </w:trPr>
              <w:tc>
                <w:tcPr>
                  <w:tcW w:w="772" w:type="dxa"/>
                  <w:vMerge w:val="continue"/>
                  <w:vAlign w:val="center"/>
                </w:tcPr>
                <w:p>
                  <w:pPr>
                    <w:spacing w:line="320" w:lineRule="exact"/>
                    <w:jc w:val="center"/>
                    <w:rPr>
                      <w:rFonts w:hint="default" w:ascii="Times New Roman" w:hAnsi="Times New Roman" w:eastAsia="宋体" w:cs="Times New Roman"/>
                      <w:bCs/>
                      <w:szCs w:val="21"/>
                      <w:highlight w:val="none"/>
                    </w:rPr>
                  </w:pPr>
                </w:p>
              </w:tc>
              <w:tc>
                <w:tcPr>
                  <w:tcW w:w="1920" w:type="dxa"/>
                  <w:vAlign w:val="center"/>
                </w:tcPr>
                <w:p>
                  <w:pPr>
                    <w:jc w:val="center"/>
                    <w:rPr>
                      <w:rFonts w:hint="default" w:ascii="Times New Roman" w:hAnsi="Times New Roman" w:eastAsia="宋体" w:cs="Times New Roman"/>
                      <w:color w:val="000000"/>
                      <w:szCs w:val="21"/>
                      <w:highlight w:val="none"/>
                    </w:rPr>
                  </w:pPr>
                  <w:r>
                    <w:rPr>
                      <w:rFonts w:hint="default" w:ascii="Times New Roman" w:hAnsi="Times New Roman" w:eastAsia="宋体" w:cs="Times New Roman"/>
                      <w:color w:val="000000"/>
                      <w:szCs w:val="21"/>
                      <w:highlight w:val="none"/>
                    </w:rPr>
                    <w:t>悬浮物</w:t>
                  </w:r>
                </w:p>
              </w:tc>
              <w:tc>
                <w:tcPr>
                  <w:tcW w:w="6595" w:type="dxa"/>
                  <w:vAlign w:val="center"/>
                </w:tcPr>
                <w:p>
                  <w:pPr>
                    <w:jc w:val="left"/>
                    <w:rPr>
                      <w:rFonts w:hint="default" w:ascii="Times New Roman" w:hAnsi="Times New Roman" w:eastAsia="宋体" w:cs="Times New Roman"/>
                      <w:color w:val="000000"/>
                      <w:szCs w:val="21"/>
                      <w:highlight w:val="none"/>
                    </w:rPr>
                  </w:pPr>
                  <w:r>
                    <w:rPr>
                      <w:rFonts w:hint="default" w:ascii="Times New Roman" w:hAnsi="Times New Roman" w:eastAsia="宋体" w:cs="Times New Roman"/>
                      <w:szCs w:val="21"/>
                      <w:highlight w:val="none"/>
                    </w:rPr>
                    <w:t>水质 悬浮物的测定 重量法GB/T 11901-1989</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86" w:hRule="atLeast"/>
              </w:trPr>
              <w:tc>
                <w:tcPr>
                  <w:tcW w:w="772" w:type="dxa"/>
                  <w:vMerge w:val="continue"/>
                  <w:vAlign w:val="center"/>
                </w:tcPr>
                <w:p>
                  <w:pPr>
                    <w:spacing w:line="320" w:lineRule="exact"/>
                    <w:jc w:val="center"/>
                    <w:rPr>
                      <w:rFonts w:hint="default" w:ascii="Times New Roman" w:hAnsi="Times New Roman" w:eastAsia="宋体" w:cs="Times New Roman"/>
                      <w:bCs/>
                      <w:szCs w:val="21"/>
                      <w:highlight w:val="none"/>
                    </w:rPr>
                  </w:pPr>
                </w:p>
              </w:tc>
              <w:tc>
                <w:tcPr>
                  <w:tcW w:w="1920" w:type="dxa"/>
                  <w:vAlign w:val="center"/>
                </w:tcPr>
                <w:p>
                  <w:pPr>
                    <w:jc w:val="center"/>
                    <w:rPr>
                      <w:rFonts w:hint="default" w:ascii="Times New Roman" w:hAnsi="Times New Roman" w:eastAsia="宋体" w:cs="Times New Roman"/>
                      <w:color w:val="000000"/>
                      <w:kern w:val="2"/>
                      <w:sz w:val="21"/>
                      <w:szCs w:val="21"/>
                      <w:highlight w:val="none"/>
                      <w:lang w:val="en-US" w:eastAsia="zh-CN" w:bidi="ar-SA"/>
                    </w:rPr>
                  </w:pPr>
                  <w:r>
                    <w:rPr>
                      <w:rFonts w:hint="default" w:ascii="Times New Roman" w:hAnsi="Times New Roman" w:eastAsia="宋体" w:cs="Times New Roman"/>
                      <w:color w:val="000000"/>
                      <w:szCs w:val="21"/>
                      <w:highlight w:val="none"/>
                    </w:rPr>
                    <w:t>氨氮</w:t>
                  </w:r>
                </w:p>
              </w:tc>
              <w:tc>
                <w:tcPr>
                  <w:tcW w:w="6595" w:type="dxa"/>
                  <w:vAlign w:val="center"/>
                </w:tcPr>
                <w:p>
                  <w:pPr>
                    <w:jc w:val="left"/>
                    <w:rPr>
                      <w:rFonts w:hint="default" w:ascii="Times New Roman" w:hAnsi="Times New Roman" w:eastAsia="宋体" w:cs="Times New Roman"/>
                      <w:color w:val="000000"/>
                      <w:kern w:val="2"/>
                      <w:sz w:val="21"/>
                      <w:szCs w:val="21"/>
                      <w:highlight w:val="none"/>
                      <w:lang w:val="en-US" w:eastAsia="zh-CN" w:bidi="ar-SA"/>
                    </w:rPr>
                  </w:pPr>
                  <w:r>
                    <w:rPr>
                      <w:rFonts w:hint="default" w:ascii="Times New Roman" w:hAnsi="Times New Roman" w:eastAsia="宋体" w:cs="Times New Roman"/>
                      <w:color w:val="000000" w:themeColor="text1"/>
                      <w:szCs w:val="21"/>
                      <w:highlight w:val="none"/>
                      <w14:textFill>
                        <w14:solidFill>
                          <w14:schemeClr w14:val="tx1"/>
                        </w14:solidFill>
                      </w14:textFill>
                    </w:rPr>
                    <w:t>水质 氨氮的测定 纳氏试剂分光光度法 HJ 535-2009</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86" w:hRule="atLeast"/>
              </w:trPr>
              <w:tc>
                <w:tcPr>
                  <w:tcW w:w="772" w:type="dxa"/>
                  <w:vMerge w:val="continue"/>
                  <w:vAlign w:val="center"/>
                </w:tcPr>
                <w:p>
                  <w:pPr>
                    <w:spacing w:line="320" w:lineRule="exact"/>
                    <w:jc w:val="center"/>
                    <w:rPr>
                      <w:rFonts w:hint="default" w:ascii="Times New Roman" w:hAnsi="Times New Roman" w:eastAsia="宋体" w:cs="Times New Roman"/>
                      <w:bCs/>
                      <w:szCs w:val="21"/>
                      <w:highlight w:val="none"/>
                    </w:rPr>
                  </w:pPr>
                </w:p>
              </w:tc>
              <w:tc>
                <w:tcPr>
                  <w:tcW w:w="1920" w:type="dxa"/>
                  <w:vAlign w:val="center"/>
                </w:tcPr>
                <w:p>
                  <w:pPr>
                    <w:jc w:val="center"/>
                    <w:rPr>
                      <w:rFonts w:hint="default" w:ascii="Times New Roman" w:hAnsi="Times New Roman" w:eastAsia="宋体" w:cs="Times New Roman"/>
                      <w:color w:val="000000"/>
                      <w:szCs w:val="21"/>
                      <w:highlight w:val="none"/>
                      <w:lang w:val="en-US" w:eastAsia="zh-CN"/>
                    </w:rPr>
                  </w:pPr>
                  <w:r>
                    <w:rPr>
                      <w:rFonts w:hint="default" w:ascii="Times New Roman" w:hAnsi="Times New Roman" w:eastAsia="宋体" w:cs="Times New Roman"/>
                      <w:color w:val="000000"/>
                      <w:szCs w:val="21"/>
                      <w:highlight w:val="none"/>
                      <w:lang w:val="en-US" w:eastAsia="zh-CN"/>
                    </w:rPr>
                    <w:t>动植物油</w:t>
                  </w:r>
                </w:p>
              </w:tc>
              <w:tc>
                <w:tcPr>
                  <w:tcW w:w="6595" w:type="dxa"/>
                  <w:vAlign w:val="center"/>
                </w:tcPr>
                <w:p>
                  <w:pPr>
                    <w:jc w:val="left"/>
                    <w:rPr>
                      <w:rFonts w:hint="default" w:ascii="Times New Roman" w:hAnsi="Times New Roman" w:eastAsia="宋体" w:cs="Times New Roman"/>
                      <w:kern w:val="0"/>
                      <w:sz w:val="21"/>
                      <w:szCs w:val="24"/>
                      <w:highlight w:val="none"/>
                      <w:lang w:val="en-US" w:eastAsia="zh-CN" w:bidi="ar-SA"/>
                    </w:rPr>
                  </w:pPr>
                  <w:r>
                    <w:rPr>
                      <w:rFonts w:hint="default" w:ascii="Times New Roman" w:hAnsi="Times New Roman" w:eastAsia="宋体" w:cs="Times New Roman"/>
                      <w:kern w:val="0"/>
                      <w:sz w:val="21"/>
                      <w:highlight w:val="none"/>
                    </w:rPr>
                    <w:t>水质 石油类和动植物油类的测定 红外分光光度法 HJ 637-2018</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86" w:hRule="atLeast"/>
              </w:trPr>
              <w:tc>
                <w:tcPr>
                  <w:tcW w:w="772" w:type="dxa"/>
                  <w:vMerge w:val="continue"/>
                  <w:vAlign w:val="center"/>
                </w:tcPr>
                <w:p>
                  <w:pPr>
                    <w:spacing w:line="320" w:lineRule="exact"/>
                    <w:jc w:val="center"/>
                    <w:rPr>
                      <w:rFonts w:hint="default" w:ascii="Times New Roman" w:hAnsi="Times New Roman" w:eastAsia="宋体" w:cs="Times New Roman"/>
                      <w:bCs/>
                      <w:szCs w:val="21"/>
                      <w:highlight w:val="none"/>
                    </w:rPr>
                  </w:pPr>
                </w:p>
              </w:tc>
              <w:tc>
                <w:tcPr>
                  <w:tcW w:w="1920" w:type="dxa"/>
                  <w:vAlign w:val="center"/>
                </w:tcPr>
                <w:p>
                  <w:pPr>
                    <w:jc w:val="center"/>
                    <w:rPr>
                      <w:rFonts w:hint="default" w:ascii="Times New Roman" w:hAnsi="Times New Roman" w:eastAsia="宋体" w:cs="Times New Roman"/>
                      <w:color w:val="000000"/>
                      <w:szCs w:val="21"/>
                      <w:highlight w:val="none"/>
                      <w:lang w:val="en-US" w:eastAsia="zh-CN"/>
                    </w:rPr>
                  </w:pPr>
                  <w:r>
                    <w:rPr>
                      <w:rFonts w:hint="eastAsia" w:cs="Times New Roman"/>
                      <w:color w:val="000000"/>
                      <w:szCs w:val="21"/>
                      <w:highlight w:val="none"/>
                      <w:lang w:val="en-US" w:eastAsia="zh-CN"/>
                    </w:rPr>
                    <w:t>石油类</w:t>
                  </w:r>
                </w:p>
              </w:tc>
              <w:tc>
                <w:tcPr>
                  <w:tcW w:w="6595" w:type="dxa"/>
                  <w:vAlign w:val="center"/>
                </w:tcPr>
                <w:p>
                  <w:pPr>
                    <w:jc w:val="left"/>
                    <w:rPr>
                      <w:rFonts w:hint="default" w:ascii="Times New Roman" w:hAnsi="Times New Roman" w:eastAsia="宋体" w:cs="Times New Roman"/>
                      <w:kern w:val="0"/>
                      <w:sz w:val="21"/>
                      <w:szCs w:val="24"/>
                      <w:highlight w:val="none"/>
                      <w:lang w:val="en-US" w:eastAsia="zh-CN" w:bidi="ar-SA"/>
                    </w:rPr>
                  </w:pPr>
                  <w:r>
                    <w:rPr>
                      <w:rFonts w:hint="default" w:ascii="Times New Roman" w:hAnsi="Times New Roman" w:eastAsia="宋体" w:cs="Times New Roman"/>
                      <w:kern w:val="0"/>
                      <w:sz w:val="21"/>
                      <w:highlight w:val="none"/>
                    </w:rPr>
                    <w:t>水质 石油类和动植物油类的测定 红外分光光度法 HJ 637-2018</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90" w:hRule="atLeast"/>
              </w:trPr>
              <w:tc>
                <w:tcPr>
                  <w:tcW w:w="772" w:type="dxa"/>
                  <w:vAlign w:val="center"/>
                </w:tcPr>
                <w:p>
                  <w:pPr>
                    <w:spacing w:line="320" w:lineRule="exact"/>
                    <w:jc w:val="center"/>
                    <w:rPr>
                      <w:rFonts w:hint="default" w:ascii="Times New Roman" w:hAnsi="Times New Roman" w:eastAsia="宋体" w:cs="Times New Roman"/>
                      <w:bCs/>
                      <w:szCs w:val="21"/>
                      <w:highlight w:val="none"/>
                    </w:rPr>
                  </w:pPr>
                  <w:r>
                    <w:rPr>
                      <w:rFonts w:hint="default" w:ascii="Times New Roman" w:hAnsi="Times New Roman" w:eastAsia="宋体" w:cs="Times New Roman"/>
                      <w:bCs/>
                      <w:szCs w:val="21"/>
                      <w:highlight w:val="none"/>
                    </w:rPr>
                    <w:t>有组织废气</w:t>
                  </w:r>
                </w:p>
              </w:tc>
              <w:tc>
                <w:tcPr>
                  <w:tcW w:w="1920" w:type="dxa"/>
                  <w:vAlign w:val="center"/>
                </w:tcPr>
                <w:p>
                  <w:pPr>
                    <w:jc w:val="center"/>
                    <w:rPr>
                      <w:rFonts w:hint="default" w:ascii="Times New Roman" w:hAnsi="Times New Roman" w:eastAsia="宋体" w:cs="Times New Roman"/>
                      <w:szCs w:val="21"/>
                      <w:highlight w:val="none"/>
                    </w:rPr>
                  </w:pPr>
                  <w:r>
                    <w:rPr>
                      <w:rFonts w:hint="default" w:ascii="Times New Roman" w:hAnsi="Times New Roman" w:eastAsia="宋体" w:cs="Times New Roman"/>
                      <w:szCs w:val="21"/>
                      <w:highlight w:val="none"/>
                    </w:rPr>
                    <w:t>非甲烷总烃</w:t>
                  </w:r>
                </w:p>
              </w:tc>
              <w:tc>
                <w:tcPr>
                  <w:tcW w:w="6595" w:type="dxa"/>
                  <w:vAlign w:val="center"/>
                </w:tcPr>
                <w:p>
                  <w:pPr>
                    <w:jc w:val="left"/>
                    <w:rPr>
                      <w:rFonts w:hint="default" w:ascii="Times New Roman" w:hAnsi="Times New Roman" w:eastAsia="宋体" w:cs="Times New Roman"/>
                      <w:szCs w:val="21"/>
                      <w:highlight w:val="none"/>
                    </w:rPr>
                  </w:pPr>
                  <w:r>
                    <w:rPr>
                      <w:rFonts w:hint="default" w:ascii="Times New Roman" w:hAnsi="Times New Roman" w:eastAsia="宋体" w:cs="Times New Roman"/>
                      <w:szCs w:val="21"/>
                      <w:highlight w:val="none"/>
                    </w:rPr>
                    <w:t>固定污染源废气 总烃、甲烷和非甲烷总烃的测定 气相</w:t>
                  </w:r>
                  <w:r>
                    <w:rPr>
                      <w:rFonts w:hint="default" w:ascii="Times New Roman" w:hAnsi="Times New Roman" w:eastAsia="宋体" w:cs="Times New Roman"/>
                      <w:color w:val="000000"/>
                      <w:szCs w:val="21"/>
                      <w:highlight w:val="none"/>
                    </w:rPr>
                    <w:t>色</w:t>
                  </w:r>
                  <w:r>
                    <w:rPr>
                      <w:rFonts w:hint="default" w:ascii="Times New Roman" w:hAnsi="Times New Roman" w:eastAsia="宋体" w:cs="Times New Roman"/>
                      <w:szCs w:val="21"/>
                      <w:highlight w:val="none"/>
                    </w:rPr>
                    <w:t>谱法 HJ 38-2017</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86" w:hRule="atLeast"/>
              </w:trPr>
              <w:tc>
                <w:tcPr>
                  <w:tcW w:w="772" w:type="dxa"/>
                  <w:vAlign w:val="center"/>
                </w:tcPr>
                <w:p>
                  <w:pPr>
                    <w:spacing w:line="320" w:lineRule="exact"/>
                    <w:jc w:val="center"/>
                    <w:rPr>
                      <w:rFonts w:hint="default" w:ascii="Times New Roman" w:hAnsi="Times New Roman" w:eastAsia="宋体" w:cs="Times New Roman"/>
                      <w:bCs/>
                      <w:szCs w:val="21"/>
                      <w:highlight w:val="none"/>
                    </w:rPr>
                  </w:pPr>
                  <w:r>
                    <w:rPr>
                      <w:rFonts w:hint="default" w:ascii="Times New Roman" w:hAnsi="Times New Roman" w:eastAsia="宋体" w:cs="Times New Roman"/>
                      <w:bCs/>
                      <w:szCs w:val="21"/>
                      <w:highlight w:val="none"/>
                    </w:rPr>
                    <w:t>无组织废气</w:t>
                  </w:r>
                </w:p>
              </w:tc>
              <w:tc>
                <w:tcPr>
                  <w:tcW w:w="1920" w:type="dxa"/>
                  <w:vAlign w:val="center"/>
                </w:tcPr>
                <w:p>
                  <w:pPr>
                    <w:widowControl/>
                    <w:jc w:val="center"/>
                    <w:rPr>
                      <w:rFonts w:hint="default" w:ascii="Times New Roman" w:hAnsi="Times New Roman" w:eastAsia="宋体" w:cs="Times New Roman"/>
                      <w:szCs w:val="21"/>
                      <w:highlight w:val="none"/>
                    </w:rPr>
                  </w:pPr>
                  <w:r>
                    <w:rPr>
                      <w:rFonts w:hint="default" w:ascii="Times New Roman" w:hAnsi="Times New Roman" w:eastAsia="宋体" w:cs="Times New Roman"/>
                      <w:szCs w:val="21"/>
                      <w:highlight w:val="none"/>
                    </w:rPr>
                    <w:t>非甲烷总烃</w:t>
                  </w:r>
                </w:p>
              </w:tc>
              <w:tc>
                <w:tcPr>
                  <w:tcW w:w="6595" w:type="dxa"/>
                  <w:vAlign w:val="center"/>
                </w:tcPr>
                <w:p>
                  <w:pPr>
                    <w:widowControl/>
                    <w:jc w:val="left"/>
                    <w:rPr>
                      <w:rFonts w:hint="default" w:ascii="Times New Roman" w:hAnsi="Times New Roman" w:eastAsia="宋体" w:cs="Times New Roman"/>
                      <w:szCs w:val="21"/>
                      <w:highlight w:val="none"/>
                    </w:rPr>
                  </w:pPr>
                  <w:r>
                    <w:rPr>
                      <w:rFonts w:hint="default" w:ascii="Times New Roman" w:hAnsi="Times New Roman" w:eastAsia="宋体" w:cs="Times New Roman"/>
                      <w:szCs w:val="21"/>
                      <w:highlight w:val="none"/>
                    </w:rPr>
                    <w:t>环境空气 总烃、甲烷和非甲烷总烃的测定直接进样-气相色谱法</w:t>
                  </w:r>
                </w:p>
                <w:p>
                  <w:pPr>
                    <w:widowControl/>
                    <w:jc w:val="left"/>
                    <w:rPr>
                      <w:rFonts w:hint="default" w:ascii="Times New Roman" w:hAnsi="Times New Roman" w:eastAsia="宋体" w:cs="Times New Roman"/>
                      <w:szCs w:val="21"/>
                      <w:highlight w:val="none"/>
                    </w:rPr>
                  </w:pPr>
                  <w:r>
                    <w:rPr>
                      <w:rFonts w:hint="default" w:ascii="Times New Roman" w:hAnsi="Times New Roman" w:eastAsia="宋体" w:cs="Times New Roman"/>
                      <w:szCs w:val="21"/>
                      <w:highlight w:val="none"/>
                    </w:rPr>
                    <w:t>HJ 604-2017</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86" w:hRule="atLeast"/>
              </w:trPr>
              <w:tc>
                <w:tcPr>
                  <w:tcW w:w="772" w:type="dxa"/>
                  <w:vAlign w:val="center"/>
                </w:tcPr>
                <w:p>
                  <w:pPr>
                    <w:spacing w:line="320" w:lineRule="exact"/>
                    <w:jc w:val="center"/>
                    <w:rPr>
                      <w:rFonts w:hint="default" w:ascii="Times New Roman" w:hAnsi="Times New Roman" w:eastAsia="宋体" w:cs="Times New Roman"/>
                      <w:szCs w:val="21"/>
                      <w:highlight w:val="none"/>
                    </w:rPr>
                  </w:pPr>
                  <w:r>
                    <w:rPr>
                      <w:rFonts w:hint="default" w:ascii="Times New Roman" w:hAnsi="Times New Roman" w:eastAsia="宋体" w:cs="Times New Roman"/>
                      <w:szCs w:val="21"/>
                      <w:highlight w:val="none"/>
                    </w:rPr>
                    <w:t>噪声</w:t>
                  </w:r>
                </w:p>
              </w:tc>
              <w:tc>
                <w:tcPr>
                  <w:tcW w:w="1920" w:type="dxa"/>
                  <w:vAlign w:val="center"/>
                </w:tcPr>
                <w:p>
                  <w:pPr>
                    <w:widowControl/>
                    <w:jc w:val="center"/>
                    <w:rPr>
                      <w:rFonts w:hint="default" w:ascii="Times New Roman" w:hAnsi="Times New Roman" w:eastAsia="宋体" w:cs="Times New Roman"/>
                      <w:szCs w:val="21"/>
                      <w:highlight w:val="none"/>
                    </w:rPr>
                  </w:pPr>
                  <w:r>
                    <w:rPr>
                      <w:rFonts w:hint="default" w:ascii="Times New Roman" w:hAnsi="Times New Roman" w:eastAsia="宋体" w:cs="Times New Roman"/>
                      <w:szCs w:val="21"/>
                      <w:highlight w:val="none"/>
                    </w:rPr>
                    <w:t>工业企业厂界环境噪声</w:t>
                  </w:r>
                </w:p>
              </w:tc>
              <w:tc>
                <w:tcPr>
                  <w:tcW w:w="6595" w:type="dxa"/>
                  <w:vAlign w:val="center"/>
                </w:tcPr>
                <w:p>
                  <w:pPr>
                    <w:widowControl/>
                    <w:jc w:val="left"/>
                    <w:rPr>
                      <w:rFonts w:hint="default" w:ascii="Times New Roman" w:hAnsi="Times New Roman" w:eastAsia="宋体" w:cs="Times New Roman"/>
                      <w:color w:val="000000"/>
                      <w:szCs w:val="21"/>
                      <w:highlight w:val="none"/>
                    </w:rPr>
                  </w:pPr>
                  <w:r>
                    <w:rPr>
                      <w:rFonts w:hint="default" w:ascii="Times New Roman" w:hAnsi="Times New Roman" w:eastAsia="宋体" w:cs="Times New Roman"/>
                      <w:color w:val="000000"/>
                      <w:szCs w:val="21"/>
                      <w:highlight w:val="none"/>
                    </w:rPr>
                    <w:t>工业企业厂界环境噪声排放标准 GB 12348-2008</w:t>
                  </w:r>
                </w:p>
              </w:tc>
            </w:tr>
            <w:bookmarkEnd w:id="7"/>
          </w:tbl>
          <w:p>
            <w:pPr>
              <w:spacing w:line="360" w:lineRule="auto"/>
              <w:jc w:val="left"/>
              <w:rPr>
                <w:rFonts w:hint="default" w:ascii="Times New Roman" w:hAnsi="Times New Roman" w:eastAsia="宋体" w:cs="Times New Roman"/>
                <w:b/>
                <w:sz w:val="28"/>
                <w:szCs w:val="28"/>
                <w:highlight w:val="none"/>
              </w:rPr>
            </w:pPr>
            <w:r>
              <w:rPr>
                <w:rFonts w:hint="default" w:ascii="Times New Roman" w:hAnsi="Times New Roman" w:eastAsia="宋体" w:cs="Times New Roman"/>
                <w:b/>
                <w:sz w:val="28"/>
                <w:szCs w:val="28"/>
                <w:highlight w:val="none"/>
              </w:rPr>
              <w:t>2、监测仪器</w:t>
            </w:r>
          </w:p>
          <w:p>
            <w:pPr>
              <w:spacing w:line="240" w:lineRule="auto"/>
              <w:jc w:val="center"/>
              <w:rPr>
                <w:rFonts w:hint="default" w:ascii="Times New Roman" w:hAnsi="Times New Roman" w:eastAsia="宋体" w:cs="Times New Roman"/>
                <w:b/>
                <w:sz w:val="24"/>
                <w:highlight w:val="none"/>
              </w:rPr>
            </w:pPr>
            <w:r>
              <w:rPr>
                <w:rFonts w:hint="default" w:ascii="Times New Roman" w:hAnsi="Times New Roman" w:eastAsia="宋体" w:cs="Times New Roman"/>
                <w:b/>
                <w:sz w:val="24"/>
                <w:highlight w:val="none"/>
              </w:rPr>
              <w:t>表5-2  监测仪器一览表</w:t>
            </w:r>
          </w:p>
          <w:tbl>
            <w:tblPr>
              <w:tblStyle w:val="32"/>
              <w:tblW w:w="9868"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462"/>
              <w:gridCol w:w="1983"/>
              <w:gridCol w:w="6423"/>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397" w:hRule="atLeast"/>
                <w:jc w:val="center"/>
              </w:trPr>
              <w:tc>
                <w:tcPr>
                  <w:tcW w:w="1462" w:type="dxa"/>
                  <w:shd w:val="clear" w:color="auto" w:fill="auto"/>
                  <w:vAlign w:val="center"/>
                </w:tcPr>
                <w:p>
                  <w:pPr>
                    <w:spacing w:line="276" w:lineRule="auto"/>
                    <w:ind w:left="-4" w:leftChars="-2" w:right="-34" w:rightChars="-16" w:firstLine="2" w:firstLineChars="1"/>
                    <w:jc w:val="center"/>
                    <w:rPr>
                      <w:rFonts w:hint="default" w:ascii="Times New Roman" w:hAnsi="Times New Roman" w:eastAsia="宋体" w:cs="Times New Roman"/>
                      <w:b/>
                      <w:szCs w:val="21"/>
                    </w:rPr>
                  </w:pPr>
                  <w:r>
                    <w:rPr>
                      <w:rFonts w:hint="default" w:ascii="Times New Roman" w:hAnsi="Times New Roman" w:eastAsia="宋体" w:cs="Times New Roman"/>
                      <w:b/>
                      <w:szCs w:val="21"/>
                    </w:rPr>
                    <w:t>类别</w:t>
                  </w:r>
                </w:p>
              </w:tc>
              <w:tc>
                <w:tcPr>
                  <w:tcW w:w="1983" w:type="dxa"/>
                  <w:vAlign w:val="center"/>
                </w:tcPr>
                <w:p>
                  <w:pPr>
                    <w:spacing w:line="276" w:lineRule="auto"/>
                    <w:ind w:left="-4" w:leftChars="-2" w:right="-34" w:rightChars="-16" w:firstLine="2" w:firstLineChars="1"/>
                    <w:jc w:val="center"/>
                    <w:rPr>
                      <w:rFonts w:hint="default" w:ascii="Times New Roman" w:hAnsi="Times New Roman" w:eastAsia="宋体" w:cs="Times New Roman"/>
                      <w:b/>
                      <w:szCs w:val="21"/>
                    </w:rPr>
                  </w:pPr>
                  <w:r>
                    <w:rPr>
                      <w:rFonts w:hint="default" w:ascii="Times New Roman" w:hAnsi="Times New Roman" w:eastAsia="宋体" w:cs="Times New Roman"/>
                      <w:b/>
                      <w:szCs w:val="21"/>
                    </w:rPr>
                    <w:t>监测项目</w:t>
                  </w:r>
                </w:p>
              </w:tc>
              <w:tc>
                <w:tcPr>
                  <w:tcW w:w="6423" w:type="dxa"/>
                  <w:vAlign w:val="center"/>
                </w:tcPr>
                <w:p>
                  <w:pPr>
                    <w:spacing w:line="276" w:lineRule="auto"/>
                    <w:ind w:left="-4" w:leftChars="-2" w:right="-34" w:rightChars="-16" w:firstLine="2" w:firstLineChars="1"/>
                    <w:jc w:val="center"/>
                    <w:rPr>
                      <w:rFonts w:hint="default" w:ascii="Times New Roman" w:hAnsi="Times New Roman" w:eastAsia="宋体" w:cs="Times New Roman"/>
                      <w:b/>
                      <w:szCs w:val="21"/>
                    </w:rPr>
                  </w:pPr>
                  <w:r>
                    <w:rPr>
                      <w:rFonts w:hint="default" w:ascii="Times New Roman" w:hAnsi="Times New Roman" w:eastAsia="宋体" w:cs="Times New Roman"/>
                      <w:b/>
                      <w:szCs w:val="21"/>
                    </w:rPr>
                    <w:t>监测设备名称及编号</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462" w:type="dxa"/>
                  <w:vMerge w:val="restart"/>
                  <w:shd w:val="clear" w:color="auto" w:fill="auto"/>
                  <w:vAlign w:val="center"/>
                </w:tcPr>
                <w:p>
                  <w:pPr>
                    <w:spacing w:line="320" w:lineRule="exact"/>
                    <w:jc w:val="center"/>
                    <w:rPr>
                      <w:rFonts w:hint="default" w:ascii="Times New Roman" w:hAnsi="Times New Roman" w:eastAsia="宋体" w:cs="Times New Roman"/>
                      <w:bCs/>
                      <w:szCs w:val="21"/>
                    </w:rPr>
                  </w:pPr>
                  <w:r>
                    <w:rPr>
                      <w:rFonts w:hint="default" w:ascii="Times New Roman" w:hAnsi="Times New Roman" w:eastAsia="宋体" w:cs="Times New Roman"/>
                      <w:bCs/>
                      <w:szCs w:val="21"/>
                    </w:rPr>
                    <w:t>废水</w:t>
                  </w:r>
                </w:p>
              </w:tc>
              <w:tc>
                <w:tcPr>
                  <w:tcW w:w="1983" w:type="dxa"/>
                  <w:vAlign w:val="center"/>
                </w:tcPr>
                <w:p>
                  <w:pPr>
                    <w:widowControl/>
                    <w:jc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themeColor="text1"/>
                      <w:szCs w:val="21"/>
                      <w14:textFill>
                        <w14:solidFill>
                          <w14:schemeClr w14:val="tx1"/>
                        </w14:solidFill>
                      </w14:textFill>
                    </w:rPr>
                    <w:t>pH</w:t>
                  </w:r>
                  <w:r>
                    <w:rPr>
                      <w:rFonts w:hint="default" w:ascii="Times New Roman" w:hAnsi="Times New Roman" w:eastAsia="宋体" w:cs="Times New Roman"/>
                      <w:color w:val="000000"/>
                      <w:szCs w:val="21"/>
                    </w:rPr>
                    <w:t>值</w:t>
                  </w:r>
                </w:p>
              </w:tc>
              <w:tc>
                <w:tcPr>
                  <w:tcW w:w="6423" w:type="dxa"/>
                  <w:vAlign w:val="center"/>
                </w:tcPr>
                <w:p>
                  <w:pPr>
                    <w:spacing w:line="276" w:lineRule="auto"/>
                    <w:ind w:left="-4" w:leftChars="-2" w:right="-34" w:rightChars="-16" w:firstLine="2" w:firstLineChars="1"/>
                    <w:rPr>
                      <w:rFonts w:hint="default" w:ascii="Times New Roman" w:hAnsi="Times New Roman" w:eastAsia="宋体" w:cs="Times New Roman"/>
                      <w:color w:val="000000" w:themeColor="text1"/>
                      <w:szCs w:val="21"/>
                      <w14:textFill>
                        <w14:solidFill>
                          <w14:schemeClr w14:val="tx1"/>
                        </w14:solidFill>
                      </w14:textFill>
                    </w:rPr>
                  </w:pPr>
                  <w:r>
                    <w:rPr>
                      <w:rFonts w:hint="default" w:ascii="Times New Roman" w:hAnsi="Times New Roman" w:eastAsia="宋体" w:cs="Times New Roman"/>
                      <w:color w:val="000000" w:themeColor="text1"/>
                      <w:szCs w:val="21"/>
                      <w14:textFill>
                        <w14:solidFill>
                          <w14:schemeClr w14:val="tx1"/>
                        </w14:solidFill>
                      </w14:textFill>
                    </w:rPr>
                    <w:t>单路输入多参数数字化分析仪 HQ30d</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462" w:type="dxa"/>
                  <w:vMerge w:val="continue"/>
                  <w:shd w:val="clear" w:color="auto" w:fill="auto"/>
                  <w:vAlign w:val="center"/>
                </w:tcPr>
                <w:p>
                  <w:pPr>
                    <w:jc w:val="center"/>
                    <w:rPr>
                      <w:rFonts w:hint="default" w:ascii="Times New Roman" w:hAnsi="Times New Roman" w:eastAsia="宋体" w:cs="Times New Roman"/>
                      <w:color w:val="000000"/>
                      <w:szCs w:val="21"/>
                    </w:rPr>
                  </w:pPr>
                </w:p>
              </w:tc>
              <w:tc>
                <w:tcPr>
                  <w:tcW w:w="1983" w:type="dxa"/>
                  <w:vAlign w:val="center"/>
                </w:tcPr>
                <w:p>
                  <w:pPr>
                    <w:jc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szCs w:val="21"/>
                    </w:rPr>
                    <w:t>化学需氧量</w:t>
                  </w:r>
                </w:p>
              </w:tc>
              <w:tc>
                <w:tcPr>
                  <w:tcW w:w="6423" w:type="dxa"/>
                  <w:vAlign w:val="center"/>
                </w:tcPr>
                <w:p>
                  <w:pPr>
                    <w:rPr>
                      <w:rFonts w:hint="default" w:ascii="Times New Roman" w:hAnsi="Times New Roman" w:eastAsia="宋体" w:cs="Times New Roman"/>
                      <w:color w:val="000000" w:themeColor="text1"/>
                      <w:szCs w:val="21"/>
                      <w14:textFill>
                        <w14:solidFill>
                          <w14:schemeClr w14:val="tx1"/>
                        </w14:solidFill>
                      </w14:textFill>
                    </w:rPr>
                  </w:pPr>
                  <w:r>
                    <w:rPr>
                      <w:rFonts w:hint="default" w:ascii="Times New Roman" w:hAnsi="Times New Roman" w:eastAsia="宋体" w:cs="Times New Roman"/>
                      <w:szCs w:val="21"/>
                    </w:rPr>
                    <w:t>棕色酸式滴定管 50mL</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397" w:hRule="atLeast"/>
                <w:jc w:val="center"/>
              </w:trPr>
              <w:tc>
                <w:tcPr>
                  <w:tcW w:w="1462" w:type="dxa"/>
                  <w:vMerge w:val="continue"/>
                  <w:shd w:val="clear" w:color="auto" w:fill="auto"/>
                  <w:vAlign w:val="center"/>
                </w:tcPr>
                <w:p>
                  <w:pPr>
                    <w:jc w:val="center"/>
                    <w:rPr>
                      <w:rFonts w:hint="default" w:ascii="Times New Roman" w:hAnsi="Times New Roman" w:eastAsia="宋体" w:cs="Times New Roman"/>
                      <w:color w:val="000000"/>
                      <w:szCs w:val="21"/>
                    </w:rPr>
                  </w:pPr>
                </w:p>
              </w:tc>
              <w:tc>
                <w:tcPr>
                  <w:tcW w:w="1983" w:type="dxa"/>
                  <w:vAlign w:val="center"/>
                </w:tcPr>
                <w:p>
                  <w:pPr>
                    <w:jc w:val="center"/>
                    <w:rPr>
                      <w:rFonts w:hint="default" w:ascii="Times New Roman" w:hAnsi="Times New Roman" w:eastAsia="宋体" w:cs="Times New Roman"/>
                      <w:color w:val="000000"/>
                      <w:kern w:val="0"/>
                      <w:sz w:val="21"/>
                      <w:szCs w:val="24"/>
                      <w:lang w:val="en-US" w:eastAsia="zh-CN" w:bidi="ar-SA"/>
                    </w:rPr>
                  </w:pPr>
                  <w:r>
                    <w:rPr>
                      <w:rFonts w:hint="default" w:ascii="Times New Roman" w:hAnsi="Times New Roman" w:eastAsia="宋体" w:cs="Times New Roman"/>
                      <w:color w:val="000000"/>
                      <w:kern w:val="0"/>
                      <w:sz w:val="21"/>
                    </w:rPr>
                    <w:t>生化需氧量</w:t>
                  </w:r>
                </w:p>
              </w:tc>
              <w:tc>
                <w:tcPr>
                  <w:tcW w:w="6423" w:type="dxa"/>
                  <w:vAlign w:val="center"/>
                </w:tcPr>
                <w:p>
                  <w:pPr>
                    <w:rPr>
                      <w:rFonts w:hint="default" w:ascii="Times New Roman" w:hAnsi="Times New Roman" w:eastAsia="宋体" w:cs="Times New Roman"/>
                      <w:color w:val="000000" w:themeColor="text1"/>
                      <w:kern w:val="0"/>
                      <w:sz w:val="21"/>
                      <w:szCs w:val="24"/>
                      <w:lang w:val="en-US" w:eastAsia="zh-CN" w:bidi="ar-SA"/>
                      <w14:textFill>
                        <w14:solidFill>
                          <w14:schemeClr w14:val="tx1"/>
                        </w14:solidFill>
                      </w14:textFill>
                    </w:rPr>
                  </w:pPr>
                  <w:r>
                    <w:rPr>
                      <w:rFonts w:hint="default" w:ascii="Times New Roman" w:hAnsi="Times New Roman" w:eastAsia="宋体" w:cs="Times New Roman"/>
                      <w:color w:val="000000"/>
                      <w:kern w:val="0"/>
                      <w:sz w:val="21"/>
                    </w:rPr>
                    <w:t>便携式溶解氧分析仪　YSI58</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462" w:type="dxa"/>
                  <w:vMerge w:val="continue"/>
                  <w:shd w:val="clear" w:color="auto" w:fill="auto"/>
                  <w:vAlign w:val="center"/>
                </w:tcPr>
                <w:p>
                  <w:pPr>
                    <w:jc w:val="center"/>
                    <w:rPr>
                      <w:rFonts w:hint="default" w:ascii="Times New Roman" w:hAnsi="Times New Roman" w:eastAsia="宋体" w:cs="Times New Roman"/>
                      <w:color w:val="000000"/>
                      <w:szCs w:val="21"/>
                    </w:rPr>
                  </w:pPr>
                </w:p>
              </w:tc>
              <w:tc>
                <w:tcPr>
                  <w:tcW w:w="1983" w:type="dxa"/>
                  <w:vAlign w:val="center"/>
                </w:tcPr>
                <w:p>
                  <w:pPr>
                    <w:jc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szCs w:val="21"/>
                    </w:rPr>
                    <w:t>悬浮物</w:t>
                  </w:r>
                </w:p>
              </w:tc>
              <w:tc>
                <w:tcPr>
                  <w:tcW w:w="6423" w:type="dxa"/>
                  <w:vAlign w:val="center"/>
                </w:tcPr>
                <w:p>
                  <w:pPr>
                    <w:spacing w:line="276" w:lineRule="auto"/>
                    <w:ind w:left="-4" w:leftChars="-2" w:right="-34" w:rightChars="-16" w:firstLine="2" w:firstLineChars="1"/>
                    <w:rPr>
                      <w:rFonts w:hint="default" w:ascii="Times New Roman" w:hAnsi="Times New Roman" w:eastAsia="宋体" w:cs="Times New Roman"/>
                      <w:szCs w:val="21"/>
                    </w:rPr>
                  </w:pPr>
                  <w:r>
                    <w:rPr>
                      <w:rFonts w:hint="default" w:ascii="Times New Roman" w:hAnsi="Times New Roman" w:eastAsia="宋体" w:cs="Times New Roman"/>
                      <w:szCs w:val="21"/>
                    </w:rPr>
                    <w:t>电子天平 ME204E/02</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462" w:type="dxa"/>
                  <w:vMerge w:val="continue"/>
                  <w:shd w:val="clear" w:color="auto" w:fill="auto"/>
                  <w:vAlign w:val="center"/>
                </w:tcPr>
                <w:p>
                  <w:pPr>
                    <w:jc w:val="center"/>
                    <w:rPr>
                      <w:rFonts w:hint="default" w:ascii="Times New Roman" w:hAnsi="Times New Roman" w:eastAsia="宋体" w:cs="Times New Roman"/>
                      <w:color w:val="000000"/>
                      <w:szCs w:val="21"/>
                    </w:rPr>
                  </w:pPr>
                </w:p>
              </w:tc>
              <w:tc>
                <w:tcPr>
                  <w:tcW w:w="1983" w:type="dxa"/>
                  <w:vAlign w:val="center"/>
                </w:tcPr>
                <w:p>
                  <w:pPr>
                    <w:jc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szCs w:val="21"/>
                    </w:rPr>
                    <w:t>氨氮</w:t>
                  </w:r>
                </w:p>
              </w:tc>
              <w:tc>
                <w:tcPr>
                  <w:tcW w:w="6423" w:type="dxa"/>
                  <w:vAlign w:val="center"/>
                </w:tcPr>
                <w:p>
                  <w:pPr>
                    <w:spacing w:line="276" w:lineRule="auto"/>
                    <w:ind w:left="-4" w:leftChars="-2" w:right="-34" w:rightChars="-16" w:firstLine="2" w:firstLineChars="1"/>
                    <w:rPr>
                      <w:rFonts w:hint="default" w:ascii="Times New Roman" w:hAnsi="Times New Roman" w:eastAsia="宋体" w:cs="Times New Roman"/>
                      <w:szCs w:val="21"/>
                    </w:rPr>
                  </w:pPr>
                  <w:r>
                    <w:rPr>
                      <w:rFonts w:hint="default" w:ascii="Times New Roman" w:hAnsi="Times New Roman" w:eastAsia="宋体" w:cs="Times New Roman"/>
                      <w:color w:val="000000" w:themeColor="text1"/>
                      <w:szCs w:val="21"/>
                      <w14:textFill>
                        <w14:solidFill>
                          <w14:schemeClr w14:val="tx1"/>
                        </w14:solidFill>
                      </w14:textFill>
                    </w:rPr>
                    <w:t>紫外可见分光光度计 TU-1810APC</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462" w:type="dxa"/>
                  <w:vMerge w:val="continue"/>
                  <w:shd w:val="clear" w:color="auto" w:fill="auto"/>
                  <w:vAlign w:val="center"/>
                </w:tcPr>
                <w:p>
                  <w:pPr>
                    <w:jc w:val="center"/>
                    <w:rPr>
                      <w:rFonts w:hint="default" w:ascii="Times New Roman" w:hAnsi="Times New Roman" w:eastAsia="宋体" w:cs="Times New Roman"/>
                      <w:color w:val="000000"/>
                      <w:szCs w:val="21"/>
                    </w:rPr>
                  </w:pPr>
                </w:p>
              </w:tc>
              <w:tc>
                <w:tcPr>
                  <w:tcW w:w="1983" w:type="dxa"/>
                  <w:vAlign w:val="center"/>
                </w:tcPr>
                <w:p>
                  <w:pPr>
                    <w:jc w:val="center"/>
                    <w:rPr>
                      <w:rFonts w:hint="default" w:ascii="Times New Roman" w:hAnsi="Times New Roman" w:eastAsia="宋体" w:cs="Times New Roman"/>
                      <w:color w:val="000000"/>
                      <w:szCs w:val="21"/>
                      <w:lang w:val="en-US" w:eastAsia="zh-CN"/>
                    </w:rPr>
                  </w:pPr>
                  <w:r>
                    <w:rPr>
                      <w:rFonts w:hint="default" w:ascii="Times New Roman" w:hAnsi="Times New Roman" w:eastAsia="宋体" w:cs="Times New Roman"/>
                      <w:color w:val="000000"/>
                      <w:szCs w:val="21"/>
                      <w:lang w:val="en-US" w:eastAsia="zh-CN"/>
                    </w:rPr>
                    <w:t>动植物油</w:t>
                  </w:r>
                  <w:r>
                    <w:rPr>
                      <w:rFonts w:hint="eastAsia" w:cs="Times New Roman"/>
                      <w:color w:val="000000"/>
                      <w:szCs w:val="21"/>
                      <w:lang w:val="en-US" w:eastAsia="zh-CN"/>
                    </w:rPr>
                    <w:t>、石油类</w:t>
                  </w:r>
                </w:p>
              </w:tc>
              <w:tc>
                <w:tcPr>
                  <w:tcW w:w="6423" w:type="dxa"/>
                  <w:vAlign w:val="center"/>
                </w:tcPr>
                <w:p>
                  <w:pPr>
                    <w:spacing w:line="276" w:lineRule="auto"/>
                    <w:ind w:left="-4" w:leftChars="-2" w:right="-34" w:rightChars="-16" w:firstLine="2" w:firstLineChars="1"/>
                    <w:rPr>
                      <w:rFonts w:hint="default" w:ascii="Times New Roman" w:hAnsi="Times New Roman" w:eastAsia="宋体" w:cs="Times New Roman"/>
                      <w:szCs w:val="21"/>
                    </w:rPr>
                  </w:pPr>
                  <w:r>
                    <w:rPr>
                      <w:rFonts w:hint="default" w:ascii="Times New Roman" w:hAnsi="Times New Roman" w:eastAsia="宋体" w:cs="Times New Roman"/>
                      <w:szCs w:val="21"/>
                    </w:rPr>
                    <w:t>红外分光测油仪 OIL460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14" w:hRule="atLeast"/>
                <w:jc w:val="center"/>
              </w:trPr>
              <w:tc>
                <w:tcPr>
                  <w:tcW w:w="1462" w:type="dxa"/>
                  <w:shd w:val="clear" w:color="auto" w:fill="auto"/>
                  <w:vAlign w:val="center"/>
                </w:tcPr>
                <w:p>
                  <w:pPr>
                    <w:jc w:val="center"/>
                    <w:rPr>
                      <w:rFonts w:hint="default" w:ascii="Times New Roman" w:hAnsi="Times New Roman" w:eastAsia="宋体" w:cs="Times New Roman"/>
                      <w:bCs/>
                      <w:szCs w:val="21"/>
                    </w:rPr>
                  </w:pPr>
                  <w:r>
                    <w:rPr>
                      <w:rFonts w:hint="default" w:ascii="Times New Roman" w:hAnsi="Times New Roman" w:eastAsia="宋体" w:cs="Times New Roman"/>
                      <w:bCs/>
                      <w:szCs w:val="21"/>
                    </w:rPr>
                    <w:t>有组织废气</w:t>
                  </w:r>
                </w:p>
              </w:tc>
              <w:tc>
                <w:tcPr>
                  <w:tcW w:w="1983" w:type="dxa"/>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非甲烷总烃</w:t>
                  </w:r>
                </w:p>
              </w:tc>
              <w:tc>
                <w:tcPr>
                  <w:tcW w:w="6423" w:type="dxa"/>
                  <w:vAlign w:val="center"/>
                </w:tcPr>
                <w:p>
                  <w:pPr>
                    <w:rPr>
                      <w:rFonts w:hint="default" w:ascii="Times New Roman" w:hAnsi="Times New Roman" w:eastAsia="宋体" w:cs="Times New Roman"/>
                      <w:szCs w:val="21"/>
                    </w:rPr>
                  </w:pPr>
                  <w:r>
                    <w:rPr>
                      <w:rFonts w:hint="default" w:ascii="Times New Roman" w:hAnsi="Times New Roman" w:eastAsia="宋体" w:cs="Times New Roman"/>
                      <w:color w:val="000000" w:themeColor="text1"/>
                      <w:szCs w:val="21"/>
                      <w14:textFill>
                        <w14:solidFill>
                          <w14:schemeClr w14:val="tx1"/>
                        </w14:solidFill>
                      </w14:textFill>
                    </w:rPr>
                    <w:t>气相色谱仪 GC1690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462" w:type="dxa"/>
                  <w:shd w:val="clear" w:color="auto" w:fill="auto"/>
                  <w:vAlign w:val="center"/>
                </w:tcPr>
                <w:p>
                  <w:pPr>
                    <w:jc w:val="center"/>
                    <w:rPr>
                      <w:rFonts w:hint="default" w:ascii="Times New Roman" w:hAnsi="Times New Roman" w:eastAsia="宋体" w:cs="Times New Roman"/>
                      <w:color w:val="000000"/>
                      <w:szCs w:val="21"/>
                    </w:rPr>
                  </w:pPr>
                  <w:r>
                    <w:rPr>
                      <w:rFonts w:hint="default" w:ascii="Times New Roman" w:hAnsi="Times New Roman" w:eastAsia="宋体" w:cs="Times New Roman"/>
                      <w:bCs/>
                      <w:szCs w:val="21"/>
                    </w:rPr>
                    <w:t>无组织废气</w:t>
                  </w:r>
                </w:p>
              </w:tc>
              <w:tc>
                <w:tcPr>
                  <w:tcW w:w="1983" w:type="dxa"/>
                  <w:vAlign w:val="center"/>
                </w:tcPr>
                <w:p>
                  <w:pPr>
                    <w:jc w:val="center"/>
                    <w:rPr>
                      <w:rFonts w:hint="default" w:ascii="Times New Roman" w:hAnsi="Times New Roman" w:eastAsia="宋体" w:cs="Times New Roman"/>
                      <w:color w:val="000000"/>
                      <w:szCs w:val="21"/>
                    </w:rPr>
                  </w:pPr>
                  <w:r>
                    <w:rPr>
                      <w:rFonts w:hint="default" w:ascii="Times New Roman" w:hAnsi="Times New Roman" w:eastAsia="宋体" w:cs="Times New Roman"/>
                      <w:szCs w:val="21"/>
                    </w:rPr>
                    <w:t>非甲烷总烃</w:t>
                  </w:r>
                </w:p>
              </w:tc>
              <w:tc>
                <w:tcPr>
                  <w:tcW w:w="6423" w:type="dxa"/>
                  <w:vAlign w:val="center"/>
                </w:tcPr>
                <w:p>
                  <w:pPr>
                    <w:spacing w:line="276" w:lineRule="auto"/>
                    <w:ind w:left="-4" w:leftChars="-2" w:right="-34" w:rightChars="-16" w:firstLine="2" w:firstLineChars="1"/>
                    <w:rPr>
                      <w:rFonts w:hint="default" w:ascii="Times New Roman" w:hAnsi="Times New Roman" w:eastAsia="宋体" w:cs="Times New Roman"/>
                      <w:szCs w:val="21"/>
                    </w:rPr>
                  </w:pPr>
                  <w:r>
                    <w:rPr>
                      <w:rFonts w:hint="default" w:ascii="Times New Roman" w:hAnsi="Times New Roman" w:eastAsia="宋体" w:cs="Times New Roman"/>
                      <w:szCs w:val="21"/>
                    </w:rPr>
                    <w:t>气相色谱仪 GC1690专用</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462" w:type="dxa"/>
                  <w:vMerge w:val="restart"/>
                  <w:shd w:val="clear" w:color="auto" w:fill="auto"/>
                  <w:vAlign w:val="center"/>
                </w:tcPr>
                <w:p>
                  <w:pPr>
                    <w:jc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szCs w:val="21"/>
                    </w:rPr>
                    <w:t>工业企业厂界环境噪声</w:t>
                  </w:r>
                </w:p>
              </w:tc>
              <w:tc>
                <w:tcPr>
                  <w:tcW w:w="1983" w:type="dxa"/>
                  <w:vMerge w:val="restart"/>
                  <w:vAlign w:val="center"/>
                </w:tcPr>
                <w:p>
                  <w:pPr>
                    <w:spacing w:line="276" w:lineRule="auto"/>
                    <w:ind w:left="-4" w:leftChars="-2" w:right="-34" w:rightChars="-16" w:firstLine="2" w:firstLineChars="1"/>
                    <w:jc w:val="center"/>
                    <w:rPr>
                      <w:rFonts w:hint="default" w:ascii="Times New Roman" w:hAnsi="Times New Roman" w:eastAsia="宋体" w:cs="Times New Roman"/>
                      <w:szCs w:val="21"/>
                    </w:rPr>
                  </w:pPr>
                  <w:r>
                    <w:rPr>
                      <w:rFonts w:hint="default" w:ascii="Times New Roman" w:hAnsi="Times New Roman" w:eastAsia="宋体" w:cs="Times New Roman"/>
                      <w:szCs w:val="21"/>
                    </w:rPr>
                    <w:t>工业企业厂界环境噪声</w:t>
                  </w:r>
                </w:p>
              </w:tc>
              <w:tc>
                <w:tcPr>
                  <w:tcW w:w="6423" w:type="dxa"/>
                  <w:vAlign w:val="center"/>
                </w:tcPr>
                <w:p>
                  <w:pPr>
                    <w:rPr>
                      <w:rFonts w:hint="default" w:ascii="Times New Roman" w:hAnsi="Times New Roman" w:eastAsia="宋体" w:cs="Times New Roman"/>
                      <w:szCs w:val="21"/>
                    </w:rPr>
                  </w:pPr>
                  <w:r>
                    <w:rPr>
                      <w:rFonts w:hint="default" w:ascii="Times New Roman" w:hAnsi="Times New Roman" w:eastAsia="宋体" w:cs="Times New Roman"/>
                      <w:szCs w:val="21"/>
                    </w:rPr>
                    <w:t>多功能声级计 AWA6228+</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462" w:type="dxa"/>
                  <w:vMerge w:val="continue"/>
                  <w:shd w:val="clear" w:color="auto" w:fill="auto"/>
                  <w:vAlign w:val="center"/>
                </w:tcPr>
                <w:p>
                  <w:pPr>
                    <w:jc w:val="center"/>
                    <w:rPr>
                      <w:rFonts w:hint="default" w:ascii="Times New Roman" w:hAnsi="Times New Roman" w:eastAsia="宋体" w:cs="Times New Roman"/>
                      <w:color w:val="000000"/>
                      <w:szCs w:val="21"/>
                    </w:rPr>
                  </w:pPr>
                </w:p>
              </w:tc>
              <w:tc>
                <w:tcPr>
                  <w:tcW w:w="1983" w:type="dxa"/>
                  <w:vMerge w:val="continue"/>
                  <w:vAlign w:val="center"/>
                </w:tcPr>
                <w:p>
                  <w:pPr>
                    <w:jc w:val="center"/>
                    <w:rPr>
                      <w:rFonts w:hint="default" w:ascii="Times New Roman" w:hAnsi="Times New Roman" w:eastAsia="宋体" w:cs="Times New Roman"/>
                      <w:color w:val="000000"/>
                      <w:szCs w:val="21"/>
                    </w:rPr>
                  </w:pPr>
                </w:p>
              </w:tc>
              <w:tc>
                <w:tcPr>
                  <w:tcW w:w="6423" w:type="dxa"/>
                  <w:vAlign w:val="center"/>
                </w:tcPr>
                <w:p>
                  <w:pPr>
                    <w:spacing w:line="276" w:lineRule="auto"/>
                    <w:ind w:left="-4" w:leftChars="-2" w:right="-34" w:rightChars="-16" w:firstLine="2" w:firstLineChars="1"/>
                    <w:rPr>
                      <w:rFonts w:hint="default" w:ascii="Times New Roman" w:hAnsi="Times New Roman" w:eastAsia="宋体" w:cs="Times New Roman"/>
                      <w:szCs w:val="21"/>
                    </w:rPr>
                  </w:pPr>
                  <w:r>
                    <w:rPr>
                      <w:rFonts w:hint="default" w:ascii="Times New Roman" w:hAnsi="Times New Roman" w:eastAsia="宋体" w:cs="Times New Roman"/>
                      <w:szCs w:val="21"/>
                    </w:rPr>
                    <w:t>声校准器 AWA6021A</w:t>
                  </w:r>
                </w:p>
              </w:tc>
            </w:tr>
          </w:tbl>
          <w:p>
            <w:pPr>
              <w:spacing w:line="360" w:lineRule="auto"/>
              <w:jc w:val="left"/>
              <w:rPr>
                <w:rFonts w:hint="default" w:ascii="Times New Roman" w:hAnsi="Times New Roman" w:eastAsia="宋体" w:cs="Times New Roman"/>
                <w:b/>
                <w:sz w:val="28"/>
                <w:szCs w:val="28"/>
                <w:highlight w:val="none"/>
              </w:rPr>
            </w:pPr>
            <w:r>
              <w:rPr>
                <w:rFonts w:hint="default" w:ascii="Times New Roman" w:hAnsi="Times New Roman" w:eastAsia="宋体" w:cs="Times New Roman"/>
                <w:b/>
                <w:sz w:val="28"/>
                <w:szCs w:val="28"/>
                <w:highlight w:val="none"/>
              </w:rPr>
              <w:t>3、人员资质</w:t>
            </w:r>
          </w:p>
          <w:p>
            <w:pPr>
              <w:ind w:firstLine="420" w:firstLineChars="200"/>
              <w:rPr>
                <w:rFonts w:hint="default" w:ascii="Times New Roman" w:hAnsi="Times New Roman" w:eastAsia="宋体" w:cs="Times New Roman"/>
                <w:szCs w:val="21"/>
                <w:highlight w:val="none"/>
                <w:lang w:val="zh-CN"/>
              </w:rPr>
            </w:pPr>
            <w:r>
              <w:rPr>
                <w:rFonts w:hint="default" w:ascii="Times New Roman" w:hAnsi="Times New Roman" w:eastAsia="宋体" w:cs="Times New Roman"/>
                <w:szCs w:val="21"/>
                <w:highlight w:val="none"/>
                <w:lang w:val="zh-CN"/>
              </w:rPr>
              <w:t>竣工验收、监测人员均进行上岗培训，经考核合格，获得上岗证。</w:t>
            </w:r>
          </w:p>
          <w:p>
            <w:pPr>
              <w:spacing w:line="360" w:lineRule="auto"/>
              <w:jc w:val="left"/>
              <w:rPr>
                <w:rFonts w:hint="default" w:ascii="Times New Roman" w:hAnsi="Times New Roman" w:eastAsia="宋体" w:cs="Times New Roman"/>
                <w:b/>
                <w:sz w:val="28"/>
                <w:szCs w:val="28"/>
                <w:highlight w:val="none"/>
              </w:rPr>
            </w:pPr>
            <w:r>
              <w:rPr>
                <w:rFonts w:hint="default" w:ascii="Times New Roman" w:hAnsi="Times New Roman" w:eastAsia="宋体" w:cs="Times New Roman"/>
                <w:b/>
                <w:sz w:val="28"/>
                <w:szCs w:val="28"/>
                <w:highlight w:val="none"/>
              </w:rPr>
              <w:t>4、质控结果</w:t>
            </w:r>
          </w:p>
          <w:p>
            <w:pPr>
              <w:spacing w:line="400" w:lineRule="exact"/>
              <w:rPr>
                <w:rFonts w:hint="default" w:ascii="Times New Roman" w:hAnsi="Times New Roman" w:eastAsia="宋体" w:cs="Times New Roman"/>
                <w:b/>
                <w:sz w:val="24"/>
                <w:highlight w:val="none"/>
              </w:rPr>
            </w:pPr>
            <w:r>
              <w:rPr>
                <w:rFonts w:hint="default" w:ascii="Times New Roman" w:hAnsi="Times New Roman" w:eastAsia="宋体" w:cs="Times New Roman"/>
                <w:b/>
                <w:sz w:val="24"/>
                <w:highlight w:val="none"/>
              </w:rPr>
              <w:t>4.1水质监测分析过程中的质量保证和质量控制</w:t>
            </w:r>
          </w:p>
          <w:p>
            <w:pPr>
              <w:spacing w:line="360" w:lineRule="auto"/>
              <w:ind w:firstLine="480" w:firstLineChars="200"/>
              <w:rPr>
                <w:rFonts w:hint="default" w:ascii="Times New Roman" w:hAnsi="Times New Roman" w:eastAsia="宋体" w:cs="Times New Roman"/>
                <w:sz w:val="24"/>
                <w:highlight w:val="none"/>
                <w:lang w:bidi="he-IL"/>
              </w:rPr>
            </w:pPr>
            <w:r>
              <w:rPr>
                <w:rFonts w:hint="default" w:ascii="Times New Roman" w:hAnsi="Times New Roman" w:eastAsia="宋体" w:cs="Times New Roman"/>
                <w:sz w:val="24"/>
                <w:highlight w:val="none"/>
                <w:lang w:bidi="he-IL"/>
              </w:rPr>
              <w:t>水样的采集、运输、保存、实验室分析和数据计算的全过程均按照《地表水和污水监测技术规范》(HJ/T91-2002)、《固定污染源监测质量保证与质量控制技术规范(试行)》 (HJ/T373-2007)、《环境水质监测质量保证手册》（第四版）的要求以及各监测项目标准分析方法规定的质量控制要求。</w:t>
            </w:r>
          </w:p>
          <w:p>
            <w:pPr>
              <w:spacing w:line="360" w:lineRule="auto"/>
              <w:rPr>
                <w:rFonts w:hint="default" w:ascii="Times New Roman" w:hAnsi="Times New Roman" w:eastAsia="宋体" w:cs="Times New Roman"/>
                <w:b/>
                <w:sz w:val="24"/>
                <w:highlight w:val="none"/>
              </w:rPr>
            </w:pPr>
            <w:r>
              <w:rPr>
                <w:rFonts w:hint="default" w:ascii="Times New Roman" w:hAnsi="Times New Roman" w:eastAsia="宋体" w:cs="Times New Roman"/>
                <w:b/>
                <w:sz w:val="24"/>
                <w:highlight w:val="none"/>
              </w:rPr>
              <w:t>4.2气体监测分析过程中的质量保证和质量控制</w:t>
            </w:r>
          </w:p>
          <w:p>
            <w:pPr>
              <w:spacing w:line="360" w:lineRule="auto"/>
              <w:ind w:firstLine="480" w:firstLineChars="200"/>
              <w:rPr>
                <w:rFonts w:hint="default" w:ascii="Times New Roman" w:hAnsi="Times New Roman" w:eastAsia="宋体" w:cs="Times New Roman"/>
                <w:sz w:val="24"/>
                <w:highlight w:val="none"/>
                <w:lang w:bidi="he-IL"/>
              </w:rPr>
            </w:pPr>
            <w:r>
              <w:rPr>
                <w:rFonts w:hint="default" w:ascii="Times New Roman" w:hAnsi="Times New Roman" w:eastAsia="宋体" w:cs="Times New Roman"/>
                <w:sz w:val="24"/>
                <w:highlight w:val="none"/>
                <w:lang w:bidi="he-IL"/>
              </w:rPr>
              <w:t>废气验收监测质量控制与质量保证按照《固定源废气监测技术规范》(HJ/T397-2007)、 《固定污染源监测质量保证与质量控制技术规范(试行)》(HJ/T373-2007)中有关规定执行。 尽量避免被测排放物中共存污染物因子对仪器分析的交叉干扰； 被测排放物的浓度应在仪器测试量程的有效范围即仪器量程的30～70%之间。对采样仪器的流量计定期进行校准，校准结果合格。</w:t>
            </w:r>
          </w:p>
          <w:p>
            <w:pPr>
              <w:spacing w:line="360" w:lineRule="auto"/>
              <w:rPr>
                <w:rFonts w:hint="default" w:ascii="Times New Roman" w:hAnsi="Times New Roman" w:eastAsia="宋体" w:cs="Times New Roman"/>
                <w:b/>
                <w:sz w:val="24"/>
                <w:highlight w:val="none"/>
              </w:rPr>
            </w:pPr>
            <w:r>
              <w:rPr>
                <w:rFonts w:hint="default" w:ascii="Times New Roman" w:hAnsi="Times New Roman" w:eastAsia="宋体" w:cs="Times New Roman"/>
                <w:b/>
                <w:sz w:val="24"/>
                <w:highlight w:val="none"/>
              </w:rPr>
              <w:t>4.3噪声监测分析过程中的质量保证和质量控制</w:t>
            </w:r>
          </w:p>
          <w:p>
            <w:pPr>
              <w:spacing w:line="360" w:lineRule="auto"/>
              <w:ind w:firstLine="480" w:firstLineChars="200"/>
              <w:rPr>
                <w:rFonts w:hint="default" w:ascii="Times New Roman" w:hAnsi="Times New Roman" w:eastAsia="宋体" w:cs="Times New Roman"/>
                <w:sz w:val="24"/>
                <w:highlight w:val="none"/>
                <w:lang w:bidi="he-IL"/>
              </w:rPr>
            </w:pPr>
            <w:r>
              <w:rPr>
                <w:rFonts w:hint="default" w:ascii="Times New Roman" w:hAnsi="Times New Roman" w:eastAsia="宋体" w:cs="Times New Roman"/>
                <w:sz w:val="24"/>
                <w:highlight w:val="none"/>
                <w:lang w:bidi="he-IL"/>
              </w:rPr>
              <w:t>噪声监测时使用经计量部门检定、并在有效使用期内的声级计，在使用前后进行校准， 前后相差在0.5dB以内。</w:t>
            </w:r>
          </w:p>
          <w:p>
            <w:pPr>
              <w:spacing w:line="360" w:lineRule="auto"/>
              <w:ind w:firstLine="480" w:firstLineChars="200"/>
              <w:jc w:val="right"/>
              <w:rPr>
                <w:rFonts w:hint="default" w:ascii="Times New Roman" w:hAnsi="Times New Roman" w:eastAsia="宋体" w:cs="Times New Roman"/>
                <w:sz w:val="24"/>
                <w:highlight w:val="none"/>
                <w:lang w:bidi="he-IL"/>
              </w:rPr>
            </w:pPr>
            <w:r>
              <w:rPr>
                <w:rFonts w:hint="default" w:ascii="Times New Roman" w:hAnsi="Times New Roman" w:eastAsia="宋体" w:cs="Times New Roman"/>
                <w:sz w:val="24"/>
                <w:highlight w:val="none"/>
                <w:lang w:bidi="he-IL"/>
              </w:rPr>
              <w:t>校准器声压级：94.0 dB/1000Hz</w:t>
            </w:r>
          </w:p>
          <w:tbl>
            <w:tblPr>
              <w:tblStyle w:val="33"/>
              <w:tblW w:w="0" w:type="auto"/>
              <w:tblInd w:w="5"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855"/>
              <w:gridCol w:w="1855"/>
              <w:gridCol w:w="1855"/>
              <w:gridCol w:w="1856"/>
              <w:gridCol w:w="1856"/>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855" w:type="dxa"/>
                  <w:vMerge w:val="restart"/>
                  <w:tcBorders>
                    <w:tl2br w:val="nil"/>
                    <w:tr2bl w:val="nil"/>
                  </w:tcBorders>
                  <w:vAlign w:val="center"/>
                </w:tcPr>
                <w:p>
                  <w:pPr>
                    <w:spacing w:line="360" w:lineRule="auto"/>
                    <w:jc w:val="center"/>
                    <w:rPr>
                      <w:rFonts w:hint="default" w:ascii="Times New Roman" w:hAnsi="Times New Roman" w:eastAsia="宋体" w:cs="Times New Roman"/>
                      <w:sz w:val="24"/>
                      <w:szCs w:val="24"/>
                      <w:highlight w:val="none"/>
                      <w:vertAlign w:val="baseline"/>
                      <w:lang w:val="en-US" w:eastAsia="zh-CN" w:bidi="he-IL"/>
                    </w:rPr>
                  </w:pPr>
                  <w:r>
                    <w:rPr>
                      <w:rFonts w:hint="default" w:ascii="Times New Roman" w:hAnsi="Times New Roman" w:eastAsia="宋体" w:cs="Times New Roman"/>
                      <w:sz w:val="24"/>
                      <w:szCs w:val="24"/>
                      <w:highlight w:val="none"/>
                      <w:vertAlign w:val="baseline"/>
                      <w:lang w:val="en-US" w:eastAsia="zh-CN" w:bidi="he-IL"/>
                    </w:rPr>
                    <w:t>日期</w:t>
                  </w:r>
                </w:p>
              </w:tc>
              <w:tc>
                <w:tcPr>
                  <w:tcW w:w="3710" w:type="dxa"/>
                  <w:gridSpan w:val="2"/>
                  <w:tcBorders>
                    <w:tl2br w:val="nil"/>
                    <w:tr2bl w:val="nil"/>
                  </w:tcBorders>
                  <w:vAlign w:val="center"/>
                </w:tcPr>
                <w:p>
                  <w:pPr>
                    <w:spacing w:line="360" w:lineRule="auto"/>
                    <w:jc w:val="center"/>
                    <w:rPr>
                      <w:rFonts w:hint="default" w:ascii="Times New Roman" w:hAnsi="Times New Roman" w:eastAsia="宋体" w:cs="Times New Roman"/>
                      <w:sz w:val="24"/>
                      <w:szCs w:val="24"/>
                      <w:highlight w:val="none"/>
                      <w:vertAlign w:val="baseline"/>
                      <w:lang w:val="en-US" w:eastAsia="zh-CN" w:bidi="he-IL"/>
                    </w:rPr>
                  </w:pPr>
                  <w:r>
                    <w:rPr>
                      <w:rFonts w:hint="default" w:ascii="Times New Roman" w:hAnsi="Times New Roman" w:eastAsia="宋体" w:cs="Times New Roman"/>
                      <w:sz w:val="24"/>
                      <w:szCs w:val="24"/>
                      <w:highlight w:val="none"/>
                      <w:vertAlign w:val="baseline"/>
                      <w:lang w:val="en-US" w:eastAsia="zh-CN" w:bidi="he-IL"/>
                    </w:rPr>
                    <w:t>2020年</w:t>
                  </w:r>
                  <w:r>
                    <w:rPr>
                      <w:rFonts w:hint="eastAsia" w:cs="Times New Roman"/>
                      <w:sz w:val="24"/>
                      <w:szCs w:val="24"/>
                      <w:highlight w:val="none"/>
                      <w:vertAlign w:val="baseline"/>
                      <w:lang w:val="en-US" w:eastAsia="zh-CN" w:bidi="he-IL"/>
                    </w:rPr>
                    <w:t>7</w:t>
                  </w:r>
                  <w:r>
                    <w:rPr>
                      <w:rFonts w:hint="default" w:ascii="Times New Roman" w:hAnsi="Times New Roman" w:eastAsia="宋体" w:cs="Times New Roman"/>
                      <w:sz w:val="24"/>
                      <w:szCs w:val="24"/>
                      <w:highlight w:val="none"/>
                      <w:vertAlign w:val="baseline"/>
                      <w:lang w:val="en-US" w:eastAsia="zh-CN" w:bidi="he-IL"/>
                    </w:rPr>
                    <w:t>月2</w:t>
                  </w:r>
                  <w:r>
                    <w:rPr>
                      <w:rFonts w:hint="eastAsia" w:cs="Times New Roman"/>
                      <w:sz w:val="24"/>
                      <w:szCs w:val="24"/>
                      <w:highlight w:val="none"/>
                      <w:vertAlign w:val="baseline"/>
                      <w:lang w:val="en-US" w:eastAsia="zh-CN" w:bidi="he-IL"/>
                    </w:rPr>
                    <w:t>5</w:t>
                  </w:r>
                  <w:r>
                    <w:rPr>
                      <w:rFonts w:hint="default" w:ascii="Times New Roman" w:hAnsi="Times New Roman" w:eastAsia="宋体" w:cs="Times New Roman"/>
                      <w:sz w:val="24"/>
                      <w:szCs w:val="24"/>
                      <w:highlight w:val="none"/>
                      <w:vertAlign w:val="baseline"/>
                      <w:lang w:val="en-US" w:eastAsia="zh-CN" w:bidi="he-IL"/>
                    </w:rPr>
                    <w:t>日</w:t>
                  </w:r>
                </w:p>
              </w:tc>
              <w:tc>
                <w:tcPr>
                  <w:tcW w:w="3712" w:type="dxa"/>
                  <w:gridSpan w:val="2"/>
                  <w:tcBorders>
                    <w:tl2br w:val="nil"/>
                    <w:tr2bl w:val="nil"/>
                  </w:tcBorders>
                  <w:vAlign w:val="center"/>
                </w:tcPr>
                <w:p>
                  <w:pPr>
                    <w:spacing w:line="360" w:lineRule="auto"/>
                    <w:jc w:val="center"/>
                    <w:rPr>
                      <w:rFonts w:hint="default" w:ascii="Times New Roman" w:hAnsi="Times New Roman" w:eastAsia="宋体" w:cs="Times New Roman"/>
                      <w:sz w:val="24"/>
                      <w:szCs w:val="24"/>
                      <w:highlight w:val="none"/>
                      <w:vertAlign w:val="baseline"/>
                      <w:lang w:val="en-US" w:eastAsia="zh-CN" w:bidi="he-IL"/>
                    </w:rPr>
                  </w:pPr>
                  <w:r>
                    <w:rPr>
                      <w:rFonts w:hint="default" w:ascii="Times New Roman" w:hAnsi="Times New Roman" w:eastAsia="宋体" w:cs="Times New Roman"/>
                      <w:sz w:val="24"/>
                      <w:szCs w:val="24"/>
                      <w:highlight w:val="none"/>
                      <w:vertAlign w:val="baseline"/>
                      <w:lang w:val="en-US" w:eastAsia="zh-CN" w:bidi="he-IL"/>
                    </w:rPr>
                    <w:t>2020年</w:t>
                  </w:r>
                  <w:r>
                    <w:rPr>
                      <w:rFonts w:hint="eastAsia" w:cs="Times New Roman"/>
                      <w:sz w:val="24"/>
                      <w:szCs w:val="24"/>
                      <w:highlight w:val="none"/>
                      <w:vertAlign w:val="baseline"/>
                      <w:lang w:val="en-US" w:eastAsia="zh-CN" w:bidi="he-IL"/>
                    </w:rPr>
                    <w:t>7</w:t>
                  </w:r>
                  <w:r>
                    <w:rPr>
                      <w:rFonts w:hint="default" w:ascii="Times New Roman" w:hAnsi="Times New Roman" w:eastAsia="宋体" w:cs="Times New Roman"/>
                      <w:sz w:val="24"/>
                      <w:szCs w:val="24"/>
                      <w:highlight w:val="none"/>
                      <w:vertAlign w:val="baseline"/>
                      <w:lang w:val="en-US" w:eastAsia="zh-CN" w:bidi="he-IL"/>
                    </w:rPr>
                    <w:t>月2</w:t>
                  </w:r>
                  <w:r>
                    <w:rPr>
                      <w:rFonts w:hint="eastAsia" w:cs="Times New Roman"/>
                      <w:sz w:val="24"/>
                      <w:szCs w:val="24"/>
                      <w:highlight w:val="none"/>
                      <w:vertAlign w:val="baseline"/>
                      <w:lang w:val="en-US" w:eastAsia="zh-CN" w:bidi="he-IL"/>
                    </w:rPr>
                    <w:t>6</w:t>
                  </w:r>
                  <w:r>
                    <w:rPr>
                      <w:rFonts w:hint="default" w:ascii="Times New Roman" w:hAnsi="Times New Roman" w:eastAsia="宋体" w:cs="Times New Roman"/>
                      <w:sz w:val="24"/>
                      <w:szCs w:val="24"/>
                      <w:highlight w:val="none"/>
                      <w:vertAlign w:val="baseline"/>
                      <w:lang w:val="en-US" w:eastAsia="zh-CN" w:bidi="he-IL"/>
                    </w:rPr>
                    <w:t>日</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855" w:type="dxa"/>
                  <w:vMerge w:val="continue"/>
                  <w:tcBorders>
                    <w:tl2br w:val="nil"/>
                    <w:tr2bl w:val="nil"/>
                  </w:tcBorders>
                  <w:vAlign w:val="center"/>
                </w:tcPr>
                <w:p>
                  <w:pPr>
                    <w:spacing w:line="360" w:lineRule="auto"/>
                    <w:jc w:val="center"/>
                    <w:rPr>
                      <w:rFonts w:hint="default" w:ascii="Times New Roman" w:hAnsi="Times New Roman" w:eastAsia="宋体" w:cs="Times New Roman"/>
                      <w:sz w:val="24"/>
                      <w:szCs w:val="24"/>
                      <w:highlight w:val="none"/>
                      <w:vertAlign w:val="baseline"/>
                      <w:lang w:bidi="he-IL"/>
                    </w:rPr>
                  </w:pPr>
                </w:p>
              </w:tc>
              <w:tc>
                <w:tcPr>
                  <w:tcW w:w="1855" w:type="dxa"/>
                  <w:tcBorders>
                    <w:tl2br w:val="nil"/>
                    <w:tr2bl w:val="nil"/>
                  </w:tcBorders>
                  <w:vAlign w:val="center"/>
                </w:tcPr>
                <w:p>
                  <w:pPr>
                    <w:spacing w:line="360" w:lineRule="auto"/>
                    <w:jc w:val="center"/>
                    <w:rPr>
                      <w:rFonts w:hint="default" w:ascii="Times New Roman" w:hAnsi="Times New Roman" w:eastAsia="宋体" w:cs="Times New Roman"/>
                      <w:sz w:val="24"/>
                      <w:szCs w:val="24"/>
                      <w:highlight w:val="none"/>
                      <w:vertAlign w:val="baseline"/>
                      <w:lang w:val="en-US" w:eastAsia="zh-CN" w:bidi="he-IL"/>
                    </w:rPr>
                  </w:pPr>
                  <w:r>
                    <w:rPr>
                      <w:rFonts w:hint="default" w:ascii="Times New Roman" w:hAnsi="Times New Roman" w:eastAsia="宋体" w:cs="Times New Roman"/>
                      <w:sz w:val="24"/>
                      <w:szCs w:val="24"/>
                      <w:highlight w:val="none"/>
                      <w:vertAlign w:val="baseline"/>
                      <w:lang w:val="en-US" w:eastAsia="zh-CN" w:bidi="he-IL"/>
                    </w:rPr>
                    <w:t>昼间</w:t>
                  </w:r>
                </w:p>
              </w:tc>
              <w:tc>
                <w:tcPr>
                  <w:tcW w:w="1855" w:type="dxa"/>
                  <w:tcBorders>
                    <w:tl2br w:val="nil"/>
                    <w:tr2bl w:val="nil"/>
                  </w:tcBorders>
                  <w:vAlign w:val="center"/>
                </w:tcPr>
                <w:p>
                  <w:pPr>
                    <w:spacing w:line="360" w:lineRule="auto"/>
                    <w:jc w:val="center"/>
                    <w:rPr>
                      <w:rFonts w:hint="default" w:ascii="Times New Roman" w:hAnsi="Times New Roman" w:eastAsia="宋体" w:cs="Times New Roman"/>
                      <w:sz w:val="24"/>
                      <w:szCs w:val="24"/>
                      <w:highlight w:val="none"/>
                      <w:vertAlign w:val="baseline"/>
                      <w:lang w:val="en-US" w:eastAsia="zh-CN" w:bidi="he-IL"/>
                    </w:rPr>
                  </w:pPr>
                  <w:r>
                    <w:rPr>
                      <w:rFonts w:hint="default" w:ascii="Times New Roman" w:hAnsi="Times New Roman" w:eastAsia="宋体" w:cs="Times New Roman"/>
                      <w:sz w:val="24"/>
                      <w:szCs w:val="24"/>
                      <w:highlight w:val="none"/>
                      <w:vertAlign w:val="baseline"/>
                      <w:lang w:val="en-US" w:eastAsia="zh-CN" w:bidi="he-IL"/>
                    </w:rPr>
                    <w:t>夜间</w:t>
                  </w:r>
                </w:p>
              </w:tc>
              <w:tc>
                <w:tcPr>
                  <w:tcW w:w="1856" w:type="dxa"/>
                  <w:tcBorders>
                    <w:tl2br w:val="nil"/>
                    <w:tr2bl w:val="nil"/>
                  </w:tcBorders>
                  <w:vAlign w:val="center"/>
                </w:tcPr>
                <w:p>
                  <w:pPr>
                    <w:spacing w:line="360" w:lineRule="auto"/>
                    <w:jc w:val="center"/>
                    <w:rPr>
                      <w:rFonts w:hint="default" w:ascii="Times New Roman" w:hAnsi="Times New Roman" w:eastAsia="宋体" w:cs="Times New Roman"/>
                      <w:sz w:val="24"/>
                      <w:szCs w:val="24"/>
                      <w:highlight w:val="none"/>
                      <w:vertAlign w:val="baseline"/>
                      <w:lang w:val="en-US" w:eastAsia="zh-CN" w:bidi="he-IL"/>
                    </w:rPr>
                  </w:pPr>
                  <w:r>
                    <w:rPr>
                      <w:rFonts w:hint="default" w:ascii="Times New Roman" w:hAnsi="Times New Roman" w:eastAsia="宋体" w:cs="Times New Roman"/>
                      <w:sz w:val="24"/>
                      <w:szCs w:val="24"/>
                      <w:highlight w:val="none"/>
                      <w:vertAlign w:val="baseline"/>
                      <w:lang w:val="en-US" w:eastAsia="zh-CN" w:bidi="he-IL"/>
                    </w:rPr>
                    <w:t>昼间</w:t>
                  </w:r>
                </w:p>
              </w:tc>
              <w:tc>
                <w:tcPr>
                  <w:tcW w:w="1856" w:type="dxa"/>
                  <w:tcBorders>
                    <w:tl2br w:val="nil"/>
                    <w:tr2bl w:val="nil"/>
                  </w:tcBorders>
                  <w:vAlign w:val="center"/>
                </w:tcPr>
                <w:p>
                  <w:pPr>
                    <w:spacing w:line="360" w:lineRule="auto"/>
                    <w:jc w:val="center"/>
                    <w:rPr>
                      <w:rFonts w:hint="default" w:ascii="Times New Roman" w:hAnsi="Times New Roman" w:eastAsia="宋体" w:cs="Times New Roman"/>
                      <w:sz w:val="24"/>
                      <w:szCs w:val="24"/>
                      <w:highlight w:val="none"/>
                      <w:vertAlign w:val="baseline"/>
                      <w:lang w:val="en-US" w:eastAsia="zh-CN" w:bidi="he-IL"/>
                    </w:rPr>
                  </w:pPr>
                  <w:r>
                    <w:rPr>
                      <w:rFonts w:hint="default" w:ascii="Times New Roman" w:hAnsi="Times New Roman" w:eastAsia="宋体" w:cs="Times New Roman"/>
                      <w:sz w:val="24"/>
                      <w:szCs w:val="24"/>
                      <w:highlight w:val="none"/>
                      <w:vertAlign w:val="baseline"/>
                      <w:lang w:val="en-US" w:eastAsia="zh-CN" w:bidi="he-IL"/>
                    </w:rPr>
                    <w:t>夜间</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855" w:type="dxa"/>
                  <w:tcBorders>
                    <w:tl2br w:val="nil"/>
                    <w:tr2bl w:val="nil"/>
                  </w:tcBorders>
                  <w:vAlign w:val="center"/>
                </w:tcPr>
                <w:p>
                  <w:pPr>
                    <w:spacing w:line="360" w:lineRule="auto"/>
                    <w:jc w:val="center"/>
                    <w:rPr>
                      <w:rFonts w:hint="default" w:ascii="Times New Roman" w:hAnsi="Times New Roman" w:eastAsia="宋体" w:cs="Times New Roman"/>
                      <w:sz w:val="24"/>
                      <w:szCs w:val="24"/>
                      <w:highlight w:val="none"/>
                      <w:vertAlign w:val="baseline"/>
                      <w:lang w:val="en-US" w:eastAsia="zh-CN" w:bidi="he-IL"/>
                    </w:rPr>
                  </w:pPr>
                  <w:r>
                    <w:rPr>
                      <w:rFonts w:hint="default" w:ascii="Times New Roman" w:hAnsi="Times New Roman" w:eastAsia="宋体" w:cs="Times New Roman"/>
                      <w:sz w:val="24"/>
                      <w:szCs w:val="24"/>
                      <w:highlight w:val="none"/>
                      <w:vertAlign w:val="baseline"/>
                      <w:lang w:val="en-US" w:eastAsia="zh-CN" w:bidi="he-IL"/>
                    </w:rPr>
                    <w:t>测量前dB(A)</w:t>
                  </w:r>
                </w:p>
              </w:tc>
              <w:tc>
                <w:tcPr>
                  <w:tcW w:w="1855"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sz w:val="24"/>
                      <w:szCs w:val="24"/>
                      <w:highlight w:val="none"/>
                      <w:vertAlign w:val="baseline"/>
                      <w:lang w:val="en-US" w:eastAsia="zh-CN" w:bidi="he-IL"/>
                    </w:rPr>
                  </w:pPr>
                  <w:r>
                    <w:rPr>
                      <w:rFonts w:hint="default" w:ascii="Times New Roman" w:hAnsi="Times New Roman" w:eastAsia="宋体" w:cs="Times New Roman"/>
                      <w:i w:val="0"/>
                      <w:color w:val="000000"/>
                      <w:kern w:val="0"/>
                      <w:sz w:val="24"/>
                      <w:szCs w:val="24"/>
                      <w:highlight w:val="none"/>
                      <w:u w:val="none"/>
                      <w:lang w:val="en-US" w:eastAsia="zh-CN" w:bidi="ar"/>
                    </w:rPr>
                    <w:t>93.8</w:t>
                  </w:r>
                </w:p>
              </w:tc>
              <w:tc>
                <w:tcPr>
                  <w:tcW w:w="1855"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sz w:val="24"/>
                      <w:szCs w:val="24"/>
                      <w:highlight w:val="none"/>
                      <w:vertAlign w:val="baseline"/>
                      <w:lang w:val="en-US" w:eastAsia="zh-CN" w:bidi="he-IL"/>
                    </w:rPr>
                  </w:pPr>
                  <w:r>
                    <w:rPr>
                      <w:rFonts w:hint="default" w:ascii="Times New Roman" w:hAnsi="Times New Roman" w:eastAsia="宋体" w:cs="Times New Roman"/>
                      <w:i w:val="0"/>
                      <w:color w:val="000000"/>
                      <w:kern w:val="0"/>
                      <w:sz w:val="24"/>
                      <w:szCs w:val="24"/>
                      <w:highlight w:val="none"/>
                      <w:u w:val="none"/>
                      <w:lang w:val="en-US" w:eastAsia="zh-CN" w:bidi="ar"/>
                    </w:rPr>
                    <w:t>93.8</w:t>
                  </w:r>
                </w:p>
              </w:tc>
              <w:tc>
                <w:tcPr>
                  <w:tcW w:w="1856"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sz w:val="24"/>
                      <w:szCs w:val="24"/>
                      <w:highlight w:val="none"/>
                      <w:vertAlign w:val="baseline"/>
                      <w:lang w:val="en-US" w:eastAsia="zh-CN" w:bidi="he-IL"/>
                    </w:rPr>
                  </w:pPr>
                  <w:r>
                    <w:rPr>
                      <w:rFonts w:hint="default" w:ascii="Times New Roman" w:hAnsi="Times New Roman" w:eastAsia="宋体" w:cs="Times New Roman"/>
                      <w:i w:val="0"/>
                      <w:color w:val="000000"/>
                      <w:kern w:val="0"/>
                      <w:sz w:val="24"/>
                      <w:szCs w:val="24"/>
                      <w:highlight w:val="none"/>
                      <w:u w:val="none"/>
                      <w:lang w:val="en-US" w:eastAsia="zh-CN" w:bidi="ar"/>
                    </w:rPr>
                    <w:t>93.8</w:t>
                  </w:r>
                </w:p>
              </w:tc>
              <w:tc>
                <w:tcPr>
                  <w:tcW w:w="1856"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sz w:val="24"/>
                      <w:szCs w:val="24"/>
                      <w:highlight w:val="none"/>
                      <w:vertAlign w:val="baseline"/>
                      <w:lang w:val="en-US" w:eastAsia="zh-CN" w:bidi="he-IL"/>
                    </w:rPr>
                  </w:pPr>
                  <w:r>
                    <w:rPr>
                      <w:rFonts w:hint="default" w:ascii="Times New Roman" w:hAnsi="Times New Roman" w:eastAsia="宋体" w:cs="Times New Roman"/>
                      <w:i w:val="0"/>
                      <w:color w:val="000000"/>
                      <w:kern w:val="0"/>
                      <w:sz w:val="24"/>
                      <w:szCs w:val="24"/>
                      <w:highlight w:val="none"/>
                      <w:u w:val="none"/>
                      <w:lang w:val="en-US" w:eastAsia="zh-CN" w:bidi="ar"/>
                    </w:rPr>
                    <w:t>93.8</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855" w:type="dxa"/>
                  <w:tcBorders>
                    <w:tl2br w:val="nil"/>
                    <w:tr2bl w:val="nil"/>
                  </w:tcBorders>
                  <w:vAlign w:val="center"/>
                </w:tcPr>
                <w:p>
                  <w:pPr>
                    <w:spacing w:line="360" w:lineRule="auto"/>
                    <w:jc w:val="center"/>
                    <w:rPr>
                      <w:rFonts w:hint="default" w:ascii="Times New Roman" w:hAnsi="Times New Roman" w:eastAsia="宋体" w:cs="Times New Roman"/>
                      <w:sz w:val="24"/>
                      <w:szCs w:val="24"/>
                      <w:highlight w:val="none"/>
                      <w:vertAlign w:val="baseline"/>
                      <w:lang w:val="en-US" w:eastAsia="zh-CN" w:bidi="he-IL"/>
                    </w:rPr>
                  </w:pPr>
                  <w:r>
                    <w:rPr>
                      <w:rFonts w:hint="default" w:ascii="Times New Roman" w:hAnsi="Times New Roman" w:eastAsia="宋体" w:cs="Times New Roman"/>
                      <w:sz w:val="24"/>
                      <w:szCs w:val="24"/>
                      <w:highlight w:val="none"/>
                      <w:vertAlign w:val="baseline"/>
                      <w:lang w:val="en-US" w:eastAsia="zh-CN" w:bidi="he-IL"/>
                    </w:rPr>
                    <w:t>测量后dB(A)</w:t>
                  </w:r>
                </w:p>
              </w:tc>
              <w:tc>
                <w:tcPr>
                  <w:tcW w:w="1855"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sz w:val="24"/>
                      <w:szCs w:val="24"/>
                      <w:highlight w:val="none"/>
                      <w:vertAlign w:val="baseline"/>
                      <w:lang w:val="en-US" w:eastAsia="zh-CN" w:bidi="he-IL"/>
                    </w:rPr>
                  </w:pPr>
                  <w:r>
                    <w:rPr>
                      <w:rFonts w:hint="default" w:ascii="Times New Roman" w:hAnsi="Times New Roman" w:eastAsia="宋体" w:cs="Times New Roman"/>
                      <w:i w:val="0"/>
                      <w:color w:val="000000"/>
                      <w:kern w:val="0"/>
                      <w:sz w:val="24"/>
                      <w:szCs w:val="24"/>
                      <w:highlight w:val="none"/>
                      <w:u w:val="none"/>
                      <w:lang w:val="en-US" w:eastAsia="zh-CN" w:bidi="ar"/>
                    </w:rPr>
                    <w:t>93.8</w:t>
                  </w:r>
                </w:p>
              </w:tc>
              <w:tc>
                <w:tcPr>
                  <w:tcW w:w="1855"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sz w:val="24"/>
                      <w:szCs w:val="24"/>
                      <w:highlight w:val="none"/>
                      <w:vertAlign w:val="baseline"/>
                      <w:lang w:val="en-US" w:eastAsia="zh-CN" w:bidi="he-IL"/>
                    </w:rPr>
                  </w:pPr>
                  <w:r>
                    <w:rPr>
                      <w:rFonts w:hint="default" w:ascii="Times New Roman" w:hAnsi="Times New Roman" w:eastAsia="宋体" w:cs="Times New Roman"/>
                      <w:i w:val="0"/>
                      <w:color w:val="000000"/>
                      <w:kern w:val="0"/>
                      <w:sz w:val="24"/>
                      <w:szCs w:val="24"/>
                      <w:highlight w:val="none"/>
                      <w:u w:val="none"/>
                      <w:lang w:val="en-US" w:eastAsia="zh-CN" w:bidi="ar"/>
                    </w:rPr>
                    <w:t>93.8</w:t>
                  </w:r>
                </w:p>
              </w:tc>
              <w:tc>
                <w:tcPr>
                  <w:tcW w:w="1856"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sz w:val="24"/>
                      <w:szCs w:val="24"/>
                      <w:highlight w:val="none"/>
                      <w:vertAlign w:val="baseline"/>
                      <w:lang w:val="en-US" w:eastAsia="zh-CN" w:bidi="he-IL"/>
                    </w:rPr>
                  </w:pPr>
                  <w:r>
                    <w:rPr>
                      <w:rFonts w:hint="default" w:ascii="Times New Roman" w:hAnsi="Times New Roman" w:eastAsia="宋体" w:cs="Times New Roman"/>
                      <w:i w:val="0"/>
                      <w:color w:val="000000"/>
                      <w:kern w:val="0"/>
                      <w:sz w:val="24"/>
                      <w:szCs w:val="24"/>
                      <w:highlight w:val="none"/>
                      <w:u w:val="none"/>
                      <w:lang w:val="en-US" w:eastAsia="zh-CN" w:bidi="ar"/>
                    </w:rPr>
                    <w:t>93.8</w:t>
                  </w:r>
                </w:p>
              </w:tc>
              <w:tc>
                <w:tcPr>
                  <w:tcW w:w="1856"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sz w:val="24"/>
                      <w:szCs w:val="24"/>
                      <w:highlight w:val="none"/>
                      <w:vertAlign w:val="baseline"/>
                      <w:lang w:val="en-US" w:eastAsia="zh-CN" w:bidi="he-IL"/>
                    </w:rPr>
                  </w:pPr>
                  <w:r>
                    <w:rPr>
                      <w:rFonts w:hint="default" w:ascii="Times New Roman" w:hAnsi="Times New Roman" w:eastAsia="宋体" w:cs="Times New Roman"/>
                      <w:i w:val="0"/>
                      <w:color w:val="000000"/>
                      <w:kern w:val="0"/>
                      <w:sz w:val="24"/>
                      <w:szCs w:val="24"/>
                      <w:highlight w:val="none"/>
                      <w:u w:val="none"/>
                      <w:lang w:val="en-US" w:eastAsia="zh-CN" w:bidi="ar"/>
                    </w:rPr>
                    <w:t>93.8</w:t>
                  </w:r>
                </w:p>
              </w:tc>
            </w:tr>
          </w:tbl>
          <w:p>
            <w:pPr>
              <w:spacing w:line="360" w:lineRule="auto"/>
              <w:ind w:firstLine="480" w:firstLineChars="200"/>
              <w:rPr>
                <w:rFonts w:hint="default" w:ascii="Times New Roman" w:hAnsi="Times New Roman" w:eastAsia="宋体" w:cs="Times New Roman"/>
                <w:sz w:val="24"/>
                <w:highlight w:val="yellow"/>
                <w:lang w:bidi="he-IL"/>
              </w:rPr>
            </w:pPr>
          </w:p>
          <w:p>
            <w:pPr>
              <w:rPr>
                <w:rFonts w:hint="default" w:ascii="Times New Roman" w:hAnsi="Times New Roman" w:eastAsia="宋体" w:cs="Times New Roman"/>
                <w:highlight w:val="yellow"/>
              </w:rPr>
            </w:pPr>
          </w:p>
          <w:p>
            <w:pPr>
              <w:rPr>
                <w:rFonts w:hint="default" w:ascii="Times New Roman" w:hAnsi="Times New Roman" w:eastAsia="宋体" w:cs="Times New Roman"/>
                <w:highlight w:val="yellow"/>
              </w:rPr>
            </w:pPr>
          </w:p>
        </w:tc>
      </w:tr>
    </w:tbl>
    <w:p>
      <w:pPr>
        <w:rPr>
          <w:b/>
          <w:sz w:val="28"/>
          <w:szCs w:val="28"/>
        </w:rPr>
        <w:sectPr>
          <w:pgSz w:w="11906" w:h="16838"/>
          <w:pgMar w:top="1588" w:right="1418" w:bottom="1418" w:left="1418" w:header="851" w:footer="992" w:gutter="0"/>
          <w:pgBorders>
            <w:top w:val="none" w:sz="0" w:space="0"/>
            <w:left w:val="none" w:sz="0" w:space="0"/>
            <w:bottom w:val="none" w:sz="0" w:space="0"/>
            <w:right w:val="none" w:sz="0" w:space="0"/>
          </w:pgBorders>
          <w:cols w:space="425" w:num="1"/>
          <w:docGrid w:type="lines" w:linePitch="312" w:charSpace="0"/>
        </w:sectPr>
      </w:pPr>
    </w:p>
    <w:p>
      <w:pPr>
        <w:rPr>
          <w:b/>
          <w:sz w:val="28"/>
          <w:szCs w:val="28"/>
        </w:rPr>
      </w:pPr>
      <w:r>
        <w:rPr>
          <w:rFonts w:hint="eastAsia"/>
          <w:b/>
          <w:sz w:val="28"/>
          <w:szCs w:val="28"/>
        </w:rPr>
        <w:t>表六</w:t>
      </w:r>
    </w:p>
    <w:tbl>
      <w:tblPr>
        <w:tblStyle w:val="33"/>
        <w:tblW w:w="9503"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9714"/>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12530" w:hRule="atLeast"/>
          <w:jc w:val="center"/>
        </w:trPr>
        <w:tc>
          <w:tcPr>
            <w:tcW w:w="9503" w:type="dxa"/>
          </w:tcPr>
          <w:p>
            <w:pPr>
              <w:spacing w:line="360" w:lineRule="auto"/>
              <w:rPr>
                <w:rFonts w:hint="default" w:ascii="Times New Roman" w:hAnsi="Times New Roman" w:eastAsia="宋体" w:cs="Times New Roman"/>
                <w:b/>
                <w:sz w:val="28"/>
                <w:szCs w:val="28"/>
              </w:rPr>
            </w:pPr>
            <w:r>
              <w:rPr>
                <w:rFonts w:hint="default" w:ascii="Times New Roman" w:hAnsi="Times New Roman" w:eastAsia="宋体" w:cs="Times New Roman"/>
                <w:b/>
                <w:sz w:val="28"/>
                <w:szCs w:val="28"/>
              </w:rPr>
              <w:t>验收监测内容：</w:t>
            </w:r>
          </w:p>
          <w:p>
            <w:pPr>
              <w:rPr>
                <w:rFonts w:hint="default" w:ascii="Times New Roman" w:hAnsi="Times New Roman" w:eastAsia="宋体" w:cs="Times New Roman"/>
                <w:b/>
                <w:sz w:val="28"/>
                <w:szCs w:val="28"/>
              </w:rPr>
            </w:pPr>
            <w:r>
              <w:rPr>
                <w:rFonts w:hint="default" w:ascii="Times New Roman" w:hAnsi="Times New Roman" w:eastAsia="宋体" w:cs="Times New Roman"/>
                <w:b/>
                <w:sz w:val="28"/>
                <w:szCs w:val="28"/>
              </w:rPr>
              <w:t>1、废水</w:t>
            </w:r>
          </w:p>
          <w:p>
            <w:pPr>
              <w:jc w:val="center"/>
              <w:rPr>
                <w:rFonts w:hint="default" w:ascii="Times New Roman" w:hAnsi="Times New Roman" w:eastAsia="宋体" w:cs="Times New Roman"/>
                <w:b/>
                <w:sz w:val="24"/>
              </w:rPr>
            </w:pPr>
            <w:r>
              <w:rPr>
                <w:rFonts w:hint="default" w:ascii="Times New Roman" w:hAnsi="Times New Roman" w:eastAsia="宋体" w:cs="Times New Roman"/>
                <w:b/>
                <w:sz w:val="24"/>
              </w:rPr>
              <w:t>表6-1  废水验收监测内容</w:t>
            </w:r>
          </w:p>
          <w:tbl>
            <w:tblPr>
              <w:tblStyle w:val="32"/>
              <w:tblW w:w="9498"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3708"/>
              <w:gridCol w:w="3013"/>
              <w:gridCol w:w="2777"/>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3708" w:type="dxa"/>
                  <w:vAlign w:val="center"/>
                </w:tcPr>
                <w:p>
                  <w:pPr>
                    <w:spacing w:line="276" w:lineRule="auto"/>
                    <w:jc w:val="center"/>
                    <w:rPr>
                      <w:rFonts w:hint="default" w:ascii="Times New Roman" w:hAnsi="Times New Roman" w:eastAsia="宋体" w:cs="Times New Roman"/>
                      <w:sz w:val="24"/>
                    </w:rPr>
                  </w:pPr>
                  <w:r>
                    <w:rPr>
                      <w:rFonts w:hint="default" w:ascii="Times New Roman" w:hAnsi="Times New Roman" w:eastAsia="宋体" w:cs="Times New Roman"/>
                      <w:sz w:val="24"/>
                    </w:rPr>
                    <w:t>监测点位</w:t>
                  </w:r>
                </w:p>
              </w:tc>
              <w:tc>
                <w:tcPr>
                  <w:tcW w:w="3013" w:type="dxa"/>
                  <w:vAlign w:val="center"/>
                </w:tcPr>
                <w:p>
                  <w:pPr>
                    <w:spacing w:line="276" w:lineRule="auto"/>
                    <w:jc w:val="center"/>
                    <w:rPr>
                      <w:rFonts w:hint="default" w:ascii="Times New Roman" w:hAnsi="Times New Roman" w:eastAsia="宋体" w:cs="Times New Roman"/>
                      <w:sz w:val="24"/>
                    </w:rPr>
                  </w:pPr>
                  <w:r>
                    <w:rPr>
                      <w:rFonts w:hint="default" w:ascii="Times New Roman" w:hAnsi="Times New Roman" w:eastAsia="宋体" w:cs="Times New Roman"/>
                      <w:sz w:val="24"/>
                    </w:rPr>
                    <w:t>监测项目</w:t>
                  </w:r>
                </w:p>
              </w:tc>
              <w:tc>
                <w:tcPr>
                  <w:tcW w:w="2777" w:type="dxa"/>
                  <w:vAlign w:val="center"/>
                </w:tcPr>
                <w:p>
                  <w:pPr>
                    <w:spacing w:line="276" w:lineRule="auto"/>
                    <w:jc w:val="center"/>
                    <w:rPr>
                      <w:rFonts w:hint="default" w:ascii="Times New Roman" w:hAnsi="Times New Roman" w:eastAsia="宋体" w:cs="Times New Roman"/>
                      <w:sz w:val="24"/>
                    </w:rPr>
                  </w:pPr>
                  <w:r>
                    <w:rPr>
                      <w:rFonts w:hint="default" w:ascii="Times New Roman" w:hAnsi="Times New Roman" w:eastAsia="宋体" w:cs="Times New Roman"/>
                      <w:sz w:val="24"/>
                    </w:rPr>
                    <w:t>采样频次</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3708" w:type="dxa"/>
                  <w:vAlign w:val="center"/>
                </w:tcPr>
                <w:p>
                  <w:pPr>
                    <w:jc w:val="center"/>
                    <w:rPr>
                      <w:rFonts w:hint="default" w:ascii="Times New Roman" w:hAnsi="Times New Roman" w:eastAsia="宋体" w:cs="Times New Roman"/>
                      <w:sz w:val="24"/>
                      <w:lang w:eastAsia="zh-CN"/>
                    </w:rPr>
                  </w:pPr>
                  <w:r>
                    <w:rPr>
                      <w:rFonts w:hint="default" w:ascii="Times New Roman" w:hAnsi="Times New Roman" w:eastAsia="宋体" w:cs="Times New Roman"/>
                      <w:sz w:val="24"/>
                      <w:lang w:eastAsia="zh-CN"/>
                    </w:rPr>
                    <w:t>废水总排口</w:t>
                  </w:r>
                </w:p>
              </w:tc>
              <w:tc>
                <w:tcPr>
                  <w:tcW w:w="3013" w:type="dxa"/>
                  <w:vAlign w:val="center"/>
                </w:tcPr>
                <w:p>
                  <w:pPr>
                    <w:jc w:val="center"/>
                    <w:rPr>
                      <w:rFonts w:hint="default" w:ascii="Times New Roman" w:hAnsi="Times New Roman" w:eastAsia="宋体" w:cs="Times New Roman"/>
                      <w:sz w:val="24"/>
                      <w:lang w:val="en-US" w:eastAsia="zh-CN"/>
                    </w:rPr>
                  </w:pPr>
                  <w:r>
                    <w:rPr>
                      <w:rFonts w:hint="default" w:ascii="Times New Roman" w:hAnsi="Times New Roman" w:eastAsia="宋体" w:cs="Times New Roman"/>
                      <w:sz w:val="24"/>
                    </w:rPr>
                    <w:t>pH、COD、SS、BOD、</w:t>
                  </w:r>
                  <w:r>
                    <w:rPr>
                      <w:rFonts w:hint="default" w:ascii="Times New Roman" w:hAnsi="Times New Roman" w:eastAsia="宋体" w:cs="Times New Roman"/>
                      <w:color w:val="000000"/>
                      <w:sz w:val="24"/>
                    </w:rPr>
                    <w:t>NH</w:t>
                  </w:r>
                  <w:r>
                    <w:rPr>
                      <w:rFonts w:hint="default" w:ascii="Times New Roman" w:hAnsi="Times New Roman" w:eastAsia="宋体" w:cs="Times New Roman"/>
                      <w:color w:val="000000"/>
                      <w:sz w:val="24"/>
                      <w:vertAlign w:val="subscript"/>
                    </w:rPr>
                    <w:t>3</w:t>
                  </w:r>
                  <w:r>
                    <w:rPr>
                      <w:rFonts w:hint="default" w:ascii="Times New Roman" w:hAnsi="Times New Roman" w:eastAsia="宋体" w:cs="Times New Roman"/>
                      <w:color w:val="000000"/>
                      <w:sz w:val="24"/>
                    </w:rPr>
                    <w:t>-N</w:t>
                  </w:r>
                  <w:r>
                    <w:rPr>
                      <w:rFonts w:hint="default" w:ascii="Times New Roman" w:hAnsi="Times New Roman" w:eastAsia="宋体" w:cs="Times New Roman"/>
                      <w:color w:val="000000"/>
                      <w:sz w:val="24"/>
                      <w:lang w:val="en-US" w:eastAsia="zh-CN"/>
                    </w:rPr>
                    <w:t>、动植物油</w:t>
                  </w:r>
                  <w:r>
                    <w:rPr>
                      <w:rFonts w:hint="eastAsia" w:cs="Times New Roman"/>
                      <w:color w:val="000000"/>
                      <w:sz w:val="24"/>
                      <w:lang w:val="en-US" w:eastAsia="zh-CN"/>
                    </w:rPr>
                    <w:t>、石油类</w:t>
                  </w:r>
                </w:p>
              </w:tc>
              <w:tc>
                <w:tcPr>
                  <w:tcW w:w="2777" w:type="dxa"/>
                  <w:vAlign w:val="center"/>
                </w:tcPr>
                <w:p>
                  <w:pPr>
                    <w:jc w:val="center"/>
                    <w:rPr>
                      <w:rFonts w:hint="default" w:ascii="Times New Roman" w:hAnsi="Times New Roman" w:eastAsia="宋体" w:cs="Times New Roman"/>
                      <w:sz w:val="24"/>
                    </w:rPr>
                  </w:pPr>
                  <w:r>
                    <w:rPr>
                      <w:rFonts w:hint="default" w:ascii="Times New Roman" w:hAnsi="Times New Roman" w:eastAsia="宋体" w:cs="Times New Roman"/>
                      <w:sz w:val="24"/>
                    </w:rPr>
                    <w:t>2周期，每周期</w:t>
                  </w:r>
                  <w:r>
                    <w:rPr>
                      <w:rFonts w:hint="eastAsia" w:cs="Times New Roman"/>
                      <w:sz w:val="24"/>
                      <w:lang w:val="en-US" w:eastAsia="zh-CN"/>
                    </w:rPr>
                    <w:t>3</w:t>
                  </w:r>
                  <w:r>
                    <w:rPr>
                      <w:rFonts w:hint="default" w:ascii="Times New Roman" w:hAnsi="Times New Roman" w:eastAsia="宋体" w:cs="Times New Roman"/>
                      <w:sz w:val="24"/>
                    </w:rPr>
                    <w:t>频次</w:t>
                  </w:r>
                </w:p>
              </w:tc>
            </w:tr>
          </w:tbl>
          <w:p>
            <w:pPr>
              <w:rPr>
                <w:rFonts w:hint="default" w:ascii="Times New Roman" w:hAnsi="Times New Roman" w:eastAsia="宋体" w:cs="Times New Roman"/>
                <w:b/>
                <w:sz w:val="28"/>
                <w:szCs w:val="28"/>
              </w:rPr>
            </w:pPr>
            <w:r>
              <w:rPr>
                <w:rFonts w:hint="default" w:ascii="Times New Roman" w:hAnsi="Times New Roman" w:eastAsia="宋体" w:cs="Times New Roman"/>
                <w:b/>
                <w:sz w:val="28"/>
                <w:szCs w:val="28"/>
              </w:rPr>
              <w:t>2、废气</w:t>
            </w:r>
          </w:p>
          <w:p>
            <w:pPr>
              <w:jc w:val="center"/>
              <w:rPr>
                <w:rFonts w:hint="default" w:ascii="Times New Roman" w:hAnsi="Times New Roman" w:eastAsia="宋体" w:cs="Times New Roman"/>
                <w:b/>
                <w:sz w:val="24"/>
              </w:rPr>
            </w:pPr>
            <w:r>
              <w:rPr>
                <w:rFonts w:hint="default" w:ascii="Times New Roman" w:hAnsi="Times New Roman" w:eastAsia="宋体" w:cs="Times New Roman"/>
                <w:b/>
                <w:sz w:val="24"/>
              </w:rPr>
              <w:t>表6-2  废气验收监测内容</w:t>
            </w:r>
          </w:p>
          <w:tbl>
            <w:tblPr>
              <w:tblStyle w:val="32"/>
              <w:tblW w:w="9498"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547"/>
              <w:gridCol w:w="3052"/>
              <w:gridCol w:w="2122"/>
              <w:gridCol w:w="2777"/>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4599" w:type="dxa"/>
                  <w:gridSpan w:val="2"/>
                  <w:vAlign w:val="center"/>
                </w:tcPr>
                <w:p>
                  <w:pPr>
                    <w:spacing w:line="276" w:lineRule="auto"/>
                    <w:jc w:val="center"/>
                    <w:rPr>
                      <w:rFonts w:hint="default" w:ascii="Times New Roman" w:hAnsi="Times New Roman" w:eastAsia="宋体" w:cs="Times New Roman"/>
                      <w:sz w:val="24"/>
                    </w:rPr>
                  </w:pPr>
                  <w:r>
                    <w:rPr>
                      <w:rFonts w:hint="default" w:ascii="Times New Roman" w:hAnsi="Times New Roman" w:eastAsia="宋体" w:cs="Times New Roman"/>
                      <w:sz w:val="24"/>
                    </w:rPr>
                    <w:t>监测点位</w:t>
                  </w:r>
                </w:p>
              </w:tc>
              <w:tc>
                <w:tcPr>
                  <w:tcW w:w="2122" w:type="dxa"/>
                  <w:vAlign w:val="center"/>
                </w:tcPr>
                <w:p>
                  <w:pPr>
                    <w:spacing w:line="276" w:lineRule="auto"/>
                    <w:jc w:val="center"/>
                    <w:rPr>
                      <w:rFonts w:hint="default" w:ascii="Times New Roman" w:hAnsi="Times New Roman" w:eastAsia="宋体" w:cs="Times New Roman"/>
                      <w:sz w:val="24"/>
                    </w:rPr>
                  </w:pPr>
                  <w:r>
                    <w:rPr>
                      <w:rFonts w:hint="default" w:ascii="Times New Roman" w:hAnsi="Times New Roman" w:eastAsia="宋体" w:cs="Times New Roman"/>
                      <w:sz w:val="24"/>
                    </w:rPr>
                    <w:t>监测项目</w:t>
                  </w:r>
                </w:p>
              </w:tc>
              <w:tc>
                <w:tcPr>
                  <w:tcW w:w="2777" w:type="dxa"/>
                  <w:vAlign w:val="center"/>
                </w:tcPr>
                <w:p>
                  <w:pPr>
                    <w:spacing w:line="276" w:lineRule="auto"/>
                    <w:jc w:val="center"/>
                    <w:rPr>
                      <w:rFonts w:hint="default" w:ascii="Times New Roman" w:hAnsi="Times New Roman" w:eastAsia="宋体" w:cs="Times New Roman"/>
                      <w:sz w:val="24"/>
                    </w:rPr>
                  </w:pPr>
                  <w:r>
                    <w:rPr>
                      <w:rFonts w:hint="default" w:ascii="Times New Roman" w:hAnsi="Times New Roman" w:eastAsia="宋体" w:cs="Times New Roman"/>
                      <w:sz w:val="24"/>
                    </w:rPr>
                    <w:t>采样频次</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547" w:type="dxa"/>
                  <w:vAlign w:val="center"/>
                </w:tcPr>
                <w:p>
                  <w:pPr>
                    <w:spacing w:line="276" w:lineRule="auto"/>
                    <w:jc w:val="center"/>
                    <w:rPr>
                      <w:rFonts w:hint="default" w:ascii="Times New Roman" w:hAnsi="Times New Roman" w:eastAsia="宋体" w:cs="Times New Roman"/>
                      <w:sz w:val="24"/>
                    </w:rPr>
                  </w:pPr>
                  <w:r>
                    <w:rPr>
                      <w:rFonts w:hint="default" w:ascii="Times New Roman" w:hAnsi="Times New Roman" w:eastAsia="宋体" w:cs="Times New Roman"/>
                      <w:sz w:val="24"/>
                    </w:rPr>
                    <w:t>有组织废气</w:t>
                  </w:r>
                </w:p>
              </w:tc>
              <w:tc>
                <w:tcPr>
                  <w:tcW w:w="3052" w:type="dxa"/>
                  <w:vAlign w:val="center"/>
                </w:tcPr>
                <w:p>
                  <w:pPr>
                    <w:jc w:val="center"/>
                    <w:rPr>
                      <w:rFonts w:hint="default" w:ascii="Times New Roman" w:hAnsi="Times New Roman" w:eastAsia="宋体" w:cs="Times New Roman"/>
                      <w:kern w:val="2"/>
                      <w:sz w:val="24"/>
                      <w:szCs w:val="24"/>
                      <w:lang w:val="en-US" w:eastAsia="zh-CN" w:bidi="ar-SA"/>
                    </w:rPr>
                  </w:pPr>
                  <w:r>
                    <w:rPr>
                      <w:rFonts w:hint="default" w:ascii="Times New Roman" w:hAnsi="Times New Roman" w:eastAsia="宋体" w:cs="Times New Roman"/>
                      <w:sz w:val="24"/>
                      <w:lang w:val="en-US" w:eastAsia="zh-CN"/>
                    </w:rPr>
                    <w:t>脱模</w:t>
                  </w:r>
                  <w:r>
                    <w:rPr>
                      <w:rFonts w:hint="eastAsia" w:cs="Times New Roman"/>
                      <w:sz w:val="24"/>
                      <w:lang w:val="en-US" w:eastAsia="zh-CN"/>
                    </w:rPr>
                    <w:t>废气</w:t>
                  </w:r>
                  <w:r>
                    <w:rPr>
                      <w:rFonts w:hint="default" w:ascii="Times New Roman" w:hAnsi="Times New Roman" w:eastAsia="宋体" w:cs="Times New Roman"/>
                      <w:sz w:val="24"/>
                      <w:lang w:val="en-US" w:eastAsia="zh-CN"/>
                    </w:rPr>
                    <w:t>排气筒</w:t>
                  </w:r>
                  <w:r>
                    <w:rPr>
                      <w:rFonts w:hint="eastAsia" w:cs="Times New Roman"/>
                      <w:sz w:val="24"/>
                      <w:lang w:val="en-US" w:eastAsia="zh-CN"/>
                    </w:rPr>
                    <w:t>进口、</w:t>
                  </w:r>
                  <w:r>
                    <w:rPr>
                      <w:rFonts w:hint="default" w:ascii="Times New Roman" w:hAnsi="Times New Roman" w:eastAsia="宋体" w:cs="Times New Roman"/>
                      <w:sz w:val="24"/>
                      <w:lang w:val="en-US" w:eastAsia="zh-CN"/>
                    </w:rPr>
                    <w:t>出口</w:t>
                  </w:r>
                </w:p>
              </w:tc>
              <w:tc>
                <w:tcPr>
                  <w:tcW w:w="2122" w:type="dxa"/>
                  <w:vAlign w:val="center"/>
                </w:tcPr>
                <w:p>
                  <w:pPr>
                    <w:jc w:val="center"/>
                    <w:rPr>
                      <w:rFonts w:hint="default" w:ascii="Times New Roman" w:hAnsi="Times New Roman" w:eastAsia="宋体" w:cs="Times New Roman"/>
                      <w:kern w:val="2"/>
                      <w:sz w:val="24"/>
                      <w:szCs w:val="24"/>
                      <w:lang w:val="en-US" w:eastAsia="zh-CN" w:bidi="ar-SA"/>
                    </w:rPr>
                  </w:pPr>
                  <w:r>
                    <w:rPr>
                      <w:rFonts w:hint="default" w:ascii="Times New Roman" w:hAnsi="Times New Roman" w:eastAsia="宋体" w:cs="Times New Roman"/>
                      <w:sz w:val="24"/>
                    </w:rPr>
                    <w:t>非甲烷总烃</w:t>
                  </w:r>
                </w:p>
              </w:tc>
              <w:tc>
                <w:tcPr>
                  <w:tcW w:w="2777" w:type="dxa"/>
                  <w:vAlign w:val="center"/>
                </w:tcPr>
                <w:p>
                  <w:pPr>
                    <w:spacing w:line="276" w:lineRule="auto"/>
                    <w:jc w:val="center"/>
                    <w:rPr>
                      <w:rFonts w:hint="default" w:ascii="Times New Roman" w:hAnsi="Times New Roman" w:eastAsia="宋体" w:cs="Times New Roman"/>
                      <w:kern w:val="2"/>
                      <w:sz w:val="24"/>
                      <w:szCs w:val="24"/>
                      <w:lang w:val="en-US" w:eastAsia="zh-CN" w:bidi="ar-SA"/>
                    </w:rPr>
                  </w:pPr>
                  <w:r>
                    <w:rPr>
                      <w:rFonts w:hint="default" w:ascii="Times New Roman" w:hAnsi="Times New Roman" w:eastAsia="宋体" w:cs="Times New Roman"/>
                      <w:sz w:val="24"/>
                    </w:rPr>
                    <w:t>2周期，每周期3频次</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547" w:type="dxa"/>
                  <w:vAlign w:val="center"/>
                </w:tcPr>
                <w:p>
                  <w:pPr>
                    <w:spacing w:line="276" w:lineRule="auto"/>
                    <w:jc w:val="center"/>
                    <w:rPr>
                      <w:rFonts w:hint="default" w:ascii="Times New Roman" w:hAnsi="Times New Roman" w:eastAsia="宋体" w:cs="Times New Roman"/>
                      <w:sz w:val="24"/>
                    </w:rPr>
                  </w:pPr>
                  <w:r>
                    <w:rPr>
                      <w:rFonts w:hint="default" w:ascii="Times New Roman" w:hAnsi="Times New Roman" w:eastAsia="宋体" w:cs="Times New Roman"/>
                      <w:sz w:val="24"/>
                    </w:rPr>
                    <w:t>无组织废气</w:t>
                  </w:r>
                </w:p>
              </w:tc>
              <w:tc>
                <w:tcPr>
                  <w:tcW w:w="3052" w:type="dxa"/>
                  <w:vAlign w:val="center"/>
                </w:tcPr>
                <w:p>
                  <w:pPr>
                    <w:spacing w:line="276" w:lineRule="auto"/>
                    <w:jc w:val="center"/>
                    <w:rPr>
                      <w:rFonts w:hint="default" w:ascii="Times New Roman" w:hAnsi="Times New Roman" w:eastAsia="宋体" w:cs="Times New Roman"/>
                      <w:bCs/>
                      <w:sz w:val="24"/>
                      <w:highlight w:val="none"/>
                      <w:lang w:val="en-US" w:eastAsia="zh-CN"/>
                    </w:rPr>
                  </w:pPr>
                  <w:r>
                    <w:rPr>
                      <w:rFonts w:hint="default" w:ascii="Times New Roman" w:hAnsi="Times New Roman" w:eastAsia="宋体" w:cs="Times New Roman"/>
                      <w:color w:val="000000"/>
                      <w:sz w:val="24"/>
                      <w:highlight w:val="none"/>
                      <w:shd w:val="clear" w:color="auto" w:fill="FFFFFF"/>
                      <w:lang w:val="en-US" w:eastAsia="zh-CN"/>
                    </w:rPr>
                    <w:t>上风向1、下风向</w:t>
                  </w:r>
                  <w:r>
                    <w:rPr>
                      <w:rFonts w:hint="eastAsia" w:cs="Times New Roman"/>
                      <w:color w:val="000000"/>
                      <w:sz w:val="24"/>
                      <w:highlight w:val="none"/>
                      <w:shd w:val="clear" w:color="auto" w:fill="FFFFFF"/>
                      <w:lang w:val="en-US" w:eastAsia="zh-CN"/>
                    </w:rPr>
                    <w:t>1</w:t>
                  </w:r>
                  <w:r>
                    <w:rPr>
                      <w:rFonts w:hint="default" w:ascii="Times New Roman" w:hAnsi="Times New Roman" w:eastAsia="宋体" w:cs="Times New Roman"/>
                      <w:color w:val="000000"/>
                      <w:sz w:val="24"/>
                      <w:highlight w:val="none"/>
                      <w:shd w:val="clear" w:color="auto" w:fill="FFFFFF"/>
                      <w:lang w:val="en-US" w:eastAsia="zh-CN"/>
                    </w:rPr>
                    <w:t>、下风向</w:t>
                  </w:r>
                  <w:r>
                    <w:rPr>
                      <w:rFonts w:hint="eastAsia" w:cs="Times New Roman"/>
                      <w:color w:val="000000"/>
                      <w:sz w:val="24"/>
                      <w:highlight w:val="none"/>
                      <w:shd w:val="clear" w:color="auto" w:fill="FFFFFF"/>
                      <w:lang w:val="en-US" w:eastAsia="zh-CN"/>
                    </w:rPr>
                    <w:t>2</w:t>
                  </w:r>
                  <w:r>
                    <w:rPr>
                      <w:rFonts w:hint="default" w:ascii="Times New Roman" w:hAnsi="Times New Roman" w:eastAsia="宋体" w:cs="Times New Roman"/>
                      <w:color w:val="000000"/>
                      <w:sz w:val="24"/>
                      <w:highlight w:val="none"/>
                      <w:shd w:val="clear" w:color="auto" w:fill="FFFFFF"/>
                      <w:lang w:val="en-US" w:eastAsia="zh-CN"/>
                    </w:rPr>
                    <w:t>、下风向</w:t>
                  </w:r>
                  <w:r>
                    <w:rPr>
                      <w:rFonts w:hint="eastAsia" w:cs="Times New Roman"/>
                      <w:color w:val="000000"/>
                      <w:sz w:val="24"/>
                      <w:highlight w:val="none"/>
                      <w:shd w:val="clear" w:color="auto" w:fill="FFFFFF"/>
                      <w:lang w:val="en-US" w:eastAsia="zh-CN"/>
                    </w:rPr>
                    <w:t>3</w:t>
                  </w:r>
                </w:p>
              </w:tc>
              <w:tc>
                <w:tcPr>
                  <w:tcW w:w="2122" w:type="dxa"/>
                  <w:vAlign w:val="center"/>
                </w:tcPr>
                <w:p>
                  <w:pPr>
                    <w:spacing w:line="276" w:lineRule="auto"/>
                    <w:jc w:val="center"/>
                    <w:rPr>
                      <w:rFonts w:hint="default" w:ascii="Times New Roman" w:hAnsi="Times New Roman" w:eastAsia="宋体" w:cs="Times New Roman"/>
                      <w:sz w:val="24"/>
                      <w:highlight w:val="none"/>
                      <w:lang w:val="en-US" w:eastAsia="zh-CN"/>
                    </w:rPr>
                  </w:pPr>
                  <w:r>
                    <w:rPr>
                      <w:rFonts w:hint="default" w:ascii="Times New Roman" w:hAnsi="Times New Roman" w:eastAsia="宋体" w:cs="Times New Roman"/>
                      <w:sz w:val="24"/>
                      <w:highlight w:val="none"/>
                      <w:lang w:val="en-US" w:eastAsia="zh-CN"/>
                    </w:rPr>
                    <w:t>非甲烷总烃</w:t>
                  </w:r>
                </w:p>
              </w:tc>
              <w:tc>
                <w:tcPr>
                  <w:tcW w:w="2777" w:type="dxa"/>
                  <w:vAlign w:val="center"/>
                </w:tcPr>
                <w:p>
                  <w:pPr>
                    <w:spacing w:line="276" w:lineRule="auto"/>
                    <w:jc w:val="center"/>
                    <w:rPr>
                      <w:rFonts w:hint="default" w:ascii="Times New Roman" w:hAnsi="Times New Roman" w:eastAsia="宋体" w:cs="Times New Roman"/>
                      <w:sz w:val="24"/>
                      <w:highlight w:val="none"/>
                    </w:rPr>
                  </w:pPr>
                  <w:r>
                    <w:rPr>
                      <w:rFonts w:hint="default" w:ascii="Times New Roman" w:hAnsi="Times New Roman" w:eastAsia="宋体" w:cs="Times New Roman"/>
                      <w:sz w:val="24"/>
                      <w:highlight w:val="none"/>
                    </w:rPr>
                    <w:t>2周期，每周期3频次</w:t>
                  </w:r>
                </w:p>
              </w:tc>
            </w:tr>
          </w:tbl>
          <w:p>
            <w:pPr>
              <w:rPr>
                <w:rFonts w:hint="default" w:ascii="Times New Roman" w:hAnsi="Times New Roman" w:eastAsia="宋体" w:cs="Times New Roman"/>
                <w:b/>
                <w:sz w:val="28"/>
                <w:szCs w:val="28"/>
              </w:rPr>
            </w:pPr>
            <w:r>
              <w:rPr>
                <w:rFonts w:hint="default" w:ascii="Times New Roman" w:hAnsi="Times New Roman" w:eastAsia="宋体" w:cs="Times New Roman"/>
                <w:b/>
                <w:sz w:val="28"/>
                <w:szCs w:val="28"/>
              </w:rPr>
              <w:t>3、噪声</w:t>
            </w:r>
          </w:p>
          <w:p>
            <w:pPr>
              <w:jc w:val="center"/>
              <w:rPr>
                <w:rFonts w:hint="default" w:ascii="Times New Roman" w:hAnsi="Times New Roman" w:eastAsia="宋体" w:cs="Times New Roman"/>
                <w:b/>
                <w:sz w:val="24"/>
              </w:rPr>
            </w:pPr>
            <w:r>
              <w:rPr>
                <w:rFonts w:hint="default" w:ascii="Times New Roman" w:hAnsi="Times New Roman" w:eastAsia="宋体" w:cs="Times New Roman"/>
                <w:b/>
                <w:sz w:val="24"/>
              </w:rPr>
              <w:t>表6-3  噪声验收监测内容</w:t>
            </w:r>
          </w:p>
          <w:tbl>
            <w:tblPr>
              <w:tblStyle w:val="32"/>
              <w:tblW w:w="9498"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351"/>
              <w:gridCol w:w="2552"/>
              <w:gridCol w:w="2818"/>
              <w:gridCol w:w="2777"/>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3903" w:type="dxa"/>
                  <w:gridSpan w:val="2"/>
                  <w:vAlign w:val="center"/>
                </w:tcPr>
                <w:p>
                  <w:pPr>
                    <w:spacing w:line="276" w:lineRule="auto"/>
                    <w:jc w:val="center"/>
                    <w:rPr>
                      <w:rFonts w:hint="default" w:ascii="Times New Roman" w:hAnsi="Times New Roman" w:eastAsia="宋体" w:cs="Times New Roman"/>
                      <w:sz w:val="24"/>
                    </w:rPr>
                  </w:pPr>
                  <w:r>
                    <w:rPr>
                      <w:rFonts w:hint="default" w:ascii="Times New Roman" w:hAnsi="Times New Roman" w:eastAsia="宋体" w:cs="Times New Roman"/>
                      <w:sz w:val="24"/>
                    </w:rPr>
                    <w:t>监测点位</w:t>
                  </w:r>
                </w:p>
              </w:tc>
              <w:tc>
                <w:tcPr>
                  <w:tcW w:w="2818" w:type="dxa"/>
                  <w:vAlign w:val="center"/>
                </w:tcPr>
                <w:p>
                  <w:pPr>
                    <w:spacing w:line="276" w:lineRule="auto"/>
                    <w:jc w:val="center"/>
                    <w:rPr>
                      <w:rFonts w:hint="default" w:ascii="Times New Roman" w:hAnsi="Times New Roman" w:eastAsia="宋体" w:cs="Times New Roman"/>
                      <w:sz w:val="24"/>
                    </w:rPr>
                  </w:pPr>
                  <w:r>
                    <w:rPr>
                      <w:rFonts w:hint="default" w:ascii="Times New Roman" w:hAnsi="Times New Roman" w:eastAsia="宋体" w:cs="Times New Roman"/>
                      <w:sz w:val="24"/>
                    </w:rPr>
                    <w:t>监测项目</w:t>
                  </w:r>
                </w:p>
              </w:tc>
              <w:tc>
                <w:tcPr>
                  <w:tcW w:w="2777" w:type="dxa"/>
                  <w:vAlign w:val="center"/>
                </w:tcPr>
                <w:p>
                  <w:pPr>
                    <w:spacing w:line="276" w:lineRule="auto"/>
                    <w:jc w:val="center"/>
                    <w:rPr>
                      <w:rFonts w:hint="default" w:ascii="Times New Roman" w:hAnsi="Times New Roman" w:eastAsia="宋体" w:cs="Times New Roman"/>
                      <w:sz w:val="24"/>
                    </w:rPr>
                  </w:pPr>
                  <w:r>
                    <w:rPr>
                      <w:rFonts w:hint="default" w:ascii="Times New Roman" w:hAnsi="Times New Roman" w:eastAsia="宋体" w:cs="Times New Roman"/>
                      <w:sz w:val="24"/>
                    </w:rPr>
                    <w:t>采样频次</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864" w:hRule="atLeast"/>
                <w:jc w:val="center"/>
              </w:trPr>
              <w:tc>
                <w:tcPr>
                  <w:tcW w:w="1351" w:type="dxa"/>
                  <w:vAlign w:val="center"/>
                </w:tcPr>
                <w:p>
                  <w:pPr>
                    <w:spacing w:line="276" w:lineRule="auto"/>
                    <w:jc w:val="center"/>
                    <w:rPr>
                      <w:rFonts w:hint="default" w:ascii="Times New Roman" w:hAnsi="Times New Roman" w:eastAsia="宋体" w:cs="Times New Roman"/>
                      <w:sz w:val="24"/>
                    </w:rPr>
                  </w:pPr>
                  <w:r>
                    <w:rPr>
                      <w:rFonts w:hint="default" w:ascii="Times New Roman" w:hAnsi="Times New Roman" w:eastAsia="宋体" w:cs="Times New Roman"/>
                      <w:sz w:val="24"/>
                    </w:rPr>
                    <w:t>噪声</w:t>
                  </w:r>
                </w:p>
              </w:tc>
              <w:tc>
                <w:tcPr>
                  <w:tcW w:w="2552" w:type="dxa"/>
                  <w:vAlign w:val="center"/>
                </w:tcPr>
                <w:p>
                  <w:pPr>
                    <w:spacing w:line="276" w:lineRule="auto"/>
                    <w:jc w:val="center"/>
                    <w:rPr>
                      <w:rFonts w:hint="default" w:ascii="Times New Roman" w:hAnsi="Times New Roman" w:eastAsia="宋体" w:cs="Times New Roman"/>
                      <w:bCs/>
                      <w:sz w:val="24"/>
                    </w:rPr>
                  </w:pPr>
                  <w:r>
                    <w:rPr>
                      <w:rFonts w:hint="default" w:ascii="Times New Roman" w:hAnsi="Times New Roman" w:eastAsia="宋体" w:cs="Times New Roman"/>
                      <w:color w:val="000000"/>
                      <w:sz w:val="24"/>
                      <w:shd w:val="clear" w:color="auto" w:fill="FFFFFF"/>
                    </w:rPr>
                    <w:t>厂界东侧、南侧、西侧、北侧</w:t>
                  </w:r>
                </w:p>
              </w:tc>
              <w:tc>
                <w:tcPr>
                  <w:tcW w:w="2818" w:type="dxa"/>
                  <w:vAlign w:val="center"/>
                </w:tcPr>
                <w:p>
                  <w:pPr>
                    <w:spacing w:line="276" w:lineRule="auto"/>
                    <w:jc w:val="center"/>
                    <w:rPr>
                      <w:rFonts w:hint="default" w:ascii="Times New Roman" w:hAnsi="Times New Roman" w:eastAsia="宋体" w:cs="Times New Roman"/>
                      <w:sz w:val="24"/>
                    </w:rPr>
                  </w:pPr>
                  <w:r>
                    <w:rPr>
                      <w:rFonts w:hint="default" w:ascii="Times New Roman" w:hAnsi="Times New Roman" w:eastAsia="宋体" w:cs="Times New Roman"/>
                      <w:sz w:val="24"/>
                      <w:highlight w:val="none"/>
                    </w:rPr>
                    <w:t>昼间</w:t>
                  </w:r>
                  <w:r>
                    <w:rPr>
                      <w:rFonts w:hint="default" w:ascii="Times New Roman" w:hAnsi="Times New Roman" w:eastAsia="宋体" w:cs="Times New Roman"/>
                      <w:sz w:val="24"/>
                      <w:highlight w:val="none"/>
                      <w:lang w:eastAsia="zh-CN"/>
                    </w:rPr>
                    <w:t>、</w:t>
                  </w:r>
                  <w:r>
                    <w:rPr>
                      <w:rFonts w:hint="default" w:ascii="Times New Roman" w:hAnsi="Times New Roman" w:eastAsia="宋体" w:cs="Times New Roman"/>
                      <w:sz w:val="24"/>
                      <w:highlight w:val="none"/>
                      <w:lang w:val="en-US" w:eastAsia="zh-CN"/>
                    </w:rPr>
                    <w:t>夜间</w:t>
                  </w:r>
                  <w:r>
                    <w:rPr>
                      <w:rFonts w:hint="default" w:ascii="Times New Roman" w:hAnsi="Times New Roman" w:eastAsia="宋体" w:cs="Times New Roman"/>
                      <w:sz w:val="24"/>
                      <w:highlight w:val="none"/>
                    </w:rPr>
                    <w:t>噪</w:t>
                  </w:r>
                  <w:r>
                    <w:rPr>
                      <w:rFonts w:hint="default" w:ascii="Times New Roman" w:hAnsi="Times New Roman" w:eastAsia="宋体" w:cs="Times New Roman"/>
                      <w:sz w:val="24"/>
                    </w:rPr>
                    <w:t>声</w:t>
                  </w:r>
                </w:p>
              </w:tc>
              <w:tc>
                <w:tcPr>
                  <w:tcW w:w="2777" w:type="dxa"/>
                  <w:vAlign w:val="center"/>
                </w:tcPr>
                <w:p>
                  <w:pPr>
                    <w:spacing w:line="276" w:lineRule="auto"/>
                    <w:jc w:val="center"/>
                    <w:rPr>
                      <w:rFonts w:hint="default" w:ascii="Times New Roman" w:hAnsi="Times New Roman" w:eastAsia="宋体" w:cs="Times New Roman"/>
                      <w:sz w:val="24"/>
                    </w:rPr>
                  </w:pPr>
                  <w:r>
                    <w:rPr>
                      <w:rFonts w:hint="default" w:ascii="Times New Roman" w:hAnsi="Times New Roman" w:eastAsia="宋体" w:cs="Times New Roman"/>
                      <w:sz w:val="24"/>
                    </w:rPr>
                    <w:t>1天1频次，监测2天</w:t>
                  </w:r>
                </w:p>
              </w:tc>
            </w:tr>
          </w:tbl>
          <w:p>
            <w:pPr>
              <w:spacing w:line="360" w:lineRule="auto"/>
              <w:rPr>
                <w:rFonts w:hint="default" w:ascii="Times New Roman" w:hAnsi="Times New Roman" w:eastAsia="宋体" w:cs="Times New Roman"/>
                <w:b/>
                <w:sz w:val="28"/>
                <w:szCs w:val="28"/>
                <w:highlight w:val="none"/>
                <w:lang w:val="en-US" w:eastAsia="zh-CN"/>
              </w:rPr>
            </w:pPr>
            <w:r>
              <w:rPr>
                <w:rFonts w:hint="default" w:ascii="Times New Roman" w:hAnsi="Times New Roman" w:eastAsia="宋体" w:cs="Times New Roman"/>
                <w:b/>
                <w:sz w:val="28"/>
                <w:szCs w:val="28"/>
                <w:highlight w:val="none"/>
                <w:lang w:val="en-US" w:eastAsia="zh-CN"/>
              </w:rPr>
              <w:t>4、监测点位示意图</w:t>
            </w:r>
          </w:p>
          <w:p>
            <w:pPr>
              <w:spacing w:line="360" w:lineRule="auto"/>
              <w:jc w:val="center"/>
              <w:rPr>
                <w:rFonts w:hint="default" w:ascii="Times New Roman" w:hAnsi="Times New Roman" w:eastAsia="宋体" w:cs="Times New Roman"/>
                <w:b/>
                <w:sz w:val="28"/>
                <w:szCs w:val="28"/>
                <w:highlight w:val="yellow"/>
                <w:lang w:val="en-US" w:eastAsia="zh-CN"/>
              </w:rPr>
            </w:pPr>
            <w:r>
              <w:rPr>
                <w:rFonts w:hint="default" w:ascii="Times New Roman" w:hAnsi="Times New Roman" w:eastAsia="宋体" w:cs="Times New Roman"/>
                <w:b/>
                <w:sz w:val="28"/>
                <w:szCs w:val="28"/>
                <w:highlight w:val="none"/>
                <w:lang w:val="en-US" w:eastAsia="zh-CN"/>
              </w:rPr>
              <w:drawing>
                <wp:inline distT="0" distB="0" distL="114300" distR="114300">
                  <wp:extent cx="3542030" cy="4095750"/>
                  <wp:effectExtent l="0" t="0" r="127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pic:cNvPicPr>
                        </pic:nvPicPr>
                        <pic:blipFill>
                          <a:blip r:embed="rId18">
                            <a:extLst>
                              <a:ext uri="{28A0092B-C50C-407E-A947-70E740481C1C}">
                                <a14:useLocalDpi xmlns:a14="http://schemas.microsoft.com/office/drawing/2010/main" val="0"/>
                              </a:ext>
                            </a:extLst>
                          </a:blip>
                          <a:stretch>
                            <a:fillRect/>
                          </a:stretch>
                        </pic:blipFill>
                        <pic:spPr>
                          <a:xfrm>
                            <a:off x="0" y="0"/>
                            <a:ext cx="3542030" cy="4095750"/>
                          </a:xfrm>
                          <a:prstGeom prst="rect">
                            <a:avLst/>
                          </a:prstGeom>
                        </pic:spPr>
                      </pic:pic>
                    </a:graphicData>
                  </a:graphic>
                </wp:inline>
              </w:drawing>
            </w:r>
          </w:p>
          <w:p>
            <w:pPr>
              <w:spacing w:line="360" w:lineRule="auto"/>
              <w:jc w:val="center"/>
              <w:rPr>
                <w:rFonts w:hint="default" w:ascii="Times New Roman" w:hAnsi="Times New Roman" w:eastAsia="宋体" w:cs="Times New Roman"/>
                <w:b/>
                <w:kern w:val="0"/>
                <w:sz w:val="24"/>
                <w:highlight w:val="none"/>
              </w:rPr>
            </w:pPr>
            <w:r>
              <w:rPr>
                <w:rFonts w:hint="default" w:ascii="Times New Roman" w:hAnsi="Times New Roman" w:eastAsia="宋体" w:cs="Times New Roman"/>
                <w:b/>
                <w:kern w:val="0"/>
                <w:sz w:val="24"/>
                <w:highlight w:val="none"/>
              </w:rPr>
              <w:t>图</w:t>
            </w:r>
            <w:r>
              <w:rPr>
                <w:rFonts w:hint="default" w:ascii="Times New Roman" w:hAnsi="Times New Roman" w:eastAsia="宋体" w:cs="Times New Roman"/>
                <w:b/>
                <w:kern w:val="0"/>
                <w:sz w:val="24"/>
                <w:highlight w:val="none"/>
                <w:lang w:val="en-US" w:eastAsia="zh-CN"/>
              </w:rPr>
              <w:t>6</w:t>
            </w:r>
            <w:r>
              <w:rPr>
                <w:rFonts w:hint="default" w:ascii="Times New Roman" w:hAnsi="Times New Roman" w:eastAsia="宋体" w:cs="Times New Roman"/>
                <w:b/>
                <w:kern w:val="0"/>
                <w:sz w:val="24"/>
                <w:highlight w:val="none"/>
              </w:rPr>
              <w:t>-</w:t>
            </w:r>
            <w:r>
              <w:rPr>
                <w:rFonts w:hint="eastAsia" w:cs="Times New Roman"/>
                <w:b/>
                <w:kern w:val="0"/>
                <w:sz w:val="24"/>
                <w:highlight w:val="none"/>
                <w:lang w:val="en-US" w:eastAsia="zh-CN"/>
              </w:rPr>
              <w:t>1</w:t>
            </w:r>
            <w:r>
              <w:rPr>
                <w:rFonts w:hint="default" w:ascii="Times New Roman" w:hAnsi="Times New Roman" w:eastAsia="宋体" w:cs="Times New Roman"/>
                <w:b/>
                <w:kern w:val="0"/>
                <w:sz w:val="24"/>
                <w:highlight w:val="none"/>
              </w:rPr>
              <w:t xml:space="preserve">  </w:t>
            </w:r>
            <w:r>
              <w:rPr>
                <w:rFonts w:hint="eastAsia" w:cs="Times New Roman"/>
                <w:b/>
                <w:kern w:val="0"/>
                <w:sz w:val="24"/>
                <w:highlight w:val="none"/>
                <w:lang w:val="en-US" w:eastAsia="zh-CN"/>
              </w:rPr>
              <w:t>无组织废气</w:t>
            </w:r>
            <w:r>
              <w:rPr>
                <w:rFonts w:hint="default" w:ascii="Times New Roman" w:hAnsi="Times New Roman" w:eastAsia="宋体" w:cs="Times New Roman"/>
                <w:b/>
                <w:kern w:val="0"/>
                <w:sz w:val="24"/>
                <w:highlight w:val="none"/>
                <w:lang w:val="en-US" w:eastAsia="zh-CN"/>
              </w:rPr>
              <w:t>监测点位图</w:t>
            </w:r>
          </w:p>
          <w:p>
            <w:pPr>
              <w:spacing w:line="360" w:lineRule="auto"/>
              <w:jc w:val="center"/>
              <w:rPr>
                <w:rFonts w:hint="default" w:ascii="Times New Roman" w:hAnsi="Times New Roman" w:eastAsia="宋体" w:cs="Times New Roman"/>
                <w:b/>
                <w:kern w:val="0"/>
                <w:sz w:val="24"/>
                <w:highlight w:val="yellow"/>
              </w:rPr>
            </w:pPr>
            <w:r>
              <w:rPr>
                <w:rFonts w:hint="default" w:ascii="Times New Roman" w:hAnsi="Times New Roman" w:eastAsia="宋体" w:cs="Times New Roman"/>
                <w:b/>
                <w:kern w:val="0"/>
                <w:sz w:val="24"/>
                <w:highlight w:val="none"/>
                <w:lang w:val="en-US" w:eastAsia="zh-CN"/>
              </w:rPr>
              <w:drawing>
                <wp:inline distT="0" distB="0" distL="0" distR="0">
                  <wp:extent cx="3427730" cy="3613785"/>
                  <wp:effectExtent l="0" t="0" r="1270" b="571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19"/>
                          <a:stretch>
                            <a:fillRect/>
                          </a:stretch>
                        </pic:blipFill>
                        <pic:spPr>
                          <a:xfrm>
                            <a:off x="0" y="0"/>
                            <a:ext cx="3427730" cy="3613785"/>
                          </a:xfrm>
                          <a:prstGeom prst="rect">
                            <a:avLst/>
                          </a:prstGeom>
                        </pic:spPr>
                      </pic:pic>
                    </a:graphicData>
                  </a:graphic>
                </wp:inline>
              </w:drawing>
            </w:r>
          </w:p>
          <w:p>
            <w:pPr>
              <w:spacing w:line="360" w:lineRule="auto"/>
              <w:jc w:val="center"/>
              <w:rPr>
                <w:rFonts w:hint="default" w:ascii="Times New Roman" w:hAnsi="Times New Roman" w:eastAsia="宋体" w:cs="Times New Roman"/>
                <w:b/>
                <w:sz w:val="28"/>
                <w:szCs w:val="28"/>
              </w:rPr>
            </w:pPr>
            <w:r>
              <w:rPr>
                <w:rFonts w:hint="default" w:ascii="Times New Roman" w:hAnsi="Times New Roman" w:eastAsia="宋体" w:cs="Times New Roman"/>
                <w:b/>
                <w:kern w:val="0"/>
                <w:sz w:val="24"/>
                <w:highlight w:val="none"/>
              </w:rPr>
              <w:t>图</w:t>
            </w:r>
            <w:r>
              <w:rPr>
                <w:rFonts w:hint="default" w:ascii="Times New Roman" w:hAnsi="Times New Roman" w:eastAsia="宋体" w:cs="Times New Roman"/>
                <w:b/>
                <w:kern w:val="0"/>
                <w:sz w:val="24"/>
                <w:highlight w:val="none"/>
                <w:lang w:val="en-US" w:eastAsia="zh-CN"/>
              </w:rPr>
              <w:t>6</w:t>
            </w:r>
            <w:r>
              <w:rPr>
                <w:rFonts w:hint="default" w:ascii="Times New Roman" w:hAnsi="Times New Roman" w:eastAsia="宋体" w:cs="Times New Roman"/>
                <w:b/>
                <w:kern w:val="0"/>
                <w:sz w:val="24"/>
                <w:highlight w:val="none"/>
              </w:rPr>
              <w:t>-</w:t>
            </w:r>
            <w:r>
              <w:rPr>
                <w:rFonts w:hint="eastAsia" w:cs="Times New Roman"/>
                <w:b/>
                <w:kern w:val="0"/>
                <w:sz w:val="24"/>
                <w:highlight w:val="none"/>
                <w:lang w:val="en-US" w:eastAsia="zh-CN"/>
              </w:rPr>
              <w:t>2</w:t>
            </w:r>
            <w:r>
              <w:rPr>
                <w:rFonts w:hint="default" w:ascii="Times New Roman" w:hAnsi="Times New Roman" w:eastAsia="宋体" w:cs="Times New Roman"/>
                <w:b/>
                <w:kern w:val="0"/>
                <w:sz w:val="24"/>
                <w:highlight w:val="none"/>
              </w:rPr>
              <w:t xml:space="preserve">  </w:t>
            </w:r>
            <w:r>
              <w:rPr>
                <w:rFonts w:hint="default" w:ascii="Times New Roman" w:hAnsi="Times New Roman" w:eastAsia="宋体" w:cs="Times New Roman"/>
                <w:b/>
                <w:kern w:val="0"/>
                <w:sz w:val="24"/>
                <w:highlight w:val="none"/>
                <w:lang w:val="en-US" w:eastAsia="zh-CN"/>
              </w:rPr>
              <w:t>噪声监测点位图</w:t>
            </w:r>
          </w:p>
        </w:tc>
      </w:tr>
    </w:tbl>
    <w:p>
      <w:pPr>
        <w:rPr>
          <w:sz w:val="28"/>
          <w:szCs w:val="28"/>
        </w:rPr>
        <w:sectPr>
          <w:pgSz w:w="11906" w:h="16838"/>
          <w:pgMar w:top="1588" w:right="1418" w:bottom="1418" w:left="1418" w:header="851" w:footer="992" w:gutter="0"/>
          <w:pgBorders>
            <w:top w:val="none" w:sz="0" w:space="0"/>
            <w:left w:val="none" w:sz="0" w:space="0"/>
            <w:bottom w:val="none" w:sz="0" w:space="0"/>
            <w:right w:val="none" w:sz="0" w:space="0"/>
          </w:pgBorders>
          <w:cols w:space="425" w:num="1"/>
          <w:docGrid w:type="lines" w:linePitch="312" w:charSpace="0"/>
        </w:sectPr>
      </w:pPr>
    </w:p>
    <w:p>
      <w:pPr>
        <w:rPr>
          <w:b/>
          <w:sz w:val="28"/>
          <w:szCs w:val="28"/>
        </w:rPr>
      </w:pPr>
      <w:r>
        <w:rPr>
          <w:rFonts w:hint="eastAsia"/>
          <w:b/>
          <w:sz w:val="28"/>
          <w:szCs w:val="28"/>
        </w:rPr>
        <w:t>表七</w:t>
      </w:r>
    </w:p>
    <w:tbl>
      <w:tblPr>
        <w:tblStyle w:val="33"/>
        <w:tblW w:w="9502"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1008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2869" w:hRule="atLeast"/>
          <w:jc w:val="center"/>
        </w:trPr>
        <w:tc>
          <w:tcPr>
            <w:tcW w:w="10541" w:type="dxa"/>
            <w:vAlign w:val="top"/>
          </w:tcPr>
          <w:p>
            <w:pPr>
              <w:spacing w:line="360" w:lineRule="auto"/>
            </w:pPr>
            <w:r>
              <w:rPr>
                <w:rFonts w:hint="eastAsia"/>
              </w:rPr>
              <w:t>验收监测期间生产工况记录：</w:t>
            </w:r>
          </w:p>
          <w:p>
            <w:pPr>
              <w:spacing w:line="360" w:lineRule="auto"/>
              <w:ind w:firstLine="420" w:firstLineChars="200"/>
              <w:rPr>
                <w:rFonts w:hint="eastAsia"/>
              </w:rPr>
            </w:pPr>
            <w:r>
              <w:rPr>
                <w:rFonts w:hint="eastAsia"/>
              </w:rPr>
              <w:t>根据</w:t>
            </w:r>
            <w:r>
              <w:rPr>
                <w:rFonts w:hint="eastAsia"/>
                <w:lang w:eastAsia="zh-CN"/>
              </w:rPr>
              <w:t>《建设项目竣工环境保护验收技术指南  污染影响类》</w:t>
            </w:r>
            <w:r>
              <w:rPr>
                <w:rFonts w:hint="eastAsia"/>
              </w:rPr>
              <w:t>关于建设项目环境保护设施竣工验收监测的要求，验收监测应当在确保主体工程工况稳定、环境保护设施运行正常的情况下进行，并如实记录监测时的实际工况以及决定或影响工况的关键参数，如实记录能够反映环境保护设施运行状态的主要指标。</w:t>
            </w:r>
          </w:p>
          <w:p>
            <w:pPr>
              <w:spacing w:line="360" w:lineRule="auto"/>
              <w:ind w:firstLine="420" w:firstLineChars="200"/>
              <w:rPr>
                <w:rFonts w:hint="eastAsia"/>
              </w:rPr>
            </w:pPr>
            <w:r>
              <w:rPr>
                <w:rFonts w:hint="eastAsia"/>
              </w:rPr>
              <w:t>监测期间主体工程工况稳定、环境保护设施运行正常，满足监测工况条件要求。</w:t>
            </w:r>
          </w:p>
          <w:p>
            <w:pPr>
              <w:spacing w:line="360" w:lineRule="auto"/>
              <w:ind w:firstLine="420" w:firstLineChars="200"/>
              <w:rPr>
                <w:rFonts w:hint="default"/>
                <w:lang w:val="en-US" w:eastAsia="zh-CN"/>
              </w:rPr>
            </w:pPr>
            <w:r>
              <w:rPr>
                <w:rFonts w:hint="eastAsia"/>
                <w:lang w:val="en-US" w:eastAsia="zh-CN"/>
              </w:rPr>
              <w:t>为了更加准确的反应废水废气达标情况，项目于2020年8月23日和2020年8月24日对废水中的石油类和废气进口非甲烷总烃进行了补测，具体结果见下表。</w:t>
            </w:r>
          </w:p>
          <w:p>
            <w:pPr>
              <w:spacing w:line="360" w:lineRule="auto"/>
              <w:jc w:val="left"/>
            </w:pPr>
            <w:r>
              <w:rPr>
                <w:rFonts w:hint="eastAsia"/>
              </w:rPr>
              <w:t>验收监测结果：</w:t>
            </w:r>
          </w:p>
          <w:p>
            <w:pPr>
              <w:spacing w:line="360" w:lineRule="auto"/>
            </w:pPr>
            <w:r>
              <w:rPr>
                <w:rFonts w:hint="eastAsia"/>
              </w:rPr>
              <w:t>1、废水监测结果</w:t>
            </w:r>
          </w:p>
          <w:p>
            <w:pPr>
              <w:widowControl/>
              <w:spacing w:line="360" w:lineRule="auto"/>
              <w:jc w:val="right"/>
              <w:rPr>
                <w:rFonts w:hint="default"/>
                <w:lang w:val="en-US" w:eastAsia="zh-CN"/>
              </w:rPr>
            </w:pPr>
            <w:r>
              <w:rPr>
                <w:rFonts w:hint="eastAsia"/>
              </w:rPr>
              <w:t>表7</w:t>
            </w:r>
            <w:r>
              <w:t>-1</w:t>
            </w:r>
            <w:r>
              <w:rPr>
                <w:rFonts w:hint="eastAsia"/>
              </w:rPr>
              <w:t xml:space="preserve">  废水监测结果表</w:t>
            </w:r>
            <w:r>
              <w:rPr>
                <w:rFonts w:hint="eastAsia"/>
                <w:lang w:val="en-US" w:eastAsia="zh-CN"/>
              </w:rPr>
              <w:t xml:space="preserve">           单位：mg/L  pH：无量纲</w:t>
            </w:r>
          </w:p>
          <w:tbl>
            <w:tblPr>
              <w:tblStyle w:val="33"/>
              <w:tblW w:w="483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Layout w:type="autofit"/>
              <w:tblCellMar>
                <w:top w:w="0" w:type="dxa"/>
                <w:left w:w="108" w:type="dxa"/>
                <w:bottom w:w="0" w:type="dxa"/>
                <w:right w:w="108" w:type="dxa"/>
              </w:tblCellMar>
            </w:tblPr>
            <w:tblGrid>
              <w:gridCol w:w="1013"/>
              <w:gridCol w:w="1310"/>
              <w:gridCol w:w="1218"/>
              <w:gridCol w:w="1122"/>
              <w:gridCol w:w="1058"/>
              <w:gridCol w:w="1172"/>
              <w:gridCol w:w="855"/>
              <w:gridCol w:w="695"/>
              <w:gridCol w:w="1086"/>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1004" w:type="dxa"/>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rPr>
                  </w:pPr>
                  <w:r>
                    <w:rPr>
                      <w:rFonts w:hint="default"/>
                      <w:lang w:val="en-US" w:eastAsia="zh-CN"/>
                    </w:rPr>
                    <w:t>监测点位</w:t>
                  </w:r>
                </w:p>
              </w:tc>
              <w:tc>
                <w:tcPr>
                  <w:tcW w:w="1299" w:type="dxa"/>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rPr>
                  </w:pPr>
                  <w:r>
                    <w:rPr>
                      <w:rFonts w:hint="default"/>
                      <w:lang w:val="en-US" w:eastAsia="zh-CN"/>
                    </w:rPr>
                    <w:t>监测日期</w:t>
                  </w:r>
                </w:p>
              </w:tc>
              <w:tc>
                <w:tcPr>
                  <w:tcW w:w="1208" w:type="dxa"/>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rPr>
                  </w:pPr>
                  <w:r>
                    <w:rPr>
                      <w:rFonts w:hint="default"/>
                      <w:lang w:val="en-US" w:eastAsia="zh-CN"/>
                    </w:rPr>
                    <w:t>监测频次</w:t>
                  </w:r>
                </w:p>
              </w:tc>
              <w:tc>
                <w:tcPr>
                  <w:tcW w:w="1112" w:type="dxa"/>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rPr>
                  </w:pPr>
                  <w:r>
                    <w:rPr>
                      <w:rFonts w:hint="eastAsia"/>
                      <w:lang w:val="en-US" w:eastAsia="zh-CN"/>
                    </w:rPr>
                    <w:t>p</w:t>
                  </w:r>
                  <w:r>
                    <w:rPr>
                      <w:rFonts w:hint="default"/>
                      <w:lang w:val="en-US" w:eastAsia="zh-CN"/>
                    </w:rPr>
                    <w:t>H</w:t>
                  </w:r>
                </w:p>
              </w:tc>
              <w:tc>
                <w:tcPr>
                  <w:tcW w:w="1049" w:type="dxa"/>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rPr>
                  </w:pPr>
                  <w:r>
                    <w:rPr>
                      <w:rFonts w:hint="default"/>
                      <w:lang w:val="en-US" w:eastAsia="zh-CN"/>
                    </w:rPr>
                    <w:t>CODcr</w:t>
                  </w:r>
                </w:p>
              </w:tc>
              <w:tc>
                <w:tcPr>
                  <w:tcW w:w="1162" w:type="dxa"/>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rPr>
                  </w:pPr>
                  <w:r>
                    <w:rPr>
                      <w:rFonts w:hint="default"/>
                      <w:lang w:val="en-US" w:eastAsia="zh-CN"/>
                    </w:rPr>
                    <w:t>BOD</w:t>
                  </w:r>
                  <w:r>
                    <w:rPr>
                      <w:rFonts w:hint="default"/>
                      <w:vertAlign w:val="subscript"/>
                      <w:lang w:val="en-US" w:eastAsia="zh-CN"/>
                    </w:rPr>
                    <w:t>5</w:t>
                  </w:r>
                </w:p>
              </w:tc>
              <w:tc>
                <w:tcPr>
                  <w:tcW w:w="848" w:type="dxa"/>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rPr>
                  </w:pPr>
                  <w:r>
                    <w:rPr>
                      <w:rFonts w:hint="default"/>
                      <w:lang w:val="en-US" w:eastAsia="zh-CN"/>
                    </w:rPr>
                    <w:t>SS</w:t>
                  </w:r>
                </w:p>
              </w:tc>
              <w:tc>
                <w:tcPr>
                  <w:tcW w:w="670" w:type="dxa"/>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rPr>
                  </w:pPr>
                  <w:r>
                    <w:rPr>
                      <w:rFonts w:hint="default"/>
                      <w:lang w:val="en-US" w:eastAsia="zh-CN"/>
                    </w:rPr>
                    <w:t>氨氮</w:t>
                  </w:r>
                </w:p>
              </w:tc>
              <w:tc>
                <w:tcPr>
                  <w:tcW w:w="1076" w:type="dxa"/>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lang w:val="en-US" w:eastAsia="zh-CN"/>
                    </w:rPr>
                  </w:pPr>
                  <w:r>
                    <w:rPr>
                      <w:rFonts w:hint="default"/>
                      <w:lang w:val="en-US" w:eastAsia="zh-CN"/>
                    </w:rPr>
                    <w:t>动植物油</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04" w:type="dxa"/>
                  <w:vMerge w:val="restart"/>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lang w:val="en-US" w:eastAsia="zh-CN"/>
                    </w:rPr>
                  </w:pPr>
                  <w:r>
                    <w:rPr>
                      <w:rFonts w:hint="default"/>
                      <w:lang w:val="en-US" w:eastAsia="zh-CN"/>
                    </w:rPr>
                    <w:t>废水总</w:t>
                  </w:r>
                </w:p>
                <w:p>
                  <w:pPr>
                    <w:pStyle w:val="161"/>
                    <w:keepNext w:val="0"/>
                    <w:keepLines w:val="0"/>
                    <w:suppressLineNumbers w:val="0"/>
                    <w:bidi w:val="0"/>
                    <w:spacing w:beforeAutospacing="0" w:afterAutospacing="0"/>
                    <w:rPr>
                      <w:rFonts w:hint="default"/>
                    </w:rPr>
                  </w:pPr>
                  <w:r>
                    <w:rPr>
                      <w:rFonts w:hint="default"/>
                      <w:lang w:val="en-US" w:eastAsia="zh-CN"/>
                    </w:rPr>
                    <w:t>排口</w:t>
                  </w:r>
                </w:p>
              </w:tc>
              <w:tc>
                <w:tcPr>
                  <w:tcW w:w="1299" w:type="dxa"/>
                  <w:vMerge w:val="restart"/>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lang w:val="en-US"/>
                    </w:rPr>
                  </w:pPr>
                  <w:r>
                    <w:rPr>
                      <w:rFonts w:hint="default"/>
                      <w:lang w:val="en-US" w:eastAsia="zh-CN"/>
                    </w:rPr>
                    <w:t>2020.07.25</w:t>
                  </w:r>
                </w:p>
              </w:tc>
              <w:tc>
                <w:tcPr>
                  <w:tcW w:w="1208" w:type="dxa"/>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rPr>
                  </w:pPr>
                  <w:r>
                    <w:rPr>
                      <w:rFonts w:hint="default"/>
                      <w:lang w:val="en-US" w:eastAsia="zh-CN"/>
                    </w:rPr>
                    <w:t>第一次</w:t>
                  </w:r>
                </w:p>
              </w:tc>
              <w:tc>
                <w:tcPr>
                  <w:tcW w:w="1112" w:type="dxa"/>
                  <w:tcBorders>
                    <w:tl2br w:val="nil"/>
                    <w:tr2bl w:val="nil"/>
                  </w:tcBorders>
                  <w:shd w:val="clear" w:color="auto" w:fill="auto"/>
                  <w:vAlign w:val="center"/>
                </w:tcPr>
                <w:p>
                  <w:pPr>
                    <w:spacing w:line="276" w:lineRule="auto"/>
                    <w:jc w:val="center"/>
                    <w:rPr>
                      <w:rFonts w:hint="default"/>
                      <w:lang w:val="en-US" w:eastAsia="zh-CN"/>
                    </w:rPr>
                  </w:pPr>
                  <w:r>
                    <w:rPr>
                      <w:rFonts w:hint="default"/>
                    </w:rPr>
                    <w:t>7.38</w:t>
                  </w:r>
                </w:p>
              </w:tc>
              <w:tc>
                <w:tcPr>
                  <w:tcW w:w="1049" w:type="dxa"/>
                  <w:tcBorders>
                    <w:tl2br w:val="nil"/>
                    <w:tr2bl w:val="nil"/>
                  </w:tcBorders>
                  <w:shd w:val="clear" w:color="auto" w:fill="auto"/>
                  <w:vAlign w:val="center"/>
                </w:tcPr>
                <w:p>
                  <w:pPr>
                    <w:spacing w:line="276" w:lineRule="auto"/>
                    <w:jc w:val="center"/>
                    <w:rPr>
                      <w:rFonts w:hint="default"/>
                      <w:lang w:val="en-US" w:eastAsia="zh-CN"/>
                    </w:rPr>
                  </w:pPr>
                  <w:r>
                    <w:rPr>
                      <w:rFonts w:hint="default"/>
                    </w:rPr>
                    <w:t>46</w:t>
                  </w:r>
                </w:p>
              </w:tc>
              <w:tc>
                <w:tcPr>
                  <w:tcW w:w="1162" w:type="dxa"/>
                  <w:tcBorders>
                    <w:tl2br w:val="nil"/>
                    <w:tr2bl w:val="nil"/>
                  </w:tcBorders>
                  <w:shd w:val="clear" w:color="auto" w:fill="auto"/>
                  <w:vAlign w:val="center"/>
                </w:tcPr>
                <w:p>
                  <w:pPr>
                    <w:spacing w:line="276" w:lineRule="auto"/>
                    <w:jc w:val="center"/>
                    <w:rPr>
                      <w:rFonts w:hint="default"/>
                      <w:lang w:val="en-US" w:eastAsia="zh-CN"/>
                    </w:rPr>
                  </w:pPr>
                  <w:r>
                    <w:rPr>
                      <w:rFonts w:hint="default"/>
                    </w:rPr>
                    <w:t>14.3</w:t>
                  </w:r>
                </w:p>
              </w:tc>
              <w:tc>
                <w:tcPr>
                  <w:tcW w:w="848" w:type="dxa"/>
                  <w:tcBorders>
                    <w:tl2br w:val="nil"/>
                    <w:tr2bl w:val="nil"/>
                  </w:tcBorders>
                  <w:shd w:val="clear" w:color="auto" w:fill="auto"/>
                  <w:vAlign w:val="center"/>
                </w:tcPr>
                <w:p>
                  <w:pPr>
                    <w:spacing w:line="276" w:lineRule="auto"/>
                    <w:jc w:val="center"/>
                    <w:rPr>
                      <w:rFonts w:hint="default"/>
                      <w:lang w:val="en-US" w:eastAsia="zh-CN"/>
                    </w:rPr>
                  </w:pPr>
                  <w:r>
                    <w:rPr>
                      <w:rFonts w:hint="default"/>
                    </w:rPr>
                    <w:t>22</w:t>
                  </w:r>
                </w:p>
              </w:tc>
              <w:tc>
                <w:tcPr>
                  <w:tcW w:w="670" w:type="dxa"/>
                  <w:tcBorders>
                    <w:tl2br w:val="nil"/>
                    <w:tr2bl w:val="nil"/>
                  </w:tcBorders>
                  <w:shd w:val="clear" w:color="auto" w:fill="auto"/>
                  <w:vAlign w:val="center"/>
                </w:tcPr>
                <w:p>
                  <w:pPr>
                    <w:spacing w:line="276" w:lineRule="auto"/>
                    <w:jc w:val="center"/>
                    <w:rPr>
                      <w:rFonts w:hint="default"/>
                      <w:lang w:val="en-US" w:eastAsia="zh-CN"/>
                    </w:rPr>
                  </w:pPr>
                  <w:r>
                    <w:rPr>
                      <w:rFonts w:hint="default"/>
                    </w:rPr>
                    <w:t>0.400</w:t>
                  </w:r>
                </w:p>
              </w:tc>
              <w:tc>
                <w:tcPr>
                  <w:tcW w:w="1076" w:type="dxa"/>
                  <w:tcBorders>
                    <w:tl2br w:val="nil"/>
                    <w:tr2bl w:val="nil"/>
                  </w:tcBorders>
                  <w:shd w:val="clear" w:color="auto" w:fill="auto"/>
                  <w:vAlign w:val="center"/>
                </w:tcPr>
                <w:p>
                  <w:pPr>
                    <w:spacing w:line="276" w:lineRule="auto"/>
                    <w:jc w:val="center"/>
                    <w:rPr>
                      <w:rFonts w:hint="default"/>
                      <w:lang w:val="en-US" w:eastAsia="zh-CN"/>
                    </w:rPr>
                  </w:pPr>
                  <w:r>
                    <w:rPr>
                      <w:rFonts w:hint="default"/>
                    </w:rPr>
                    <w:t>0.25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04" w:type="dxa"/>
                  <w:vMerge w:val="continue"/>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rPr>
                  </w:pPr>
                </w:p>
              </w:tc>
              <w:tc>
                <w:tcPr>
                  <w:tcW w:w="1299" w:type="dxa"/>
                  <w:vMerge w:val="continue"/>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rPr>
                  </w:pPr>
                </w:p>
              </w:tc>
              <w:tc>
                <w:tcPr>
                  <w:tcW w:w="1208" w:type="dxa"/>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rPr>
                  </w:pPr>
                  <w:r>
                    <w:rPr>
                      <w:rFonts w:hint="default"/>
                      <w:lang w:val="en-US" w:eastAsia="zh-CN"/>
                    </w:rPr>
                    <w:t>第二次</w:t>
                  </w:r>
                </w:p>
              </w:tc>
              <w:tc>
                <w:tcPr>
                  <w:tcW w:w="1112" w:type="dxa"/>
                  <w:tcBorders>
                    <w:tl2br w:val="nil"/>
                    <w:tr2bl w:val="nil"/>
                  </w:tcBorders>
                  <w:shd w:val="clear" w:color="auto" w:fill="auto"/>
                  <w:vAlign w:val="center"/>
                </w:tcPr>
                <w:p>
                  <w:pPr>
                    <w:spacing w:line="276" w:lineRule="auto"/>
                    <w:jc w:val="center"/>
                    <w:rPr>
                      <w:rFonts w:hint="default"/>
                      <w:lang w:val="en-US" w:eastAsia="zh-CN"/>
                    </w:rPr>
                  </w:pPr>
                  <w:r>
                    <w:rPr>
                      <w:rFonts w:hint="default"/>
                    </w:rPr>
                    <w:t>7.41</w:t>
                  </w:r>
                </w:p>
              </w:tc>
              <w:tc>
                <w:tcPr>
                  <w:tcW w:w="1049" w:type="dxa"/>
                  <w:tcBorders>
                    <w:tl2br w:val="nil"/>
                    <w:tr2bl w:val="nil"/>
                  </w:tcBorders>
                  <w:shd w:val="clear" w:color="auto" w:fill="auto"/>
                  <w:vAlign w:val="center"/>
                </w:tcPr>
                <w:p>
                  <w:pPr>
                    <w:spacing w:line="276" w:lineRule="auto"/>
                    <w:jc w:val="center"/>
                    <w:rPr>
                      <w:rFonts w:hint="default"/>
                      <w:lang w:val="en-US" w:eastAsia="zh-CN"/>
                    </w:rPr>
                  </w:pPr>
                  <w:r>
                    <w:rPr>
                      <w:rFonts w:hint="default"/>
                    </w:rPr>
                    <w:t>41</w:t>
                  </w:r>
                </w:p>
              </w:tc>
              <w:tc>
                <w:tcPr>
                  <w:tcW w:w="1162" w:type="dxa"/>
                  <w:tcBorders>
                    <w:tl2br w:val="nil"/>
                    <w:tr2bl w:val="nil"/>
                  </w:tcBorders>
                  <w:shd w:val="clear" w:color="auto" w:fill="auto"/>
                  <w:vAlign w:val="center"/>
                </w:tcPr>
                <w:p>
                  <w:pPr>
                    <w:spacing w:line="276" w:lineRule="auto"/>
                    <w:jc w:val="center"/>
                    <w:rPr>
                      <w:rFonts w:hint="default"/>
                      <w:lang w:val="en-US" w:eastAsia="zh-CN"/>
                    </w:rPr>
                  </w:pPr>
                  <w:r>
                    <w:rPr>
                      <w:rFonts w:hint="default"/>
                    </w:rPr>
                    <w:t>12.2</w:t>
                  </w:r>
                </w:p>
              </w:tc>
              <w:tc>
                <w:tcPr>
                  <w:tcW w:w="848" w:type="dxa"/>
                  <w:tcBorders>
                    <w:tl2br w:val="nil"/>
                    <w:tr2bl w:val="nil"/>
                  </w:tcBorders>
                  <w:shd w:val="clear" w:color="auto" w:fill="auto"/>
                  <w:vAlign w:val="center"/>
                </w:tcPr>
                <w:p>
                  <w:pPr>
                    <w:spacing w:line="276" w:lineRule="auto"/>
                    <w:jc w:val="center"/>
                    <w:rPr>
                      <w:rFonts w:hint="default"/>
                      <w:lang w:val="en-US" w:eastAsia="zh-CN"/>
                    </w:rPr>
                  </w:pPr>
                  <w:r>
                    <w:rPr>
                      <w:rFonts w:hint="default"/>
                    </w:rPr>
                    <w:t>26</w:t>
                  </w:r>
                </w:p>
              </w:tc>
              <w:tc>
                <w:tcPr>
                  <w:tcW w:w="670" w:type="dxa"/>
                  <w:tcBorders>
                    <w:tl2br w:val="nil"/>
                    <w:tr2bl w:val="nil"/>
                  </w:tcBorders>
                  <w:shd w:val="clear" w:color="auto" w:fill="auto"/>
                  <w:vAlign w:val="center"/>
                </w:tcPr>
                <w:p>
                  <w:pPr>
                    <w:spacing w:line="276" w:lineRule="auto"/>
                    <w:jc w:val="center"/>
                    <w:rPr>
                      <w:rFonts w:hint="default"/>
                      <w:lang w:val="en-US" w:eastAsia="zh-CN"/>
                    </w:rPr>
                  </w:pPr>
                  <w:r>
                    <w:rPr>
                      <w:rFonts w:hint="default"/>
                    </w:rPr>
                    <w:t>0.294</w:t>
                  </w:r>
                </w:p>
              </w:tc>
              <w:tc>
                <w:tcPr>
                  <w:tcW w:w="1076" w:type="dxa"/>
                  <w:tcBorders>
                    <w:tl2br w:val="nil"/>
                    <w:tr2bl w:val="nil"/>
                  </w:tcBorders>
                  <w:shd w:val="clear" w:color="auto" w:fill="auto"/>
                  <w:vAlign w:val="center"/>
                </w:tcPr>
                <w:p>
                  <w:pPr>
                    <w:spacing w:line="276" w:lineRule="auto"/>
                    <w:jc w:val="center"/>
                    <w:rPr>
                      <w:rFonts w:hint="default"/>
                      <w:lang w:val="en-US" w:eastAsia="zh-CN"/>
                    </w:rPr>
                  </w:pPr>
                  <w:r>
                    <w:rPr>
                      <w:rFonts w:hint="default"/>
                    </w:rPr>
                    <w:t>0.20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PrEx>
              <w:trPr>
                <w:trHeight w:val="454" w:hRule="atLeast"/>
                <w:jc w:val="center"/>
              </w:trPr>
              <w:tc>
                <w:tcPr>
                  <w:tcW w:w="1004" w:type="dxa"/>
                  <w:vMerge w:val="continue"/>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rPr>
                  </w:pPr>
                </w:p>
              </w:tc>
              <w:tc>
                <w:tcPr>
                  <w:tcW w:w="1299" w:type="dxa"/>
                  <w:vMerge w:val="continue"/>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rPr>
                  </w:pPr>
                </w:p>
              </w:tc>
              <w:tc>
                <w:tcPr>
                  <w:tcW w:w="1208" w:type="dxa"/>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rPr>
                  </w:pPr>
                  <w:r>
                    <w:rPr>
                      <w:rFonts w:hint="default"/>
                      <w:lang w:val="en-US" w:eastAsia="zh-CN"/>
                    </w:rPr>
                    <w:t>第三次</w:t>
                  </w:r>
                </w:p>
              </w:tc>
              <w:tc>
                <w:tcPr>
                  <w:tcW w:w="1112" w:type="dxa"/>
                  <w:tcBorders>
                    <w:tl2br w:val="nil"/>
                    <w:tr2bl w:val="nil"/>
                  </w:tcBorders>
                  <w:shd w:val="clear" w:color="auto" w:fill="auto"/>
                  <w:vAlign w:val="center"/>
                </w:tcPr>
                <w:p>
                  <w:pPr>
                    <w:spacing w:line="276" w:lineRule="auto"/>
                    <w:jc w:val="center"/>
                    <w:rPr>
                      <w:rFonts w:hint="default"/>
                      <w:lang w:val="en-US" w:eastAsia="zh-CN"/>
                    </w:rPr>
                  </w:pPr>
                  <w:r>
                    <w:rPr>
                      <w:rFonts w:hint="default"/>
                    </w:rPr>
                    <w:t>7.42</w:t>
                  </w:r>
                </w:p>
              </w:tc>
              <w:tc>
                <w:tcPr>
                  <w:tcW w:w="1049" w:type="dxa"/>
                  <w:tcBorders>
                    <w:tl2br w:val="nil"/>
                    <w:tr2bl w:val="nil"/>
                  </w:tcBorders>
                  <w:shd w:val="clear" w:color="auto" w:fill="auto"/>
                  <w:vAlign w:val="center"/>
                </w:tcPr>
                <w:p>
                  <w:pPr>
                    <w:spacing w:line="276" w:lineRule="auto"/>
                    <w:jc w:val="center"/>
                    <w:rPr>
                      <w:rFonts w:hint="default"/>
                      <w:lang w:val="en-US" w:eastAsia="zh-CN"/>
                    </w:rPr>
                  </w:pPr>
                  <w:r>
                    <w:rPr>
                      <w:rFonts w:hint="default"/>
                    </w:rPr>
                    <w:t>49</w:t>
                  </w:r>
                </w:p>
              </w:tc>
              <w:tc>
                <w:tcPr>
                  <w:tcW w:w="1162" w:type="dxa"/>
                  <w:tcBorders>
                    <w:tl2br w:val="nil"/>
                    <w:tr2bl w:val="nil"/>
                  </w:tcBorders>
                  <w:shd w:val="clear" w:color="auto" w:fill="auto"/>
                  <w:vAlign w:val="center"/>
                </w:tcPr>
                <w:p>
                  <w:pPr>
                    <w:spacing w:line="276" w:lineRule="auto"/>
                    <w:jc w:val="center"/>
                    <w:rPr>
                      <w:rFonts w:hint="default"/>
                      <w:lang w:val="en-US" w:eastAsia="zh-CN"/>
                    </w:rPr>
                  </w:pPr>
                  <w:r>
                    <w:rPr>
                      <w:rFonts w:hint="default"/>
                    </w:rPr>
                    <w:t>13.1</w:t>
                  </w:r>
                </w:p>
              </w:tc>
              <w:tc>
                <w:tcPr>
                  <w:tcW w:w="848" w:type="dxa"/>
                  <w:tcBorders>
                    <w:tl2br w:val="nil"/>
                    <w:tr2bl w:val="nil"/>
                  </w:tcBorders>
                  <w:shd w:val="clear" w:color="auto" w:fill="auto"/>
                  <w:vAlign w:val="center"/>
                </w:tcPr>
                <w:p>
                  <w:pPr>
                    <w:spacing w:line="276" w:lineRule="auto"/>
                    <w:jc w:val="center"/>
                    <w:rPr>
                      <w:rFonts w:hint="default"/>
                      <w:lang w:val="en-US" w:eastAsia="zh-CN"/>
                    </w:rPr>
                  </w:pPr>
                  <w:r>
                    <w:rPr>
                      <w:rFonts w:hint="default"/>
                    </w:rPr>
                    <w:t>23</w:t>
                  </w:r>
                </w:p>
              </w:tc>
              <w:tc>
                <w:tcPr>
                  <w:tcW w:w="670" w:type="dxa"/>
                  <w:tcBorders>
                    <w:tl2br w:val="nil"/>
                    <w:tr2bl w:val="nil"/>
                  </w:tcBorders>
                  <w:shd w:val="clear" w:color="auto" w:fill="auto"/>
                  <w:vAlign w:val="center"/>
                </w:tcPr>
                <w:p>
                  <w:pPr>
                    <w:spacing w:line="276" w:lineRule="auto"/>
                    <w:jc w:val="center"/>
                    <w:rPr>
                      <w:rFonts w:hint="default"/>
                      <w:lang w:val="en-US" w:eastAsia="zh-CN"/>
                    </w:rPr>
                  </w:pPr>
                  <w:r>
                    <w:rPr>
                      <w:rFonts w:hint="default"/>
                    </w:rPr>
                    <w:t>0.347</w:t>
                  </w:r>
                </w:p>
              </w:tc>
              <w:tc>
                <w:tcPr>
                  <w:tcW w:w="1076" w:type="dxa"/>
                  <w:tcBorders>
                    <w:tl2br w:val="nil"/>
                    <w:tr2bl w:val="nil"/>
                  </w:tcBorders>
                  <w:shd w:val="clear" w:color="auto" w:fill="auto"/>
                  <w:vAlign w:val="center"/>
                </w:tcPr>
                <w:p>
                  <w:pPr>
                    <w:spacing w:line="276" w:lineRule="auto"/>
                    <w:jc w:val="center"/>
                    <w:rPr>
                      <w:rFonts w:hint="default"/>
                      <w:lang w:val="en-US" w:eastAsia="zh-CN"/>
                    </w:rPr>
                  </w:pPr>
                  <w:r>
                    <w:rPr>
                      <w:rFonts w:hint="default"/>
                    </w:rPr>
                    <w:t>0.20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04" w:type="dxa"/>
                  <w:vMerge w:val="continue"/>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rPr>
                  </w:pPr>
                </w:p>
              </w:tc>
              <w:tc>
                <w:tcPr>
                  <w:tcW w:w="1299" w:type="dxa"/>
                  <w:vMerge w:val="restart"/>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lang w:val="en-US"/>
                    </w:rPr>
                  </w:pPr>
                  <w:r>
                    <w:rPr>
                      <w:rFonts w:hint="default"/>
                      <w:lang w:val="en-US" w:eastAsia="zh-CN"/>
                    </w:rPr>
                    <w:t>2020.07.26</w:t>
                  </w:r>
                </w:p>
              </w:tc>
              <w:tc>
                <w:tcPr>
                  <w:tcW w:w="1208" w:type="dxa"/>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rPr>
                  </w:pPr>
                  <w:r>
                    <w:rPr>
                      <w:rFonts w:hint="default"/>
                      <w:lang w:val="en-US" w:eastAsia="zh-CN"/>
                    </w:rPr>
                    <w:t>第一次</w:t>
                  </w:r>
                </w:p>
              </w:tc>
              <w:tc>
                <w:tcPr>
                  <w:tcW w:w="1112" w:type="dxa"/>
                  <w:tcBorders>
                    <w:tl2br w:val="nil"/>
                    <w:tr2bl w:val="nil"/>
                  </w:tcBorders>
                  <w:shd w:val="clear" w:color="auto" w:fill="auto"/>
                  <w:vAlign w:val="center"/>
                </w:tcPr>
                <w:p>
                  <w:pPr>
                    <w:spacing w:line="276" w:lineRule="auto"/>
                    <w:jc w:val="center"/>
                    <w:rPr>
                      <w:rFonts w:hint="default"/>
                      <w:lang w:val="en-US" w:eastAsia="zh-CN"/>
                    </w:rPr>
                  </w:pPr>
                  <w:r>
                    <w:rPr>
                      <w:rFonts w:hint="default"/>
                    </w:rPr>
                    <w:t>7.37</w:t>
                  </w:r>
                </w:p>
              </w:tc>
              <w:tc>
                <w:tcPr>
                  <w:tcW w:w="1049" w:type="dxa"/>
                  <w:tcBorders>
                    <w:tl2br w:val="nil"/>
                    <w:tr2bl w:val="nil"/>
                  </w:tcBorders>
                  <w:shd w:val="clear" w:color="auto" w:fill="auto"/>
                  <w:vAlign w:val="center"/>
                </w:tcPr>
                <w:p>
                  <w:pPr>
                    <w:spacing w:line="276" w:lineRule="auto"/>
                    <w:jc w:val="center"/>
                    <w:rPr>
                      <w:rFonts w:hint="default"/>
                      <w:lang w:val="en-US" w:eastAsia="zh-CN"/>
                    </w:rPr>
                  </w:pPr>
                  <w:r>
                    <w:rPr>
                      <w:rFonts w:hint="default"/>
                    </w:rPr>
                    <w:t>42</w:t>
                  </w:r>
                </w:p>
              </w:tc>
              <w:tc>
                <w:tcPr>
                  <w:tcW w:w="1162" w:type="dxa"/>
                  <w:tcBorders>
                    <w:tl2br w:val="nil"/>
                    <w:tr2bl w:val="nil"/>
                  </w:tcBorders>
                  <w:shd w:val="clear" w:color="auto" w:fill="auto"/>
                  <w:vAlign w:val="center"/>
                </w:tcPr>
                <w:p>
                  <w:pPr>
                    <w:spacing w:line="276" w:lineRule="auto"/>
                    <w:jc w:val="center"/>
                    <w:rPr>
                      <w:rFonts w:hint="default"/>
                    </w:rPr>
                  </w:pPr>
                  <w:r>
                    <w:rPr>
                      <w:rFonts w:hint="default"/>
                    </w:rPr>
                    <w:t>13.0</w:t>
                  </w:r>
                </w:p>
              </w:tc>
              <w:tc>
                <w:tcPr>
                  <w:tcW w:w="848" w:type="dxa"/>
                  <w:tcBorders>
                    <w:tl2br w:val="nil"/>
                    <w:tr2bl w:val="nil"/>
                  </w:tcBorders>
                  <w:shd w:val="clear" w:color="auto" w:fill="auto"/>
                  <w:vAlign w:val="center"/>
                </w:tcPr>
                <w:p>
                  <w:pPr>
                    <w:spacing w:line="276" w:lineRule="auto"/>
                    <w:jc w:val="center"/>
                    <w:rPr>
                      <w:rFonts w:hint="default"/>
                    </w:rPr>
                  </w:pPr>
                  <w:r>
                    <w:rPr>
                      <w:rFonts w:hint="default"/>
                    </w:rPr>
                    <w:t>31</w:t>
                  </w:r>
                </w:p>
              </w:tc>
              <w:tc>
                <w:tcPr>
                  <w:tcW w:w="670" w:type="dxa"/>
                  <w:tcBorders>
                    <w:tl2br w:val="nil"/>
                    <w:tr2bl w:val="nil"/>
                  </w:tcBorders>
                  <w:shd w:val="clear" w:color="auto" w:fill="auto"/>
                  <w:vAlign w:val="center"/>
                </w:tcPr>
                <w:p>
                  <w:pPr>
                    <w:spacing w:line="276" w:lineRule="auto"/>
                    <w:jc w:val="center"/>
                    <w:rPr>
                      <w:rFonts w:hint="default"/>
                    </w:rPr>
                  </w:pPr>
                  <w:r>
                    <w:rPr>
                      <w:rFonts w:hint="default"/>
                    </w:rPr>
                    <w:t>0.360</w:t>
                  </w:r>
                </w:p>
              </w:tc>
              <w:tc>
                <w:tcPr>
                  <w:tcW w:w="1076" w:type="dxa"/>
                  <w:tcBorders>
                    <w:tl2br w:val="nil"/>
                    <w:tr2bl w:val="nil"/>
                  </w:tcBorders>
                  <w:shd w:val="clear" w:color="auto" w:fill="auto"/>
                  <w:vAlign w:val="center"/>
                </w:tcPr>
                <w:p>
                  <w:pPr>
                    <w:spacing w:line="276" w:lineRule="auto"/>
                    <w:jc w:val="center"/>
                    <w:rPr>
                      <w:rFonts w:hint="default"/>
                      <w:lang w:val="en-US" w:eastAsia="zh-CN"/>
                    </w:rPr>
                  </w:pPr>
                  <w:r>
                    <w:rPr>
                      <w:rFonts w:hint="default"/>
                    </w:rPr>
                    <w:t>0.24</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PrEx>
              <w:trPr>
                <w:trHeight w:val="454" w:hRule="atLeast"/>
                <w:jc w:val="center"/>
              </w:trPr>
              <w:tc>
                <w:tcPr>
                  <w:tcW w:w="1004" w:type="dxa"/>
                  <w:vMerge w:val="continue"/>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rPr>
                  </w:pPr>
                </w:p>
              </w:tc>
              <w:tc>
                <w:tcPr>
                  <w:tcW w:w="1299" w:type="dxa"/>
                  <w:vMerge w:val="continue"/>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rPr>
                  </w:pPr>
                </w:p>
              </w:tc>
              <w:tc>
                <w:tcPr>
                  <w:tcW w:w="1208" w:type="dxa"/>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rPr>
                  </w:pPr>
                  <w:r>
                    <w:rPr>
                      <w:rFonts w:hint="default"/>
                      <w:lang w:val="en-US" w:eastAsia="zh-CN"/>
                    </w:rPr>
                    <w:t>第二次</w:t>
                  </w:r>
                </w:p>
              </w:tc>
              <w:tc>
                <w:tcPr>
                  <w:tcW w:w="1112" w:type="dxa"/>
                  <w:tcBorders>
                    <w:tl2br w:val="nil"/>
                    <w:tr2bl w:val="nil"/>
                  </w:tcBorders>
                  <w:shd w:val="clear" w:color="auto" w:fill="auto"/>
                  <w:vAlign w:val="center"/>
                </w:tcPr>
                <w:p>
                  <w:pPr>
                    <w:spacing w:line="276" w:lineRule="auto"/>
                    <w:jc w:val="center"/>
                    <w:rPr>
                      <w:rFonts w:hint="default"/>
                      <w:lang w:val="en-US" w:eastAsia="zh-CN"/>
                    </w:rPr>
                  </w:pPr>
                  <w:r>
                    <w:rPr>
                      <w:rFonts w:hint="default"/>
                    </w:rPr>
                    <w:t>7.50</w:t>
                  </w:r>
                </w:p>
              </w:tc>
              <w:tc>
                <w:tcPr>
                  <w:tcW w:w="1049" w:type="dxa"/>
                  <w:tcBorders>
                    <w:tl2br w:val="nil"/>
                    <w:tr2bl w:val="nil"/>
                  </w:tcBorders>
                  <w:shd w:val="clear" w:color="auto" w:fill="auto"/>
                  <w:vAlign w:val="center"/>
                </w:tcPr>
                <w:p>
                  <w:pPr>
                    <w:spacing w:line="276" w:lineRule="auto"/>
                    <w:jc w:val="center"/>
                    <w:rPr>
                      <w:rFonts w:hint="default"/>
                      <w:lang w:val="en-US" w:eastAsia="zh-CN"/>
                    </w:rPr>
                  </w:pPr>
                  <w:r>
                    <w:rPr>
                      <w:rFonts w:hint="default"/>
                    </w:rPr>
                    <w:t>38</w:t>
                  </w:r>
                </w:p>
              </w:tc>
              <w:tc>
                <w:tcPr>
                  <w:tcW w:w="1162" w:type="dxa"/>
                  <w:tcBorders>
                    <w:tl2br w:val="nil"/>
                    <w:tr2bl w:val="nil"/>
                  </w:tcBorders>
                  <w:shd w:val="clear" w:color="auto" w:fill="auto"/>
                  <w:vAlign w:val="center"/>
                </w:tcPr>
                <w:p>
                  <w:pPr>
                    <w:spacing w:line="276" w:lineRule="auto"/>
                    <w:jc w:val="center"/>
                    <w:rPr>
                      <w:rFonts w:hint="default"/>
                    </w:rPr>
                  </w:pPr>
                  <w:r>
                    <w:rPr>
                      <w:rFonts w:hint="default"/>
                    </w:rPr>
                    <w:t>13.3</w:t>
                  </w:r>
                </w:p>
              </w:tc>
              <w:tc>
                <w:tcPr>
                  <w:tcW w:w="848" w:type="dxa"/>
                  <w:tcBorders>
                    <w:tl2br w:val="nil"/>
                    <w:tr2bl w:val="nil"/>
                  </w:tcBorders>
                  <w:shd w:val="clear" w:color="auto" w:fill="auto"/>
                  <w:vAlign w:val="center"/>
                </w:tcPr>
                <w:p>
                  <w:pPr>
                    <w:spacing w:line="276" w:lineRule="auto"/>
                    <w:jc w:val="center"/>
                    <w:rPr>
                      <w:rFonts w:hint="default"/>
                    </w:rPr>
                  </w:pPr>
                  <w:r>
                    <w:rPr>
                      <w:rFonts w:hint="default"/>
                    </w:rPr>
                    <w:t>24</w:t>
                  </w:r>
                </w:p>
              </w:tc>
              <w:tc>
                <w:tcPr>
                  <w:tcW w:w="670" w:type="dxa"/>
                  <w:tcBorders>
                    <w:tl2br w:val="nil"/>
                    <w:tr2bl w:val="nil"/>
                  </w:tcBorders>
                  <w:shd w:val="clear" w:color="auto" w:fill="auto"/>
                  <w:vAlign w:val="center"/>
                </w:tcPr>
                <w:p>
                  <w:pPr>
                    <w:spacing w:line="276" w:lineRule="auto"/>
                    <w:jc w:val="center"/>
                    <w:rPr>
                      <w:rFonts w:hint="default"/>
                    </w:rPr>
                  </w:pPr>
                  <w:r>
                    <w:rPr>
                      <w:rFonts w:hint="default"/>
                    </w:rPr>
                    <w:t>0.403</w:t>
                  </w:r>
                </w:p>
              </w:tc>
              <w:tc>
                <w:tcPr>
                  <w:tcW w:w="1076" w:type="dxa"/>
                  <w:tcBorders>
                    <w:tl2br w:val="nil"/>
                    <w:tr2bl w:val="nil"/>
                  </w:tcBorders>
                  <w:shd w:val="clear" w:color="auto" w:fill="auto"/>
                  <w:vAlign w:val="center"/>
                </w:tcPr>
                <w:p>
                  <w:pPr>
                    <w:spacing w:line="276" w:lineRule="auto"/>
                    <w:jc w:val="center"/>
                    <w:rPr>
                      <w:rFonts w:hint="default"/>
                      <w:lang w:val="en-US" w:eastAsia="zh-CN"/>
                    </w:rPr>
                  </w:pPr>
                  <w:r>
                    <w:rPr>
                      <w:rFonts w:hint="default"/>
                    </w:rPr>
                    <w:t>0.23</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1004" w:type="dxa"/>
                  <w:vMerge w:val="continue"/>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rPr>
                  </w:pPr>
                </w:p>
              </w:tc>
              <w:tc>
                <w:tcPr>
                  <w:tcW w:w="1299" w:type="dxa"/>
                  <w:vMerge w:val="continue"/>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rPr>
                  </w:pPr>
                </w:p>
              </w:tc>
              <w:tc>
                <w:tcPr>
                  <w:tcW w:w="1208" w:type="dxa"/>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rPr>
                  </w:pPr>
                  <w:r>
                    <w:rPr>
                      <w:rFonts w:hint="default"/>
                      <w:lang w:val="en-US" w:eastAsia="zh-CN"/>
                    </w:rPr>
                    <w:t>第三次</w:t>
                  </w:r>
                </w:p>
              </w:tc>
              <w:tc>
                <w:tcPr>
                  <w:tcW w:w="1112" w:type="dxa"/>
                  <w:tcBorders>
                    <w:tl2br w:val="nil"/>
                    <w:tr2bl w:val="nil"/>
                  </w:tcBorders>
                  <w:shd w:val="clear" w:color="auto" w:fill="auto"/>
                  <w:vAlign w:val="center"/>
                </w:tcPr>
                <w:p>
                  <w:pPr>
                    <w:spacing w:line="276" w:lineRule="auto"/>
                    <w:jc w:val="center"/>
                    <w:rPr>
                      <w:rFonts w:hint="default"/>
                      <w:lang w:val="en-US" w:eastAsia="zh-CN"/>
                    </w:rPr>
                  </w:pPr>
                  <w:r>
                    <w:rPr>
                      <w:rFonts w:hint="default"/>
                    </w:rPr>
                    <w:t>7.42</w:t>
                  </w:r>
                </w:p>
              </w:tc>
              <w:tc>
                <w:tcPr>
                  <w:tcW w:w="1049" w:type="dxa"/>
                  <w:tcBorders>
                    <w:tl2br w:val="nil"/>
                    <w:tr2bl w:val="nil"/>
                  </w:tcBorders>
                  <w:shd w:val="clear" w:color="auto" w:fill="auto"/>
                  <w:vAlign w:val="center"/>
                </w:tcPr>
                <w:p>
                  <w:pPr>
                    <w:spacing w:line="276" w:lineRule="auto"/>
                    <w:jc w:val="center"/>
                    <w:rPr>
                      <w:rFonts w:hint="default"/>
                      <w:lang w:val="en-US" w:eastAsia="zh-CN"/>
                    </w:rPr>
                  </w:pPr>
                  <w:r>
                    <w:rPr>
                      <w:rFonts w:hint="default"/>
                    </w:rPr>
                    <w:t>47</w:t>
                  </w:r>
                </w:p>
              </w:tc>
              <w:tc>
                <w:tcPr>
                  <w:tcW w:w="1162" w:type="dxa"/>
                  <w:tcBorders>
                    <w:tl2br w:val="nil"/>
                    <w:tr2bl w:val="nil"/>
                  </w:tcBorders>
                  <w:shd w:val="clear" w:color="auto" w:fill="auto"/>
                  <w:vAlign w:val="center"/>
                </w:tcPr>
                <w:p>
                  <w:pPr>
                    <w:spacing w:line="276" w:lineRule="auto"/>
                    <w:jc w:val="center"/>
                    <w:rPr>
                      <w:rFonts w:hint="default"/>
                    </w:rPr>
                  </w:pPr>
                  <w:r>
                    <w:rPr>
                      <w:rFonts w:hint="default"/>
                    </w:rPr>
                    <w:t>12.6</w:t>
                  </w:r>
                </w:p>
              </w:tc>
              <w:tc>
                <w:tcPr>
                  <w:tcW w:w="848" w:type="dxa"/>
                  <w:tcBorders>
                    <w:tl2br w:val="nil"/>
                    <w:tr2bl w:val="nil"/>
                  </w:tcBorders>
                  <w:shd w:val="clear" w:color="auto" w:fill="auto"/>
                  <w:vAlign w:val="center"/>
                </w:tcPr>
                <w:p>
                  <w:pPr>
                    <w:spacing w:line="276" w:lineRule="auto"/>
                    <w:jc w:val="center"/>
                    <w:rPr>
                      <w:rFonts w:hint="default"/>
                    </w:rPr>
                  </w:pPr>
                  <w:r>
                    <w:rPr>
                      <w:rFonts w:hint="default"/>
                    </w:rPr>
                    <w:t>30</w:t>
                  </w:r>
                </w:p>
              </w:tc>
              <w:tc>
                <w:tcPr>
                  <w:tcW w:w="670" w:type="dxa"/>
                  <w:tcBorders>
                    <w:tl2br w:val="nil"/>
                    <w:tr2bl w:val="nil"/>
                  </w:tcBorders>
                  <w:shd w:val="clear" w:color="auto" w:fill="auto"/>
                  <w:vAlign w:val="center"/>
                </w:tcPr>
                <w:p>
                  <w:pPr>
                    <w:spacing w:line="276" w:lineRule="auto"/>
                    <w:jc w:val="center"/>
                    <w:rPr>
                      <w:rFonts w:hint="default"/>
                    </w:rPr>
                  </w:pPr>
                  <w:r>
                    <w:rPr>
                      <w:rFonts w:hint="default"/>
                    </w:rPr>
                    <w:t>0.441</w:t>
                  </w:r>
                </w:p>
              </w:tc>
              <w:tc>
                <w:tcPr>
                  <w:tcW w:w="1076" w:type="dxa"/>
                  <w:tcBorders>
                    <w:tl2br w:val="nil"/>
                    <w:tr2bl w:val="nil"/>
                  </w:tcBorders>
                  <w:shd w:val="clear" w:color="auto" w:fill="auto"/>
                  <w:vAlign w:val="center"/>
                </w:tcPr>
                <w:p>
                  <w:pPr>
                    <w:spacing w:line="276" w:lineRule="auto"/>
                    <w:jc w:val="center"/>
                    <w:rPr>
                      <w:rFonts w:hint="default"/>
                      <w:lang w:val="en-US" w:eastAsia="zh-CN"/>
                    </w:rPr>
                  </w:pPr>
                  <w:r>
                    <w:rPr>
                      <w:rFonts w:hint="default"/>
                    </w:rPr>
                    <w:t>0.22</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511" w:type="dxa"/>
                  <w:gridSpan w:val="3"/>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rPr>
                  </w:pPr>
                  <w:r>
                    <w:rPr>
                      <w:rFonts w:hint="default"/>
                      <w:lang w:val="en-US" w:eastAsia="zh-CN"/>
                    </w:rPr>
                    <w:t>执行标准限值</w:t>
                  </w:r>
                </w:p>
              </w:tc>
              <w:tc>
                <w:tcPr>
                  <w:tcW w:w="1112" w:type="dxa"/>
                  <w:tcBorders>
                    <w:tl2br w:val="nil"/>
                    <w:tr2bl w:val="nil"/>
                  </w:tcBorders>
                  <w:shd w:val="clear" w:color="auto" w:fill="auto"/>
                  <w:vAlign w:val="center"/>
                </w:tcPr>
                <w:p>
                  <w:pPr>
                    <w:spacing w:line="276" w:lineRule="auto"/>
                    <w:jc w:val="center"/>
                    <w:rPr>
                      <w:rFonts w:hint="default"/>
                    </w:rPr>
                  </w:pPr>
                  <w:r>
                    <w:rPr>
                      <w:rFonts w:hint="default"/>
                    </w:rPr>
                    <w:t>6-9</w:t>
                  </w:r>
                </w:p>
              </w:tc>
              <w:tc>
                <w:tcPr>
                  <w:tcW w:w="1049" w:type="dxa"/>
                  <w:tcBorders>
                    <w:tl2br w:val="nil"/>
                    <w:tr2bl w:val="nil"/>
                  </w:tcBorders>
                  <w:shd w:val="clear" w:color="auto" w:fill="auto"/>
                  <w:vAlign w:val="center"/>
                </w:tcPr>
                <w:p>
                  <w:pPr>
                    <w:spacing w:line="276" w:lineRule="auto"/>
                    <w:jc w:val="center"/>
                    <w:rPr>
                      <w:rFonts w:hint="default"/>
                      <w:lang w:val="en-US"/>
                    </w:rPr>
                  </w:pPr>
                  <w:r>
                    <w:rPr>
                      <w:rFonts w:hint="eastAsia"/>
                      <w:lang w:val="en-US" w:eastAsia="zh-CN"/>
                    </w:rPr>
                    <w:t>≤</w:t>
                  </w:r>
                  <w:r>
                    <w:rPr>
                      <w:rFonts w:hint="default"/>
                    </w:rPr>
                    <w:t>500</w:t>
                  </w:r>
                </w:p>
              </w:tc>
              <w:tc>
                <w:tcPr>
                  <w:tcW w:w="1162" w:type="dxa"/>
                  <w:tcBorders>
                    <w:tl2br w:val="nil"/>
                    <w:tr2bl w:val="nil"/>
                  </w:tcBorders>
                  <w:shd w:val="clear" w:color="auto" w:fill="auto"/>
                  <w:vAlign w:val="center"/>
                </w:tcPr>
                <w:p>
                  <w:pPr>
                    <w:spacing w:line="276" w:lineRule="auto"/>
                    <w:jc w:val="center"/>
                    <w:rPr>
                      <w:rFonts w:hint="default"/>
                    </w:rPr>
                  </w:pPr>
                  <w:r>
                    <w:rPr>
                      <w:rFonts w:hint="eastAsia"/>
                      <w:lang w:val="en-US" w:eastAsia="zh-CN"/>
                    </w:rPr>
                    <w:t>≤</w:t>
                  </w:r>
                  <w:r>
                    <w:rPr>
                      <w:rFonts w:hint="default"/>
                    </w:rPr>
                    <w:t>300</w:t>
                  </w:r>
                </w:p>
              </w:tc>
              <w:tc>
                <w:tcPr>
                  <w:tcW w:w="848" w:type="dxa"/>
                  <w:tcBorders>
                    <w:tl2br w:val="nil"/>
                    <w:tr2bl w:val="nil"/>
                  </w:tcBorders>
                  <w:shd w:val="clear" w:color="auto" w:fill="auto"/>
                  <w:vAlign w:val="center"/>
                </w:tcPr>
                <w:p>
                  <w:pPr>
                    <w:spacing w:line="276" w:lineRule="auto"/>
                    <w:jc w:val="center"/>
                    <w:rPr>
                      <w:rFonts w:hint="default"/>
                    </w:rPr>
                  </w:pPr>
                  <w:r>
                    <w:rPr>
                      <w:rFonts w:hint="eastAsia"/>
                      <w:lang w:val="en-US" w:eastAsia="zh-CN"/>
                    </w:rPr>
                    <w:t>≤</w:t>
                  </w:r>
                  <w:r>
                    <w:rPr>
                      <w:rFonts w:hint="default"/>
                    </w:rPr>
                    <w:t>400</w:t>
                  </w:r>
                </w:p>
              </w:tc>
              <w:tc>
                <w:tcPr>
                  <w:tcW w:w="670" w:type="dxa"/>
                  <w:tcBorders>
                    <w:tl2br w:val="nil"/>
                    <w:tr2bl w:val="nil"/>
                  </w:tcBorders>
                  <w:shd w:val="clear" w:color="auto" w:fill="auto"/>
                  <w:vAlign w:val="center"/>
                </w:tcPr>
                <w:p>
                  <w:pPr>
                    <w:spacing w:line="276" w:lineRule="auto"/>
                    <w:jc w:val="center"/>
                    <w:rPr>
                      <w:rFonts w:hint="default"/>
                    </w:rPr>
                  </w:pPr>
                  <w:r>
                    <w:rPr>
                      <w:rFonts w:hint="default"/>
                    </w:rPr>
                    <w:t>--</w:t>
                  </w:r>
                </w:p>
              </w:tc>
              <w:tc>
                <w:tcPr>
                  <w:tcW w:w="1076" w:type="dxa"/>
                  <w:tcBorders>
                    <w:tl2br w:val="nil"/>
                    <w:tr2bl w:val="nil"/>
                  </w:tcBorders>
                  <w:shd w:val="clear" w:color="auto" w:fill="auto"/>
                  <w:vAlign w:val="center"/>
                </w:tcPr>
                <w:p>
                  <w:pPr>
                    <w:spacing w:line="276" w:lineRule="auto"/>
                    <w:jc w:val="center"/>
                    <w:rPr>
                      <w:rFonts w:hint="default"/>
                      <w:lang w:val="en-US" w:eastAsia="zh-CN"/>
                    </w:rPr>
                  </w:pPr>
                  <w:r>
                    <w:rPr>
                      <w:rFonts w:hint="eastAsia"/>
                      <w:lang w:val="en-US" w:eastAsia="zh-CN"/>
                    </w:rPr>
                    <w:t>≤</w:t>
                  </w:r>
                  <w:r>
                    <w:rPr>
                      <w:rFonts w:hint="default"/>
                    </w:rPr>
                    <w:t>100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511" w:type="dxa"/>
                  <w:gridSpan w:val="3"/>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rPr>
                  </w:pPr>
                  <w:r>
                    <w:rPr>
                      <w:rFonts w:hint="default"/>
                      <w:lang w:val="en-US" w:eastAsia="zh-CN"/>
                    </w:rPr>
                    <w:t>达标情况</w:t>
                  </w:r>
                </w:p>
              </w:tc>
              <w:tc>
                <w:tcPr>
                  <w:tcW w:w="1112" w:type="dxa"/>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rPr>
                  </w:pPr>
                  <w:r>
                    <w:rPr>
                      <w:rFonts w:hint="default"/>
                      <w:lang w:val="en-US" w:eastAsia="zh-CN"/>
                    </w:rPr>
                    <w:t>达标</w:t>
                  </w:r>
                </w:p>
              </w:tc>
              <w:tc>
                <w:tcPr>
                  <w:tcW w:w="1049" w:type="dxa"/>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lang w:val="en-US"/>
                    </w:rPr>
                  </w:pPr>
                  <w:r>
                    <w:rPr>
                      <w:rFonts w:hint="default"/>
                      <w:lang w:val="en-US" w:eastAsia="zh-CN"/>
                    </w:rPr>
                    <w:t>达标</w:t>
                  </w:r>
                </w:p>
              </w:tc>
              <w:tc>
                <w:tcPr>
                  <w:tcW w:w="1162" w:type="dxa"/>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rPr>
                  </w:pPr>
                  <w:r>
                    <w:rPr>
                      <w:rFonts w:hint="default"/>
                      <w:lang w:val="en-US" w:eastAsia="zh-CN"/>
                    </w:rPr>
                    <w:t>达标</w:t>
                  </w:r>
                </w:p>
              </w:tc>
              <w:tc>
                <w:tcPr>
                  <w:tcW w:w="848" w:type="dxa"/>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rPr>
                  </w:pPr>
                  <w:r>
                    <w:rPr>
                      <w:rFonts w:hint="default"/>
                      <w:lang w:val="en-US" w:eastAsia="zh-CN"/>
                    </w:rPr>
                    <w:t>达标</w:t>
                  </w:r>
                </w:p>
              </w:tc>
              <w:tc>
                <w:tcPr>
                  <w:tcW w:w="670" w:type="dxa"/>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rPr>
                  </w:pPr>
                  <w:r>
                    <w:rPr>
                      <w:rFonts w:hint="default"/>
                    </w:rPr>
                    <w:t>--</w:t>
                  </w:r>
                </w:p>
              </w:tc>
              <w:tc>
                <w:tcPr>
                  <w:tcW w:w="1076" w:type="dxa"/>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lang w:val="en-US" w:eastAsia="zh-CN"/>
                    </w:rPr>
                  </w:pPr>
                  <w:r>
                    <w:rPr>
                      <w:rFonts w:hint="default"/>
                      <w:lang w:val="en-US" w:eastAsia="zh-CN"/>
                    </w:rPr>
                    <w:t>达标</w:t>
                  </w:r>
                </w:p>
              </w:tc>
            </w:tr>
          </w:tbl>
          <w:p>
            <w:pPr>
              <w:keepNext w:val="0"/>
              <w:keepLines w:val="0"/>
              <w:suppressLineNumbers w:val="0"/>
              <w:autoSpaceDE w:val="0"/>
              <w:autoSpaceDN w:val="0"/>
              <w:bidi w:val="0"/>
              <w:spacing w:before="0" w:beforeAutospacing="0" w:after="0" w:afterAutospacing="0" w:line="360" w:lineRule="auto"/>
              <w:ind w:right="0" w:firstLine="420" w:firstLineChars="200"/>
              <w:rPr>
                <w:rFonts w:hint="eastAsia"/>
              </w:rPr>
            </w:pPr>
            <w:r>
              <w:rPr>
                <w:rFonts w:hint="eastAsia" w:ascii="Times New Roman" w:eastAsia="宋体"/>
                <w:lang w:val="en-US" w:eastAsia="zh-CN"/>
              </w:rPr>
              <w:t>废水监测结果表明：2020年7月25日和2020年7月26日，芜湖永达科技有限公司废水总排口的pH值及化学需氧量、生化需氧量、悬浮物、动植物油浓度均满足《污水综合排放标准》（GB8978-1996）中三级标准要求。</w:t>
            </w:r>
          </w:p>
          <w:p>
            <w:pPr>
              <w:widowControl/>
              <w:spacing w:line="360" w:lineRule="auto"/>
              <w:jc w:val="right"/>
              <w:rPr>
                <w:rFonts w:hint="default"/>
                <w:lang w:val="en-US" w:eastAsia="zh-CN"/>
              </w:rPr>
            </w:pPr>
            <w:r>
              <w:rPr>
                <w:rFonts w:hint="eastAsia"/>
              </w:rPr>
              <w:t>表7</w:t>
            </w:r>
            <w:r>
              <w:t>-</w:t>
            </w:r>
            <w:r>
              <w:rPr>
                <w:rFonts w:hint="eastAsia"/>
                <w:lang w:val="en-US" w:eastAsia="zh-CN"/>
              </w:rPr>
              <w:t>2</w:t>
            </w:r>
            <w:r>
              <w:rPr>
                <w:rFonts w:hint="eastAsia"/>
              </w:rPr>
              <w:t xml:space="preserve">  废水</w:t>
            </w:r>
            <w:r>
              <w:rPr>
                <w:rFonts w:hint="eastAsia"/>
                <w:lang w:val="en-US" w:eastAsia="zh-CN"/>
              </w:rPr>
              <w:t>补充</w:t>
            </w:r>
            <w:r>
              <w:rPr>
                <w:rFonts w:hint="eastAsia"/>
              </w:rPr>
              <w:t>监测结果表</w:t>
            </w:r>
            <w:r>
              <w:rPr>
                <w:rFonts w:hint="eastAsia" w:ascii="Times New Roman" w:eastAsia="宋体"/>
                <w:lang w:val="en-US" w:eastAsia="zh-CN"/>
              </w:rPr>
              <w:t xml:space="preserve">           单位：mg/L  pH：无量纲</w:t>
            </w:r>
          </w:p>
          <w:tbl>
            <w:tblPr>
              <w:tblStyle w:val="33"/>
              <w:tblW w:w="4989"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Layout w:type="autofit"/>
              <w:tblCellMar>
                <w:top w:w="0" w:type="dxa"/>
                <w:left w:w="108" w:type="dxa"/>
                <w:bottom w:w="0" w:type="dxa"/>
                <w:right w:w="108" w:type="dxa"/>
              </w:tblCellMar>
            </w:tblPr>
            <w:tblGrid>
              <w:gridCol w:w="1004"/>
              <w:gridCol w:w="1161"/>
              <w:gridCol w:w="1182"/>
              <w:gridCol w:w="930"/>
              <w:gridCol w:w="1080"/>
              <w:gridCol w:w="888"/>
              <w:gridCol w:w="766"/>
              <w:gridCol w:w="871"/>
              <w:gridCol w:w="1066"/>
              <w:gridCol w:w="894"/>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1005" w:type="dxa"/>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监测点位</w:t>
                  </w:r>
                </w:p>
              </w:tc>
              <w:tc>
                <w:tcPr>
                  <w:tcW w:w="1161" w:type="dxa"/>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监测日期</w:t>
                  </w:r>
                </w:p>
              </w:tc>
              <w:tc>
                <w:tcPr>
                  <w:tcW w:w="1183" w:type="dxa"/>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监测频次</w:t>
                  </w:r>
                </w:p>
              </w:tc>
              <w:tc>
                <w:tcPr>
                  <w:tcW w:w="930" w:type="dxa"/>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pH</w:t>
                  </w:r>
                </w:p>
              </w:tc>
              <w:tc>
                <w:tcPr>
                  <w:tcW w:w="1080" w:type="dxa"/>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CODcr</w:t>
                  </w:r>
                </w:p>
              </w:tc>
              <w:tc>
                <w:tcPr>
                  <w:tcW w:w="888" w:type="dxa"/>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BOD</w:t>
                  </w:r>
                  <w:r>
                    <w:rPr>
                      <w:rFonts w:hint="default" w:ascii="Times New Roman" w:hAnsi="Times New Roman" w:eastAsia="宋体" w:cs="Times New Roman"/>
                      <w:sz w:val="21"/>
                      <w:szCs w:val="21"/>
                      <w:vertAlign w:val="subscript"/>
                      <w:lang w:val="en-US" w:eastAsia="zh-CN"/>
                    </w:rPr>
                    <w:t>5</w:t>
                  </w:r>
                </w:p>
              </w:tc>
              <w:tc>
                <w:tcPr>
                  <w:tcW w:w="766" w:type="dxa"/>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SS</w:t>
                  </w:r>
                </w:p>
              </w:tc>
              <w:tc>
                <w:tcPr>
                  <w:tcW w:w="871" w:type="dxa"/>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氨氮</w:t>
                  </w:r>
                </w:p>
              </w:tc>
              <w:tc>
                <w:tcPr>
                  <w:tcW w:w="1066" w:type="dxa"/>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动植物油</w:t>
                  </w:r>
                </w:p>
              </w:tc>
              <w:tc>
                <w:tcPr>
                  <w:tcW w:w="894" w:type="dxa"/>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石油类</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1005" w:type="dxa"/>
                  <w:vMerge w:val="restart"/>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废水总</w:t>
                  </w:r>
                </w:p>
                <w:p>
                  <w:pPr>
                    <w:pStyle w:val="161"/>
                    <w:keepNext w:val="0"/>
                    <w:keepLines w:val="0"/>
                    <w:suppressLineNumbers w:val="0"/>
                    <w:bidi w:val="0"/>
                    <w:spacing w:beforeAutospacing="0" w:afterAutospacing="0"/>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排口</w:t>
                  </w:r>
                </w:p>
              </w:tc>
              <w:tc>
                <w:tcPr>
                  <w:tcW w:w="1161" w:type="dxa"/>
                  <w:vMerge w:val="restart"/>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lang w:val="en-US"/>
                    </w:rPr>
                  </w:pPr>
                  <w:r>
                    <w:rPr>
                      <w:rFonts w:hint="default" w:ascii="Times New Roman" w:hAnsi="Times New Roman" w:eastAsia="宋体" w:cs="Times New Roman"/>
                      <w:sz w:val="21"/>
                      <w:szCs w:val="21"/>
                      <w:lang w:val="en-US" w:eastAsia="zh-CN"/>
                    </w:rPr>
                    <w:t>2020.08.23</w:t>
                  </w:r>
                </w:p>
              </w:tc>
              <w:tc>
                <w:tcPr>
                  <w:tcW w:w="1183" w:type="dxa"/>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第一次</w:t>
                  </w:r>
                </w:p>
              </w:tc>
              <w:tc>
                <w:tcPr>
                  <w:tcW w:w="930" w:type="dxa"/>
                  <w:tcBorders>
                    <w:tl2br w:val="nil"/>
                    <w:tr2bl w:val="nil"/>
                  </w:tcBorders>
                  <w:shd w:val="clear" w:color="auto" w:fill="auto"/>
                  <w:vAlign w:val="center"/>
                </w:tcPr>
                <w:p>
                  <w:pPr>
                    <w:spacing w:line="276"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color w:val="000000"/>
                      <w:sz w:val="21"/>
                      <w:szCs w:val="21"/>
                    </w:rPr>
                    <w:t>7.47</w:t>
                  </w:r>
                </w:p>
              </w:tc>
              <w:tc>
                <w:tcPr>
                  <w:tcW w:w="1080" w:type="dxa"/>
                  <w:tcBorders>
                    <w:tl2br w:val="nil"/>
                    <w:tr2bl w:val="nil"/>
                  </w:tcBorders>
                  <w:shd w:val="clear" w:color="auto" w:fill="auto"/>
                  <w:vAlign w:val="center"/>
                </w:tcPr>
                <w:p>
                  <w:pPr>
                    <w:spacing w:line="276"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color w:val="000000"/>
                      <w:sz w:val="21"/>
                      <w:szCs w:val="21"/>
                    </w:rPr>
                    <w:t>284</w:t>
                  </w:r>
                </w:p>
              </w:tc>
              <w:tc>
                <w:tcPr>
                  <w:tcW w:w="888" w:type="dxa"/>
                  <w:tcBorders>
                    <w:tl2br w:val="nil"/>
                    <w:tr2bl w:val="nil"/>
                  </w:tcBorders>
                  <w:shd w:val="clear" w:color="auto" w:fill="auto"/>
                  <w:vAlign w:val="center"/>
                </w:tcPr>
                <w:p>
                  <w:pPr>
                    <w:spacing w:line="276"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color w:val="000000"/>
                      <w:sz w:val="21"/>
                      <w:szCs w:val="21"/>
                    </w:rPr>
                    <w:t>52.0</w:t>
                  </w:r>
                </w:p>
              </w:tc>
              <w:tc>
                <w:tcPr>
                  <w:tcW w:w="766" w:type="dxa"/>
                  <w:tcBorders>
                    <w:tl2br w:val="nil"/>
                    <w:tr2bl w:val="nil"/>
                  </w:tcBorders>
                  <w:shd w:val="clear" w:color="auto" w:fill="auto"/>
                  <w:vAlign w:val="center"/>
                </w:tcPr>
                <w:p>
                  <w:pPr>
                    <w:spacing w:line="276"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color w:val="000000"/>
                      <w:sz w:val="21"/>
                      <w:szCs w:val="21"/>
                    </w:rPr>
                    <w:t>116</w:t>
                  </w:r>
                </w:p>
              </w:tc>
              <w:tc>
                <w:tcPr>
                  <w:tcW w:w="871" w:type="dxa"/>
                  <w:tcBorders>
                    <w:tl2br w:val="nil"/>
                    <w:tr2bl w:val="nil"/>
                  </w:tcBorders>
                  <w:shd w:val="clear" w:color="auto" w:fill="auto"/>
                  <w:vAlign w:val="center"/>
                </w:tcPr>
                <w:p>
                  <w:pPr>
                    <w:spacing w:line="276"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color w:val="000000"/>
                      <w:sz w:val="21"/>
                      <w:szCs w:val="21"/>
                    </w:rPr>
                    <w:t>1.60</w:t>
                  </w:r>
                </w:p>
              </w:tc>
              <w:tc>
                <w:tcPr>
                  <w:tcW w:w="1066" w:type="dxa"/>
                  <w:tcBorders>
                    <w:tl2br w:val="nil"/>
                    <w:tr2bl w:val="nil"/>
                  </w:tcBorders>
                  <w:shd w:val="clear" w:color="auto" w:fill="auto"/>
                  <w:vAlign w:val="center"/>
                </w:tcPr>
                <w:p>
                  <w:pPr>
                    <w:spacing w:line="276"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color w:val="000000"/>
                      <w:sz w:val="21"/>
                      <w:szCs w:val="21"/>
                    </w:rPr>
                    <w:t>11.9</w:t>
                  </w:r>
                </w:p>
              </w:tc>
              <w:tc>
                <w:tcPr>
                  <w:tcW w:w="894" w:type="dxa"/>
                  <w:tcBorders>
                    <w:tl2br w:val="nil"/>
                    <w:tr2bl w:val="nil"/>
                  </w:tcBorders>
                  <w:shd w:val="clear" w:color="auto" w:fill="auto"/>
                  <w:vAlign w:val="center"/>
                </w:tcPr>
                <w:p>
                  <w:pPr>
                    <w:spacing w:line="276" w:lineRule="auto"/>
                    <w:jc w:val="center"/>
                    <w:rPr>
                      <w:rFonts w:hint="default" w:ascii="Times New Roman" w:hAnsi="Times New Roman" w:eastAsia="宋体" w:cs="Times New Roman"/>
                      <w:sz w:val="21"/>
                      <w:szCs w:val="21"/>
                    </w:rPr>
                  </w:pPr>
                  <w:r>
                    <w:rPr>
                      <w:rFonts w:hint="default" w:ascii="Times New Roman" w:hAnsi="Times New Roman" w:eastAsia="宋体" w:cs="Times New Roman"/>
                      <w:color w:val="000000"/>
                      <w:sz w:val="21"/>
                      <w:szCs w:val="21"/>
                    </w:rPr>
                    <w:t>17.6</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1005" w:type="dxa"/>
                  <w:vMerge w:val="continue"/>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rPr>
                  </w:pPr>
                </w:p>
              </w:tc>
              <w:tc>
                <w:tcPr>
                  <w:tcW w:w="1161" w:type="dxa"/>
                  <w:vMerge w:val="continue"/>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rPr>
                  </w:pPr>
                </w:p>
              </w:tc>
              <w:tc>
                <w:tcPr>
                  <w:tcW w:w="1183" w:type="dxa"/>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第二次</w:t>
                  </w:r>
                </w:p>
              </w:tc>
              <w:tc>
                <w:tcPr>
                  <w:tcW w:w="930" w:type="dxa"/>
                  <w:tcBorders>
                    <w:tl2br w:val="nil"/>
                    <w:tr2bl w:val="nil"/>
                  </w:tcBorders>
                  <w:shd w:val="clear" w:color="auto" w:fill="auto"/>
                  <w:vAlign w:val="center"/>
                </w:tcPr>
                <w:p>
                  <w:pPr>
                    <w:spacing w:line="276"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color w:val="000000"/>
                      <w:sz w:val="21"/>
                      <w:szCs w:val="21"/>
                    </w:rPr>
                    <w:t>7.56</w:t>
                  </w:r>
                </w:p>
              </w:tc>
              <w:tc>
                <w:tcPr>
                  <w:tcW w:w="1080" w:type="dxa"/>
                  <w:tcBorders>
                    <w:tl2br w:val="nil"/>
                    <w:tr2bl w:val="nil"/>
                  </w:tcBorders>
                  <w:shd w:val="clear" w:color="auto" w:fill="auto"/>
                  <w:vAlign w:val="center"/>
                </w:tcPr>
                <w:p>
                  <w:pPr>
                    <w:spacing w:line="276"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color w:val="000000"/>
                      <w:sz w:val="21"/>
                      <w:szCs w:val="21"/>
                    </w:rPr>
                    <w:t>271</w:t>
                  </w:r>
                </w:p>
              </w:tc>
              <w:tc>
                <w:tcPr>
                  <w:tcW w:w="888" w:type="dxa"/>
                  <w:tcBorders>
                    <w:tl2br w:val="nil"/>
                    <w:tr2bl w:val="nil"/>
                  </w:tcBorders>
                  <w:shd w:val="clear" w:color="auto" w:fill="auto"/>
                  <w:vAlign w:val="center"/>
                </w:tcPr>
                <w:p>
                  <w:pPr>
                    <w:spacing w:line="276"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color w:val="000000"/>
                      <w:sz w:val="21"/>
                      <w:szCs w:val="21"/>
                    </w:rPr>
                    <w:t>50.1</w:t>
                  </w:r>
                </w:p>
              </w:tc>
              <w:tc>
                <w:tcPr>
                  <w:tcW w:w="766" w:type="dxa"/>
                  <w:tcBorders>
                    <w:tl2br w:val="nil"/>
                    <w:tr2bl w:val="nil"/>
                  </w:tcBorders>
                  <w:shd w:val="clear" w:color="auto" w:fill="auto"/>
                  <w:vAlign w:val="center"/>
                </w:tcPr>
                <w:p>
                  <w:pPr>
                    <w:spacing w:line="276"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color w:val="000000"/>
                      <w:sz w:val="21"/>
                      <w:szCs w:val="21"/>
                    </w:rPr>
                    <w:t>104</w:t>
                  </w:r>
                </w:p>
              </w:tc>
              <w:tc>
                <w:tcPr>
                  <w:tcW w:w="871" w:type="dxa"/>
                  <w:tcBorders>
                    <w:tl2br w:val="nil"/>
                    <w:tr2bl w:val="nil"/>
                  </w:tcBorders>
                  <w:shd w:val="clear" w:color="auto" w:fill="auto"/>
                  <w:vAlign w:val="center"/>
                </w:tcPr>
                <w:p>
                  <w:pPr>
                    <w:spacing w:line="276"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color w:val="000000"/>
                      <w:sz w:val="21"/>
                      <w:szCs w:val="21"/>
                    </w:rPr>
                    <w:t>1.54</w:t>
                  </w:r>
                </w:p>
              </w:tc>
              <w:tc>
                <w:tcPr>
                  <w:tcW w:w="1066" w:type="dxa"/>
                  <w:tcBorders>
                    <w:tl2br w:val="nil"/>
                    <w:tr2bl w:val="nil"/>
                  </w:tcBorders>
                  <w:shd w:val="clear" w:color="auto" w:fill="auto"/>
                  <w:vAlign w:val="center"/>
                </w:tcPr>
                <w:p>
                  <w:pPr>
                    <w:spacing w:line="276"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color w:val="000000"/>
                      <w:sz w:val="21"/>
                      <w:szCs w:val="21"/>
                    </w:rPr>
                    <w:t>11.7</w:t>
                  </w:r>
                </w:p>
              </w:tc>
              <w:tc>
                <w:tcPr>
                  <w:tcW w:w="894" w:type="dxa"/>
                  <w:tcBorders>
                    <w:tl2br w:val="nil"/>
                    <w:tr2bl w:val="nil"/>
                  </w:tcBorders>
                  <w:shd w:val="clear" w:color="auto" w:fill="auto"/>
                  <w:vAlign w:val="center"/>
                </w:tcPr>
                <w:p>
                  <w:pPr>
                    <w:spacing w:line="276" w:lineRule="auto"/>
                    <w:jc w:val="center"/>
                    <w:rPr>
                      <w:rFonts w:hint="default" w:ascii="Times New Roman" w:hAnsi="Times New Roman" w:eastAsia="宋体" w:cs="Times New Roman"/>
                      <w:sz w:val="21"/>
                      <w:szCs w:val="21"/>
                    </w:rPr>
                  </w:pPr>
                  <w:r>
                    <w:rPr>
                      <w:rFonts w:hint="default" w:ascii="Times New Roman" w:hAnsi="Times New Roman" w:eastAsia="宋体" w:cs="Times New Roman"/>
                      <w:color w:val="000000"/>
                      <w:sz w:val="21"/>
                      <w:szCs w:val="21"/>
                    </w:rPr>
                    <w:t>17.5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1005" w:type="dxa"/>
                  <w:vMerge w:val="continue"/>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rPr>
                  </w:pPr>
                </w:p>
              </w:tc>
              <w:tc>
                <w:tcPr>
                  <w:tcW w:w="1161" w:type="dxa"/>
                  <w:vMerge w:val="continue"/>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rPr>
                  </w:pPr>
                </w:p>
              </w:tc>
              <w:tc>
                <w:tcPr>
                  <w:tcW w:w="1183" w:type="dxa"/>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第三次</w:t>
                  </w:r>
                </w:p>
              </w:tc>
              <w:tc>
                <w:tcPr>
                  <w:tcW w:w="930" w:type="dxa"/>
                  <w:tcBorders>
                    <w:tl2br w:val="nil"/>
                    <w:tr2bl w:val="nil"/>
                  </w:tcBorders>
                  <w:shd w:val="clear" w:color="auto" w:fill="auto"/>
                  <w:vAlign w:val="center"/>
                </w:tcPr>
                <w:p>
                  <w:pPr>
                    <w:spacing w:line="276"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color w:val="000000"/>
                      <w:sz w:val="21"/>
                      <w:szCs w:val="21"/>
                    </w:rPr>
                    <w:t>7.31</w:t>
                  </w:r>
                </w:p>
              </w:tc>
              <w:tc>
                <w:tcPr>
                  <w:tcW w:w="1080" w:type="dxa"/>
                  <w:tcBorders>
                    <w:tl2br w:val="nil"/>
                    <w:tr2bl w:val="nil"/>
                  </w:tcBorders>
                  <w:shd w:val="clear" w:color="auto" w:fill="auto"/>
                  <w:vAlign w:val="center"/>
                </w:tcPr>
                <w:p>
                  <w:pPr>
                    <w:spacing w:line="276"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color w:val="000000"/>
                      <w:sz w:val="21"/>
                      <w:szCs w:val="21"/>
                    </w:rPr>
                    <w:t>302</w:t>
                  </w:r>
                </w:p>
              </w:tc>
              <w:tc>
                <w:tcPr>
                  <w:tcW w:w="888" w:type="dxa"/>
                  <w:tcBorders>
                    <w:tl2br w:val="nil"/>
                    <w:tr2bl w:val="nil"/>
                  </w:tcBorders>
                  <w:shd w:val="clear" w:color="auto" w:fill="auto"/>
                  <w:vAlign w:val="center"/>
                </w:tcPr>
                <w:p>
                  <w:pPr>
                    <w:spacing w:line="276"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color w:val="000000"/>
                      <w:sz w:val="21"/>
                      <w:szCs w:val="21"/>
                    </w:rPr>
                    <w:t>56.3</w:t>
                  </w:r>
                </w:p>
              </w:tc>
              <w:tc>
                <w:tcPr>
                  <w:tcW w:w="766" w:type="dxa"/>
                  <w:tcBorders>
                    <w:tl2br w:val="nil"/>
                    <w:tr2bl w:val="nil"/>
                  </w:tcBorders>
                  <w:shd w:val="clear" w:color="auto" w:fill="auto"/>
                  <w:vAlign w:val="center"/>
                </w:tcPr>
                <w:p>
                  <w:pPr>
                    <w:spacing w:line="276"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color w:val="000000"/>
                      <w:sz w:val="21"/>
                      <w:szCs w:val="21"/>
                    </w:rPr>
                    <w:t>94</w:t>
                  </w:r>
                </w:p>
              </w:tc>
              <w:tc>
                <w:tcPr>
                  <w:tcW w:w="871" w:type="dxa"/>
                  <w:tcBorders>
                    <w:tl2br w:val="nil"/>
                    <w:tr2bl w:val="nil"/>
                  </w:tcBorders>
                  <w:shd w:val="clear" w:color="auto" w:fill="auto"/>
                  <w:vAlign w:val="center"/>
                </w:tcPr>
                <w:p>
                  <w:pPr>
                    <w:spacing w:line="276"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color w:val="000000"/>
                      <w:sz w:val="21"/>
                      <w:szCs w:val="21"/>
                    </w:rPr>
                    <w:t>1.67</w:t>
                  </w:r>
                </w:p>
              </w:tc>
              <w:tc>
                <w:tcPr>
                  <w:tcW w:w="1066" w:type="dxa"/>
                  <w:tcBorders>
                    <w:tl2br w:val="nil"/>
                    <w:tr2bl w:val="nil"/>
                  </w:tcBorders>
                  <w:shd w:val="clear" w:color="auto" w:fill="auto"/>
                  <w:vAlign w:val="center"/>
                </w:tcPr>
                <w:p>
                  <w:pPr>
                    <w:spacing w:line="276"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color w:val="000000"/>
                      <w:sz w:val="21"/>
                      <w:szCs w:val="21"/>
                    </w:rPr>
                    <w:t>12.1</w:t>
                  </w:r>
                </w:p>
              </w:tc>
              <w:tc>
                <w:tcPr>
                  <w:tcW w:w="894" w:type="dxa"/>
                  <w:tcBorders>
                    <w:tl2br w:val="nil"/>
                    <w:tr2bl w:val="nil"/>
                  </w:tcBorders>
                  <w:shd w:val="clear" w:color="auto" w:fill="auto"/>
                  <w:vAlign w:val="center"/>
                </w:tcPr>
                <w:p>
                  <w:pPr>
                    <w:spacing w:line="276" w:lineRule="auto"/>
                    <w:jc w:val="center"/>
                    <w:rPr>
                      <w:rFonts w:hint="default" w:ascii="Times New Roman" w:hAnsi="Times New Roman" w:eastAsia="宋体" w:cs="Times New Roman"/>
                      <w:sz w:val="21"/>
                      <w:szCs w:val="21"/>
                    </w:rPr>
                  </w:pPr>
                  <w:r>
                    <w:rPr>
                      <w:rFonts w:hint="default" w:ascii="Times New Roman" w:hAnsi="Times New Roman" w:eastAsia="宋体" w:cs="Times New Roman"/>
                      <w:color w:val="000000"/>
                      <w:sz w:val="21"/>
                      <w:szCs w:val="21"/>
                    </w:rPr>
                    <w:t>17.9</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1005" w:type="dxa"/>
                  <w:vMerge w:val="continue"/>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rPr>
                  </w:pPr>
                </w:p>
              </w:tc>
              <w:tc>
                <w:tcPr>
                  <w:tcW w:w="1161" w:type="dxa"/>
                  <w:vMerge w:val="restart"/>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lang w:val="en-US"/>
                    </w:rPr>
                  </w:pPr>
                  <w:r>
                    <w:rPr>
                      <w:rFonts w:hint="default" w:ascii="Times New Roman" w:hAnsi="Times New Roman" w:eastAsia="宋体" w:cs="Times New Roman"/>
                      <w:sz w:val="21"/>
                      <w:szCs w:val="21"/>
                      <w:lang w:val="en-US" w:eastAsia="zh-CN"/>
                    </w:rPr>
                    <w:t>2020.08.24</w:t>
                  </w:r>
                </w:p>
              </w:tc>
              <w:tc>
                <w:tcPr>
                  <w:tcW w:w="1183" w:type="dxa"/>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第一次</w:t>
                  </w:r>
                </w:p>
              </w:tc>
              <w:tc>
                <w:tcPr>
                  <w:tcW w:w="930" w:type="dxa"/>
                  <w:tcBorders>
                    <w:tl2br w:val="nil"/>
                    <w:tr2bl w:val="nil"/>
                  </w:tcBorders>
                  <w:shd w:val="clear" w:color="auto" w:fill="auto"/>
                  <w:vAlign w:val="center"/>
                </w:tcPr>
                <w:p>
                  <w:pPr>
                    <w:spacing w:line="276"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color w:val="000000"/>
                      <w:sz w:val="21"/>
                      <w:szCs w:val="21"/>
                    </w:rPr>
                    <w:t>6.98</w:t>
                  </w:r>
                </w:p>
              </w:tc>
              <w:tc>
                <w:tcPr>
                  <w:tcW w:w="1080" w:type="dxa"/>
                  <w:tcBorders>
                    <w:tl2br w:val="nil"/>
                    <w:tr2bl w:val="nil"/>
                  </w:tcBorders>
                  <w:shd w:val="clear" w:color="auto" w:fill="auto"/>
                  <w:vAlign w:val="center"/>
                </w:tcPr>
                <w:p>
                  <w:pPr>
                    <w:spacing w:line="276"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color w:val="000000"/>
                      <w:sz w:val="21"/>
                      <w:szCs w:val="21"/>
                    </w:rPr>
                    <w:t>300</w:t>
                  </w:r>
                </w:p>
              </w:tc>
              <w:tc>
                <w:tcPr>
                  <w:tcW w:w="888" w:type="dxa"/>
                  <w:tcBorders>
                    <w:tl2br w:val="nil"/>
                    <w:tr2bl w:val="nil"/>
                  </w:tcBorders>
                  <w:shd w:val="clear" w:color="auto" w:fill="auto"/>
                  <w:vAlign w:val="center"/>
                </w:tcPr>
                <w:p>
                  <w:pPr>
                    <w:spacing w:line="276" w:lineRule="auto"/>
                    <w:jc w:val="center"/>
                    <w:rPr>
                      <w:rFonts w:hint="default" w:ascii="Times New Roman" w:hAnsi="Times New Roman" w:eastAsia="宋体" w:cs="Times New Roman"/>
                      <w:sz w:val="21"/>
                      <w:szCs w:val="21"/>
                    </w:rPr>
                  </w:pPr>
                  <w:r>
                    <w:rPr>
                      <w:rFonts w:hint="default" w:ascii="Times New Roman" w:hAnsi="Times New Roman" w:eastAsia="宋体" w:cs="Times New Roman"/>
                      <w:color w:val="000000"/>
                      <w:sz w:val="21"/>
                      <w:szCs w:val="21"/>
                    </w:rPr>
                    <w:t>54.2</w:t>
                  </w:r>
                </w:p>
              </w:tc>
              <w:tc>
                <w:tcPr>
                  <w:tcW w:w="766" w:type="dxa"/>
                  <w:tcBorders>
                    <w:tl2br w:val="nil"/>
                    <w:tr2bl w:val="nil"/>
                  </w:tcBorders>
                  <w:shd w:val="clear" w:color="auto" w:fill="auto"/>
                  <w:vAlign w:val="center"/>
                </w:tcPr>
                <w:p>
                  <w:pPr>
                    <w:spacing w:line="276" w:lineRule="auto"/>
                    <w:jc w:val="center"/>
                    <w:rPr>
                      <w:rFonts w:hint="default" w:ascii="Times New Roman" w:hAnsi="Times New Roman" w:eastAsia="宋体" w:cs="Times New Roman"/>
                      <w:sz w:val="21"/>
                      <w:szCs w:val="21"/>
                    </w:rPr>
                  </w:pPr>
                  <w:r>
                    <w:rPr>
                      <w:rFonts w:hint="default" w:ascii="Times New Roman" w:hAnsi="Times New Roman" w:eastAsia="宋体" w:cs="Times New Roman"/>
                      <w:color w:val="000000"/>
                      <w:sz w:val="21"/>
                      <w:szCs w:val="21"/>
                    </w:rPr>
                    <w:t>104</w:t>
                  </w:r>
                </w:p>
              </w:tc>
              <w:tc>
                <w:tcPr>
                  <w:tcW w:w="871" w:type="dxa"/>
                  <w:tcBorders>
                    <w:tl2br w:val="nil"/>
                    <w:tr2bl w:val="nil"/>
                  </w:tcBorders>
                  <w:shd w:val="clear" w:color="auto" w:fill="auto"/>
                  <w:vAlign w:val="center"/>
                </w:tcPr>
                <w:p>
                  <w:pPr>
                    <w:spacing w:line="276" w:lineRule="auto"/>
                    <w:jc w:val="center"/>
                    <w:rPr>
                      <w:rFonts w:hint="default" w:ascii="Times New Roman" w:hAnsi="Times New Roman" w:eastAsia="宋体" w:cs="Times New Roman"/>
                      <w:sz w:val="21"/>
                      <w:szCs w:val="21"/>
                    </w:rPr>
                  </w:pPr>
                  <w:r>
                    <w:rPr>
                      <w:rFonts w:hint="default" w:ascii="Times New Roman" w:hAnsi="Times New Roman" w:eastAsia="宋体" w:cs="Times New Roman"/>
                      <w:color w:val="000000"/>
                      <w:sz w:val="21"/>
                      <w:szCs w:val="21"/>
                    </w:rPr>
                    <w:t>1.69</w:t>
                  </w:r>
                </w:p>
              </w:tc>
              <w:tc>
                <w:tcPr>
                  <w:tcW w:w="1066" w:type="dxa"/>
                  <w:tcBorders>
                    <w:tl2br w:val="nil"/>
                    <w:tr2bl w:val="nil"/>
                  </w:tcBorders>
                  <w:shd w:val="clear" w:color="auto" w:fill="auto"/>
                  <w:vAlign w:val="center"/>
                </w:tcPr>
                <w:p>
                  <w:pPr>
                    <w:spacing w:line="276"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color w:val="000000"/>
                      <w:sz w:val="21"/>
                      <w:szCs w:val="21"/>
                    </w:rPr>
                    <w:t>11.7</w:t>
                  </w:r>
                </w:p>
              </w:tc>
              <w:tc>
                <w:tcPr>
                  <w:tcW w:w="894" w:type="dxa"/>
                  <w:tcBorders>
                    <w:tl2br w:val="nil"/>
                    <w:tr2bl w:val="nil"/>
                  </w:tcBorders>
                  <w:shd w:val="clear" w:color="auto" w:fill="auto"/>
                  <w:vAlign w:val="center"/>
                </w:tcPr>
                <w:p>
                  <w:pPr>
                    <w:spacing w:line="276" w:lineRule="auto"/>
                    <w:jc w:val="center"/>
                    <w:rPr>
                      <w:rFonts w:hint="default" w:ascii="Times New Roman" w:hAnsi="Times New Roman" w:eastAsia="宋体" w:cs="Times New Roman"/>
                      <w:sz w:val="21"/>
                      <w:szCs w:val="21"/>
                    </w:rPr>
                  </w:pPr>
                  <w:r>
                    <w:rPr>
                      <w:rFonts w:hint="default" w:ascii="Times New Roman" w:hAnsi="Times New Roman" w:eastAsia="宋体" w:cs="Times New Roman"/>
                      <w:color w:val="000000"/>
                      <w:sz w:val="21"/>
                      <w:szCs w:val="21"/>
                    </w:rPr>
                    <w:t>17.1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1005" w:type="dxa"/>
                  <w:vMerge w:val="continue"/>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rPr>
                  </w:pPr>
                </w:p>
              </w:tc>
              <w:tc>
                <w:tcPr>
                  <w:tcW w:w="1161" w:type="dxa"/>
                  <w:vMerge w:val="continue"/>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rPr>
                  </w:pPr>
                </w:p>
              </w:tc>
              <w:tc>
                <w:tcPr>
                  <w:tcW w:w="1183" w:type="dxa"/>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第二次</w:t>
                  </w:r>
                </w:p>
              </w:tc>
              <w:tc>
                <w:tcPr>
                  <w:tcW w:w="930" w:type="dxa"/>
                  <w:tcBorders>
                    <w:tl2br w:val="nil"/>
                    <w:tr2bl w:val="nil"/>
                  </w:tcBorders>
                  <w:shd w:val="clear" w:color="auto" w:fill="auto"/>
                  <w:vAlign w:val="center"/>
                </w:tcPr>
                <w:p>
                  <w:pPr>
                    <w:spacing w:line="276"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color w:val="000000"/>
                      <w:sz w:val="21"/>
                      <w:szCs w:val="21"/>
                    </w:rPr>
                    <w:t>7.21</w:t>
                  </w:r>
                </w:p>
              </w:tc>
              <w:tc>
                <w:tcPr>
                  <w:tcW w:w="1080" w:type="dxa"/>
                  <w:tcBorders>
                    <w:tl2br w:val="nil"/>
                    <w:tr2bl w:val="nil"/>
                  </w:tcBorders>
                  <w:shd w:val="clear" w:color="auto" w:fill="auto"/>
                  <w:vAlign w:val="center"/>
                </w:tcPr>
                <w:p>
                  <w:pPr>
                    <w:spacing w:line="276"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color w:val="000000"/>
                      <w:sz w:val="21"/>
                      <w:szCs w:val="21"/>
                    </w:rPr>
                    <w:t>281</w:t>
                  </w:r>
                </w:p>
              </w:tc>
              <w:tc>
                <w:tcPr>
                  <w:tcW w:w="888" w:type="dxa"/>
                  <w:tcBorders>
                    <w:tl2br w:val="nil"/>
                    <w:tr2bl w:val="nil"/>
                  </w:tcBorders>
                  <w:shd w:val="clear" w:color="auto" w:fill="auto"/>
                  <w:vAlign w:val="center"/>
                </w:tcPr>
                <w:p>
                  <w:pPr>
                    <w:spacing w:line="276" w:lineRule="auto"/>
                    <w:jc w:val="center"/>
                    <w:rPr>
                      <w:rFonts w:hint="default" w:ascii="Times New Roman" w:hAnsi="Times New Roman" w:eastAsia="宋体" w:cs="Times New Roman"/>
                      <w:sz w:val="21"/>
                      <w:szCs w:val="21"/>
                    </w:rPr>
                  </w:pPr>
                  <w:r>
                    <w:rPr>
                      <w:rFonts w:hint="default" w:ascii="Times New Roman" w:hAnsi="Times New Roman" w:eastAsia="宋体" w:cs="Times New Roman"/>
                      <w:color w:val="000000"/>
                      <w:sz w:val="21"/>
                      <w:szCs w:val="21"/>
                    </w:rPr>
                    <w:t>53.4</w:t>
                  </w:r>
                </w:p>
              </w:tc>
              <w:tc>
                <w:tcPr>
                  <w:tcW w:w="766" w:type="dxa"/>
                  <w:tcBorders>
                    <w:tl2br w:val="nil"/>
                    <w:tr2bl w:val="nil"/>
                  </w:tcBorders>
                  <w:shd w:val="clear" w:color="auto" w:fill="auto"/>
                  <w:vAlign w:val="center"/>
                </w:tcPr>
                <w:p>
                  <w:pPr>
                    <w:spacing w:line="276" w:lineRule="auto"/>
                    <w:jc w:val="center"/>
                    <w:rPr>
                      <w:rFonts w:hint="default" w:ascii="Times New Roman" w:hAnsi="Times New Roman" w:eastAsia="宋体" w:cs="Times New Roman"/>
                      <w:sz w:val="21"/>
                      <w:szCs w:val="21"/>
                    </w:rPr>
                  </w:pPr>
                  <w:r>
                    <w:rPr>
                      <w:rFonts w:hint="default" w:ascii="Times New Roman" w:hAnsi="Times New Roman" w:eastAsia="宋体" w:cs="Times New Roman"/>
                      <w:color w:val="000000"/>
                      <w:sz w:val="21"/>
                      <w:szCs w:val="21"/>
                    </w:rPr>
                    <w:t>112</w:t>
                  </w:r>
                </w:p>
              </w:tc>
              <w:tc>
                <w:tcPr>
                  <w:tcW w:w="871" w:type="dxa"/>
                  <w:tcBorders>
                    <w:tl2br w:val="nil"/>
                    <w:tr2bl w:val="nil"/>
                  </w:tcBorders>
                  <w:shd w:val="clear" w:color="auto" w:fill="auto"/>
                  <w:vAlign w:val="center"/>
                </w:tcPr>
                <w:p>
                  <w:pPr>
                    <w:spacing w:line="276" w:lineRule="auto"/>
                    <w:jc w:val="center"/>
                    <w:rPr>
                      <w:rFonts w:hint="default" w:ascii="Times New Roman" w:hAnsi="Times New Roman" w:eastAsia="宋体" w:cs="Times New Roman"/>
                      <w:sz w:val="21"/>
                      <w:szCs w:val="21"/>
                    </w:rPr>
                  </w:pPr>
                  <w:r>
                    <w:rPr>
                      <w:rFonts w:hint="default" w:ascii="Times New Roman" w:hAnsi="Times New Roman" w:eastAsia="宋体" w:cs="Times New Roman"/>
                      <w:color w:val="000000"/>
                      <w:sz w:val="21"/>
                      <w:szCs w:val="21"/>
                    </w:rPr>
                    <w:t>1.65</w:t>
                  </w:r>
                </w:p>
              </w:tc>
              <w:tc>
                <w:tcPr>
                  <w:tcW w:w="1066" w:type="dxa"/>
                  <w:tcBorders>
                    <w:tl2br w:val="nil"/>
                    <w:tr2bl w:val="nil"/>
                  </w:tcBorders>
                  <w:shd w:val="clear" w:color="auto" w:fill="auto"/>
                  <w:vAlign w:val="center"/>
                </w:tcPr>
                <w:p>
                  <w:pPr>
                    <w:spacing w:line="276"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color w:val="000000"/>
                      <w:sz w:val="21"/>
                      <w:szCs w:val="21"/>
                    </w:rPr>
                    <w:t>12.0</w:t>
                  </w:r>
                </w:p>
              </w:tc>
              <w:tc>
                <w:tcPr>
                  <w:tcW w:w="894" w:type="dxa"/>
                  <w:tcBorders>
                    <w:tl2br w:val="nil"/>
                    <w:tr2bl w:val="nil"/>
                  </w:tcBorders>
                  <w:shd w:val="clear" w:color="auto" w:fill="auto"/>
                  <w:vAlign w:val="center"/>
                </w:tcPr>
                <w:p>
                  <w:pPr>
                    <w:spacing w:line="276" w:lineRule="auto"/>
                    <w:jc w:val="center"/>
                    <w:rPr>
                      <w:rFonts w:hint="default" w:ascii="Times New Roman" w:hAnsi="Times New Roman" w:eastAsia="宋体" w:cs="Times New Roman"/>
                      <w:sz w:val="21"/>
                      <w:szCs w:val="21"/>
                    </w:rPr>
                  </w:pPr>
                  <w:r>
                    <w:rPr>
                      <w:rFonts w:hint="default" w:ascii="Times New Roman" w:hAnsi="Times New Roman" w:eastAsia="宋体" w:cs="Times New Roman"/>
                      <w:color w:val="000000"/>
                      <w:sz w:val="21"/>
                      <w:szCs w:val="21"/>
                    </w:rPr>
                    <w:t>17.3</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1005" w:type="dxa"/>
                  <w:vMerge w:val="continue"/>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rPr>
                  </w:pPr>
                </w:p>
              </w:tc>
              <w:tc>
                <w:tcPr>
                  <w:tcW w:w="1161" w:type="dxa"/>
                  <w:vMerge w:val="continue"/>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rPr>
                  </w:pPr>
                </w:p>
              </w:tc>
              <w:tc>
                <w:tcPr>
                  <w:tcW w:w="1183" w:type="dxa"/>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第三次</w:t>
                  </w:r>
                </w:p>
              </w:tc>
              <w:tc>
                <w:tcPr>
                  <w:tcW w:w="930" w:type="dxa"/>
                  <w:tcBorders>
                    <w:tl2br w:val="nil"/>
                    <w:tr2bl w:val="nil"/>
                  </w:tcBorders>
                  <w:shd w:val="clear" w:color="auto" w:fill="auto"/>
                  <w:vAlign w:val="center"/>
                </w:tcPr>
                <w:p>
                  <w:pPr>
                    <w:spacing w:line="276"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color w:val="000000"/>
                      <w:sz w:val="21"/>
                      <w:szCs w:val="21"/>
                    </w:rPr>
                    <w:t>7.49</w:t>
                  </w:r>
                </w:p>
              </w:tc>
              <w:tc>
                <w:tcPr>
                  <w:tcW w:w="1080" w:type="dxa"/>
                  <w:tcBorders>
                    <w:tl2br w:val="nil"/>
                    <w:tr2bl w:val="nil"/>
                  </w:tcBorders>
                  <w:shd w:val="clear" w:color="auto" w:fill="auto"/>
                  <w:vAlign w:val="center"/>
                </w:tcPr>
                <w:p>
                  <w:pPr>
                    <w:spacing w:line="276"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color w:val="000000"/>
                      <w:sz w:val="21"/>
                      <w:szCs w:val="21"/>
                    </w:rPr>
                    <w:t>266</w:t>
                  </w:r>
                </w:p>
              </w:tc>
              <w:tc>
                <w:tcPr>
                  <w:tcW w:w="888" w:type="dxa"/>
                  <w:tcBorders>
                    <w:tl2br w:val="nil"/>
                    <w:tr2bl w:val="nil"/>
                  </w:tcBorders>
                  <w:shd w:val="clear" w:color="auto" w:fill="auto"/>
                  <w:vAlign w:val="center"/>
                </w:tcPr>
                <w:p>
                  <w:pPr>
                    <w:spacing w:line="276" w:lineRule="auto"/>
                    <w:jc w:val="center"/>
                    <w:rPr>
                      <w:rFonts w:hint="default" w:ascii="Times New Roman" w:hAnsi="Times New Roman" w:eastAsia="宋体" w:cs="Times New Roman"/>
                      <w:sz w:val="21"/>
                      <w:szCs w:val="21"/>
                    </w:rPr>
                  </w:pPr>
                  <w:r>
                    <w:rPr>
                      <w:rFonts w:hint="default" w:ascii="Times New Roman" w:hAnsi="Times New Roman" w:eastAsia="宋体" w:cs="Times New Roman"/>
                      <w:color w:val="000000"/>
                      <w:sz w:val="21"/>
                      <w:szCs w:val="21"/>
                    </w:rPr>
                    <w:t>48.7</w:t>
                  </w:r>
                </w:p>
              </w:tc>
              <w:tc>
                <w:tcPr>
                  <w:tcW w:w="766" w:type="dxa"/>
                  <w:tcBorders>
                    <w:tl2br w:val="nil"/>
                    <w:tr2bl w:val="nil"/>
                  </w:tcBorders>
                  <w:shd w:val="clear" w:color="auto" w:fill="auto"/>
                  <w:vAlign w:val="center"/>
                </w:tcPr>
                <w:p>
                  <w:pPr>
                    <w:spacing w:line="276" w:lineRule="auto"/>
                    <w:jc w:val="center"/>
                    <w:rPr>
                      <w:rFonts w:hint="default" w:ascii="Times New Roman" w:hAnsi="Times New Roman" w:eastAsia="宋体" w:cs="Times New Roman"/>
                      <w:sz w:val="21"/>
                      <w:szCs w:val="21"/>
                    </w:rPr>
                  </w:pPr>
                  <w:r>
                    <w:rPr>
                      <w:rFonts w:hint="default" w:ascii="Times New Roman" w:hAnsi="Times New Roman" w:eastAsia="宋体" w:cs="Times New Roman"/>
                      <w:color w:val="000000"/>
                      <w:sz w:val="21"/>
                      <w:szCs w:val="21"/>
                    </w:rPr>
                    <w:t>102</w:t>
                  </w:r>
                </w:p>
              </w:tc>
              <w:tc>
                <w:tcPr>
                  <w:tcW w:w="871" w:type="dxa"/>
                  <w:tcBorders>
                    <w:tl2br w:val="nil"/>
                    <w:tr2bl w:val="nil"/>
                  </w:tcBorders>
                  <w:shd w:val="clear" w:color="auto" w:fill="auto"/>
                  <w:vAlign w:val="center"/>
                </w:tcPr>
                <w:p>
                  <w:pPr>
                    <w:spacing w:line="276" w:lineRule="auto"/>
                    <w:jc w:val="center"/>
                    <w:rPr>
                      <w:rFonts w:hint="default" w:ascii="Times New Roman" w:hAnsi="Times New Roman" w:eastAsia="宋体" w:cs="Times New Roman"/>
                      <w:sz w:val="21"/>
                      <w:szCs w:val="21"/>
                    </w:rPr>
                  </w:pPr>
                  <w:r>
                    <w:rPr>
                      <w:rFonts w:hint="default" w:ascii="Times New Roman" w:hAnsi="Times New Roman" w:eastAsia="宋体" w:cs="Times New Roman"/>
                      <w:color w:val="000000"/>
                      <w:sz w:val="21"/>
                      <w:szCs w:val="21"/>
                    </w:rPr>
                    <w:t>1.58</w:t>
                  </w:r>
                </w:p>
              </w:tc>
              <w:tc>
                <w:tcPr>
                  <w:tcW w:w="1066" w:type="dxa"/>
                  <w:tcBorders>
                    <w:tl2br w:val="nil"/>
                    <w:tr2bl w:val="nil"/>
                  </w:tcBorders>
                  <w:shd w:val="clear" w:color="auto" w:fill="auto"/>
                  <w:vAlign w:val="center"/>
                </w:tcPr>
                <w:p>
                  <w:pPr>
                    <w:spacing w:line="276"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color w:val="000000"/>
                      <w:sz w:val="21"/>
                      <w:szCs w:val="21"/>
                    </w:rPr>
                    <w:t>11.8</w:t>
                  </w:r>
                </w:p>
              </w:tc>
              <w:tc>
                <w:tcPr>
                  <w:tcW w:w="894" w:type="dxa"/>
                  <w:tcBorders>
                    <w:tl2br w:val="nil"/>
                    <w:tr2bl w:val="nil"/>
                  </w:tcBorders>
                  <w:shd w:val="clear" w:color="auto" w:fill="auto"/>
                  <w:vAlign w:val="center"/>
                </w:tcPr>
                <w:p>
                  <w:pPr>
                    <w:spacing w:line="276" w:lineRule="auto"/>
                    <w:jc w:val="center"/>
                    <w:rPr>
                      <w:rFonts w:hint="default" w:ascii="Times New Roman" w:hAnsi="Times New Roman" w:eastAsia="宋体" w:cs="Times New Roman"/>
                      <w:sz w:val="21"/>
                      <w:szCs w:val="21"/>
                    </w:rPr>
                  </w:pPr>
                  <w:r>
                    <w:rPr>
                      <w:rFonts w:hint="default" w:ascii="Times New Roman" w:hAnsi="Times New Roman" w:eastAsia="宋体" w:cs="Times New Roman"/>
                      <w:color w:val="000000"/>
                      <w:sz w:val="21"/>
                      <w:szCs w:val="21"/>
                    </w:rPr>
                    <w:t>17.1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3349" w:type="dxa"/>
                  <w:gridSpan w:val="3"/>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执行标准限值</w:t>
                  </w:r>
                </w:p>
              </w:tc>
              <w:tc>
                <w:tcPr>
                  <w:tcW w:w="930" w:type="dxa"/>
                  <w:tcBorders>
                    <w:tl2br w:val="nil"/>
                    <w:tr2bl w:val="nil"/>
                  </w:tcBorders>
                  <w:shd w:val="clear" w:color="auto" w:fill="auto"/>
                  <w:vAlign w:val="center"/>
                </w:tcPr>
                <w:p>
                  <w:pPr>
                    <w:spacing w:line="276" w:lineRule="auto"/>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6-9</w:t>
                  </w:r>
                </w:p>
              </w:tc>
              <w:tc>
                <w:tcPr>
                  <w:tcW w:w="1080" w:type="dxa"/>
                  <w:tcBorders>
                    <w:tl2br w:val="nil"/>
                    <w:tr2bl w:val="nil"/>
                  </w:tcBorders>
                  <w:shd w:val="clear" w:color="auto" w:fill="auto"/>
                  <w:vAlign w:val="center"/>
                </w:tcPr>
                <w:p>
                  <w:pPr>
                    <w:spacing w:line="276" w:lineRule="auto"/>
                    <w:jc w:val="center"/>
                    <w:rPr>
                      <w:rFonts w:hint="default" w:ascii="Times New Roman" w:hAnsi="Times New Roman" w:eastAsia="宋体" w:cs="Times New Roman"/>
                      <w:sz w:val="21"/>
                      <w:szCs w:val="21"/>
                      <w:lang w:val="en-US"/>
                    </w:rPr>
                  </w:pPr>
                  <w:r>
                    <w:rPr>
                      <w:rFonts w:hint="eastAsia"/>
                      <w:lang w:val="en-US" w:eastAsia="zh-CN"/>
                    </w:rPr>
                    <w:t>≤</w:t>
                  </w:r>
                  <w:r>
                    <w:rPr>
                      <w:rFonts w:hint="default"/>
                    </w:rPr>
                    <w:t>500</w:t>
                  </w:r>
                </w:p>
              </w:tc>
              <w:tc>
                <w:tcPr>
                  <w:tcW w:w="888" w:type="dxa"/>
                  <w:tcBorders>
                    <w:tl2br w:val="nil"/>
                    <w:tr2bl w:val="nil"/>
                  </w:tcBorders>
                  <w:shd w:val="clear" w:color="auto" w:fill="auto"/>
                  <w:vAlign w:val="center"/>
                </w:tcPr>
                <w:p>
                  <w:pPr>
                    <w:spacing w:line="276" w:lineRule="auto"/>
                    <w:jc w:val="center"/>
                    <w:rPr>
                      <w:rFonts w:hint="default" w:ascii="Times New Roman" w:hAnsi="Times New Roman" w:eastAsia="宋体" w:cs="Times New Roman"/>
                      <w:sz w:val="21"/>
                      <w:szCs w:val="21"/>
                    </w:rPr>
                  </w:pPr>
                  <w:r>
                    <w:rPr>
                      <w:rFonts w:hint="eastAsia"/>
                      <w:lang w:val="en-US" w:eastAsia="zh-CN"/>
                    </w:rPr>
                    <w:t>≤</w:t>
                  </w:r>
                  <w:r>
                    <w:rPr>
                      <w:rFonts w:hint="default"/>
                    </w:rPr>
                    <w:t>300</w:t>
                  </w:r>
                </w:p>
              </w:tc>
              <w:tc>
                <w:tcPr>
                  <w:tcW w:w="766" w:type="dxa"/>
                  <w:tcBorders>
                    <w:tl2br w:val="nil"/>
                    <w:tr2bl w:val="nil"/>
                  </w:tcBorders>
                  <w:shd w:val="clear" w:color="auto" w:fill="auto"/>
                  <w:vAlign w:val="center"/>
                </w:tcPr>
                <w:p>
                  <w:pPr>
                    <w:spacing w:line="276" w:lineRule="auto"/>
                    <w:jc w:val="center"/>
                    <w:rPr>
                      <w:rFonts w:hint="default" w:ascii="Times New Roman" w:hAnsi="Times New Roman" w:eastAsia="宋体" w:cs="Times New Roman"/>
                      <w:sz w:val="21"/>
                      <w:szCs w:val="21"/>
                    </w:rPr>
                  </w:pPr>
                  <w:r>
                    <w:rPr>
                      <w:rFonts w:hint="eastAsia"/>
                      <w:lang w:val="en-US" w:eastAsia="zh-CN"/>
                    </w:rPr>
                    <w:t>≤</w:t>
                  </w:r>
                  <w:r>
                    <w:rPr>
                      <w:rFonts w:hint="default"/>
                    </w:rPr>
                    <w:t>400</w:t>
                  </w:r>
                </w:p>
              </w:tc>
              <w:tc>
                <w:tcPr>
                  <w:tcW w:w="871" w:type="dxa"/>
                  <w:tcBorders>
                    <w:tl2br w:val="nil"/>
                    <w:tr2bl w:val="nil"/>
                  </w:tcBorders>
                  <w:shd w:val="clear" w:color="auto" w:fill="auto"/>
                  <w:vAlign w:val="center"/>
                </w:tcPr>
                <w:p>
                  <w:pPr>
                    <w:spacing w:line="276" w:lineRule="auto"/>
                    <w:jc w:val="center"/>
                    <w:rPr>
                      <w:rFonts w:hint="default" w:ascii="Times New Roman" w:hAnsi="Times New Roman" w:eastAsia="宋体" w:cs="Times New Roman"/>
                      <w:sz w:val="21"/>
                      <w:szCs w:val="21"/>
                    </w:rPr>
                  </w:pPr>
                  <w:r>
                    <w:rPr>
                      <w:rFonts w:hint="default"/>
                    </w:rPr>
                    <w:t>--</w:t>
                  </w:r>
                </w:p>
              </w:tc>
              <w:tc>
                <w:tcPr>
                  <w:tcW w:w="1066" w:type="dxa"/>
                  <w:tcBorders>
                    <w:tl2br w:val="nil"/>
                    <w:tr2bl w:val="nil"/>
                  </w:tcBorders>
                  <w:shd w:val="clear" w:color="auto" w:fill="auto"/>
                  <w:vAlign w:val="center"/>
                </w:tcPr>
                <w:p>
                  <w:pPr>
                    <w:spacing w:line="276" w:lineRule="auto"/>
                    <w:jc w:val="center"/>
                    <w:rPr>
                      <w:rFonts w:hint="default" w:ascii="Times New Roman" w:hAnsi="Times New Roman" w:eastAsia="宋体" w:cs="Times New Roman"/>
                      <w:sz w:val="21"/>
                      <w:szCs w:val="21"/>
                      <w:lang w:val="en-US" w:eastAsia="zh-CN"/>
                    </w:rPr>
                  </w:pPr>
                  <w:r>
                    <w:rPr>
                      <w:rFonts w:hint="eastAsia"/>
                      <w:lang w:val="en-US" w:eastAsia="zh-CN"/>
                    </w:rPr>
                    <w:t>≤</w:t>
                  </w:r>
                  <w:r>
                    <w:rPr>
                      <w:rFonts w:hint="default"/>
                    </w:rPr>
                    <w:t>100</w:t>
                  </w:r>
                </w:p>
              </w:tc>
              <w:tc>
                <w:tcPr>
                  <w:tcW w:w="894" w:type="dxa"/>
                  <w:tcBorders>
                    <w:tl2br w:val="nil"/>
                    <w:tr2bl w:val="nil"/>
                  </w:tcBorders>
                  <w:shd w:val="clear" w:color="auto" w:fill="auto"/>
                  <w:vAlign w:val="center"/>
                </w:tcPr>
                <w:p>
                  <w:pPr>
                    <w:spacing w:line="276" w:lineRule="auto"/>
                    <w:jc w:val="center"/>
                    <w:rPr>
                      <w:rFonts w:hint="default" w:ascii="Times New Roman" w:hAnsi="Times New Roman" w:eastAsia="宋体" w:cs="Times New Roman"/>
                      <w:sz w:val="21"/>
                      <w:szCs w:val="21"/>
                      <w:lang w:val="en-US" w:eastAsia="zh-CN"/>
                    </w:rPr>
                  </w:pPr>
                  <w:r>
                    <w:rPr>
                      <w:rFonts w:hint="eastAsia" w:ascii="Times New Roman" w:eastAsia="宋体"/>
                      <w:lang w:val="en-US" w:eastAsia="zh-CN"/>
                    </w:rPr>
                    <w:t>≤</w:t>
                  </w:r>
                  <w:r>
                    <w:rPr>
                      <w:rFonts w:hint="default" w:ascii="Times New Roman" w:hAnsi="Times New Roman" w:eastAsia="宋体" w:cs="Times New Roman"/>
                      <w:sz w:val="21"/>
                      <w:szCs w:val="21"/>
                      <w:lang w:val="en-US" w:eastAsia="zh-CN"/>
                    </w:rPr>
                    <w:t>20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3349" w:type="dxa"/>
                  <w:gridSpan w:val="3"/>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达标情况</w:t>
                  </w:r>
                </w:p>
              </w:tc>
              <w:tc>
                <w:tcPr>
                  <w:tcW w:w="930" w:type="dxa"/>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达标</w:t>
                  </w:r>
                </w:p>
              </w:tc>
              <w:tc>
                <w:tcPr>
                  <w:tcW w:w="1080" w:type="dxa"/>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lang w:val="en-US"/>
                    </w:rPr>
                  </w:pPr>
                  <w:r>
                    <w:rPr>
                      <w:rFonts w:hint="default" w:ascii="Times New Roman" w:hAnsi="Times New Roman" w:eastAsia="宋体" w:cs="Times New Roman"/>
                      <w:sz w:val="21"/>
                      <w:szCs w:val="21"/>
                      <w:lang w:val="en-US" w:eastAsia="zh-CN"/>
                    </w:rPr>
                    <w:t>达标</w:t>
                  </w:r>
                </w:p>
              </w:tc>
              <w:tc>
                <w:tcPr>
                  <w:tcW w:w="888" w:type="dxa"/>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达标</w:t>
                  </w:r>
                </w:p>
              </w:tc>
              <w:tc>
                <w:tcPr>
                  <w:tcW w:w="766" w:type="dxa"/>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达标</w:t>
                  </w:r>
                </w:p>
              </w:tc>
              <w:tc>
                <w:tcPr>
                  <w:tcW w:w="871" w:type="dxa"/>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1066" w:type="dxa"/>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达标</w:t>
                  </w:r>
                </w:p>
              </w:tc>
              <w:tc>
                <w:tcPr>
                  <w:tcW w:w="894" w:type="dxa"/>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达标</w:t>
                  </w:r>
                </w:p>
              </w:tc>
            </w:tr>
          </w:tbl>
          <w:p>
            <w:pPr>
              <w:keepNext w:val="0"/>
              <w:keepLines w:val="0"/>
              <w:suppressLineNumbers w:val="0"/>
              <w:autoSpaceDE w:val="0"/>
              <w:autoSpaceDN w:val="0"/>
              <w:bidi w:val="0"/>
              <w:spacing w:before="0" w:beforeAutospacing="0" w:after="0" w:afterAutospacing="0" w:line="360" w:lineRule="auto"/>
              <w:ind w:right="0" w:firstLine="420" w:firstLineChars="200"/>
              <w:rPr>
                <w:rFonts w:hint="eastAsia"/>
                <w:lang w:val="en-US" w:eastAsia="zh-CN"/>
              </w:rPr>
            </w:pPr>
            <w:r>
              <w:rPr>
                <w:rFonts w:hint="eastAsia" w:ascii="Times New Roman" w:eastAsia="宋体"/>
                <w:lang w:val="en-US" w:eastAsia="zh-CN"/>
              </w:rPr>
              <w:t>废水</w:t>
            </w:r>
            <w:r>
              <w:rPr>
                <w:rFonts w:hint="eastAsia"/>
                <w:lang w:val="en-US" w:eastAsia="zh-CN"/>
              </w:rPr>
              <w:t>补充</w:t>
            </w:r>
            <w:r>
              <w:rPr>
                <w:rFonts w:hint="eastAsia" w:ascii="Times New Roman" w:eastAsia="宋体"/>
                <w:lang w:val="en-US" w:eastAsia="zh-CN"/>
              </w:rPr>
              <w:t>监测结果表明：2020年</w:t>
            </w:r>
            <w:r>
              <w:rPr>
                <w:rFonts w:hint="eastAsia"/>
                <w:lang w:val="en-US" w:eastAsia="zh-CN"/>
              </w:rPr>
              <w:t>8</w:t>
            </w:r>
            <w:r>
              <w:rPr>
                <w:rFonts w:hint="eastAsia" w:ascii="Times New Roman" w:eastAsia="宋体"/>
                <w:lang w:val="en-US" w:eastAsia="zh-CN"/>
              </w:rPr>
              <w:t>月2</w:t>
            </w:r>
            <w:r>
              <w:rPr>
                <w:rFonts w:hint="eastAsia"/>
                <w:lang w:val="en-US" w:eastAsia="zh-CN"/>
              </w:rPr>
              <w:t>3</w:t>
            </w:r>
            <w:r>
              <w:rPr>
                <w:rFonts w:hint="eastAsia" w:ascii="Times New Roman" w:eastAsia="宋体"/>
                <w:lang w:val="en-US" w:eastAsia="zh-CN"/>
              </w:rPr>
              <w:t>日和2020年</w:t>
            </w:r>
            <w:r>
              <w:rPr>
                <w:rFonts w:hint="eastAsia"/>
                <w:lang w:val="en-US" w:eastAsia="zh-CN"/>
              </w:rPr>
              <w:t>8</w:t>
            </w:r>
            <w:r>
              <w:rPr>
                <w:rFonts w:hint="eastAsia" w:ascii="Times New Roman" w:eastAsia="宋体"/>
                <w:lang w:val="en-US" w:eastAsia="zh-CN"/>
              </w:rPr>
              <w:t>月2</w:t>
            </w:r>
            <w:r>
              <w:rPr>
                <w:rFonts w:hint="eastAsia"/>
                <w:lang w:val="en-US" w:eastAsia="zh-CN"/>
              </w:rPr>
              <w:t>4</w:t>
            </w:r>
            <w:r>
              <w:rPr>
                <w:rFonts w:hint="eastAsia" w:ascii="Times New Roman" w:eastAsia="宋体"/>
                <w:lang w:val="en-US" w:eastAsia="zh-CN"/>
              </w:rPr>
              <w:t>日，芜湖永达科技有限公司废水总排口的pH值及化学需氧量、生化需氧量、悬浮物、动植物油</w:t>
            </w:r>
            <w:r>
              <w:rPr>
                <w:rFonts w:hint="eastAsia"/>
                <w:lang w:val="en-US" w:eastAsia="zh-CN"/>
              </w:rPr>
              <w:t>、石油类浓</w:t>
            </w:r>
            <w:r>
              <w:rPr>
                <w:rFonts w:hint="eastAsia" w:ascii="Times New Roman" w:eastAsia="宋体"/>
                <w:lang w:val="en-US" w:eastAsia="zh-CN"/>
              </w:rPr>
              <w:t>度均满足《污水综合排放标准》（GB8978-1996）中三级标准要求。</w:t>
            </w:r>
          </w:p>
          <w:p>
            <w:pPr>
              <w:spacing w:line="360" w:lineRule="auto"/>
              <w:rPr>
                <w:rFonts w:hint="eastAsia"/>
              </w:rPr>
            </w:pPr>
            <w:r>
              <w:rPr>
                <w:rFonts w:hint="eastAsia"/>
              </w:rPr>
              <w:t>2、废气监测结果</w:t>
            </w:r>
          </w:p>
          <w:p>
            <w:pPr>
              <w:widowControl/>
              <w:spacing w:line="360" w:lineRule="auto"/>
              <w:jc w:val="center"/>
              <w:rPr>
                <w:rFonts w:hint="eastAsia"/>
              </w:rPr>
            </w:pPr>
            <w:r>
              <w:rPr>
                <w:rFonts w:hint="eastAsia"/>
              </w:rPr>
              <w:t>表7</w:t>
            </w:r>
            <w:r>
              <w:t>-</w:t>
            </w:r>
            <w:r>
              <w:rPr>
                <w:rFonts w:hint="eastAsia"/>
                <w:lang w:val="en-US" w:eastAsia="zh-CN"/>
              </w:rPr>
              <w:t>3</w:t>
            </w:r>
            <w:r>
              <w:rPr>
                <w:rFonts w:hint="eastAsia"/>
              </w:rPr>
              <w:t xml:space="preserve">  有组织废气监测结果表</w:t>
            </w:r>
          </w:p>
          <w:tbl>
            <w:tblPr>
              <w:tblStyle w:val="32"/>
              <w:tblW w:w="9616"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353"/>
              <w:gridCol w:w="2693"/>
              <w:gridCol w:w="2828"/>
              <w:gridCol w:w="2742"/>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4046" w:type="dxa"/>
                  <w:gridSpan w:val="2"/>
                  <w:tcBorders>
                    <w:tl2br w:val="nil"/>
                    <w:tr2bl w:val="nil"/>
                  </w:tcBorders>
                  <w:vAlign w:val="center"/>
                </w:tcPr>
                <w:p>
                  <w:pPr>
                    <w:widowControl/>
                    <w:spacing w:line="276" w:lineRule="auto"/>
                    <w:jc w:val="center"/>
                    <w:rPr>
                      <w:rFonts w:hint="default"/>
                    </w:rPr>
                  </w:pPr>
                  <w:r>
                    <w:rPr>
                      <w:rFonts w:hint="default"/>
                    </w:rPr>
                    <w:t>工艺设备名称及型号</w:t>
                  </w:r>
                </w:p>
              </w:tc>
              <w:tc>
                <w:tcPr>
                  <w:tcW w:w="5570" w:type="dxa"/>
                  <w:gridSpan w:val="2"/>
                  <w:tcBorders>
                    <w:tl2br w:val="nil"/>
                    <w:tr2bl w:val="nil"/>
                  </w:tcBorders>
                  <w:vAlign w:val="center"/>
                </w:tcPr>
                <w:p>
                  <w:pPr>
                    <w:spacing w:line="276" w:lineRule="auto"/>
                    <w:jc w:val="center"/>
                    <w:rPr>
                      <w:rFonts w:hint="default"/>
                    </w:rPr>
                  </w:pPr>
                  <w:r>
                    <w:rPr>
                      <w:rFonts w:hint="default"/>
                    </w:rPr>
                    <w:t>脱模工艺</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4046" w:type="dxa"/>
                  <w:gridSpan w:val="2"/>
                  <w:tcBorders>
                    <w:tl2br w:val="nil"/>
                    <w:tr2bl w:val="nil"/>
                  </w:tcBorders>
                  <w:vAlign w:val="center"/>
                </w:tcPr>
                <w:p>
                  <w:pPr>
                    <w:widowControl/>
                    <w:spacing w:line="276" w:lineRule="auto"/>
                    <w:jc w:val="center"/>
                    <w:rPr>
                      <w:rFonts w:hint="default"/>
                    </w:rPr>
                  </w:pPr>
                  <w:r>
                    <w:rPr>
                      <w:rFonts w:hint="default"/>
                    </w:rPr>
                    <w:t>净化器名称及型号</w:t>
                  </w:r>
                </w:p>
              </w:tc>
              <w:tc>
                <w:tcPr>
                  <w:tcW w:w="5570" w:type="dxa"/>
                  <w:gridSpan w:val="2"/>
                  <w:tcBorders>
                    <w:tl2br w:val="nil"/>
                    <w:tr2bl w:val="nil"/>
                  </w:tcBorders>
                  <w:vAlign w:val="center"/>
                </w:tcPr>
                <w:p>
                  <w:pPr>
                    <w:spacing w:line="276" w:lineRule="auto"/>
                    <w:jc w:val="center"/>
                    <w:rPr>
                      <w:rFonts w:hint="default"/>
                    </w:rPr>
                  </w:pPr>
                  <w:r>
                    <w:rPr>
                      <w:rFonts w:hint="default"/>
                    </w:rPr>
                    <w:t>静电除雾+等离子光氧+活性炭吸附</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4046" w:type="dxa"/>
                  <w:gridSpan w:val="2"/>
                  <w:tcBorders>
                    <w:tl2br w:val="nil"/>
                    <w:tr2bl w:val="nil"/>
                  </w:tcBorders>
                  <w:vAlign w:val="center"/>
                </w:tcPr>
                <w:p>
                  <w:pPr>
                    <w:widowControl/>
                    <w:spacing w:line="276" w:lineRule="auto"/>
                    <w:jc w:val="center"/>
                    <w:rPr>
                      <w:rFonts w:hint="default"/>
                    </w:rPr>
                  </w:pPr>
                  <w:r>
                    <w:rPr>
                      <w:rFonts w:hint="default"/>
                    </w:rPr>
                    <w:t>采样日期</w:t>
                  </w:r>
                </w:p>
              </w:tc>
              <w:tc>
                <w:tcPr>
                  <w:tcW w:w="2828" w:type="dxa"/>
                  <w:tcBorders>
                    <w:tl2br w:val="nil"/>
                    <w:tr2bl w:val="nil"/>
                  </w:tcBorders>
                  <w:vAlign w:val="center"/>
                </w:tcPr>
                <w:p>
                  <w:pPr>
                    <w:spacing w:line="276" w:lineRule="auto"/>
                    <w:jc w:val="center"/>
                    <w:rPr>
                      <w:rFonts w:hint="default"/>
                    </w:rPr>
                  </w:pPr>
                  <w:r>
                    <w:rPr>
                      <w:rFonts w:hint="default"/>
                    </w:rPr>
                    <w:t>2020.07.25</w:t>
                  </w:r>
                </w:p>
              </w:tc>
              <w:tc>
                <w:tcPr>
                  <w:tcW w:w="2742" w:type="dxa"/>
                  <w:tcBorders>
                    <w:tl2br w:val="nil"/>
                    <w:tr2bl w:val="nil"/>
                  </w:tcBorders>
                  <w:vAlign w:val="center"/>
                </w:tcPr>
                <w:p>
                  <w:pPr>
                    <w:spacing w:line="276" w:lineRule="auto"/>
                    <w:jc w:val="center"/>
                    <w:rPr>
                      <w:rFonts w:hint="default"/>
                    </w:rPr>
                  </w:pPr>
                  <w:r>
                    <w:rPr>
                      <w:rFonts w:hint="default"/>
                    </w:rPr>
                    <w:t>2020.07.26</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4046" w:type="dxa"/>
                  <w:gridSpan w:val="2"/>
                  <w:tcBorders>
                    <w:tl2br w:val="nil"/>
                    <w:tr2bl w:val="nil"/>
                  </w:tcBorders>
                  <w:vAlign w:val="center"/>
                </w:tcPr>
                <w:p>
                  <w:pPr>
                    <w:widowControl/>
                    <w:spacing w:line="276" w:lineRule="auto"/>
                    <w:jc w:val="center"/>
                    <w:rPr>
                      <w:rFonts w:hint="default"/>
                    </w:rPr>
                  </w:pPr>
                  <w:r>
                    <w:rPr>
                      <w:rFonts w:hint="default"/>
                    </w:rPr>
                    <w:t>排气筒高度#（m）</w:t>
                  </w:r>
                </w:p>
              </w:tc>
              <w:tc>
                <w:tcPr>
                  <w:tcW w:w="2828" w:type="dxa"/>
                  <w:tcBorders>
                    <w:tl2br w:val="nil"/>
                    <w:tr2bl w:val="nil"/>
                  </w:tcBorders>
                  <w:vAlign w:val="center"/>
                </w:tcPr>
                <w:p>
                  <w:pPr>
                    <w:spacing w:line="276" w:lineRule="auto"/>
                    <w:jc w:val="center"/>
                    <w:rPr>
                      <w:rFonts w:hint="default"/>
                    </w:rPr>
                  </w:pPr>
                  <w:r>
                    <w:rPr>
                      <w:rFonts w:hint="default"/>
                    </w:rPr>
                    <w:t>15</w:t>
                  </w:r>
                </w:p>
              </w:tc>
              <w:tc>
                <w:tcPr>
                  <w:tcW w:w="2742" w:type="dxa"/>
                  <w:tcBorders>
                    <w:tl2br w:val="nil"/>
                    <w:tr2bl w:val="nil"/>
                  </w:tcBorders>
                  <w:vAlign w:val="center"/>
                </w:tcPr>
                <w:p>
                  <w:pPr>
                    <w:spacing w:line="276" w:lineRule="auto"/>
                    <w:jc w:val="center"/>
                    <w:rPr>
                      <w:rFonts w:hint="default"/>
                    </w:rPr>
                  </w:pPr>
                  <w:r>
                    <w:rPr>
                      <w:rFonts w:hint="default"/>
                    </w:rPr>
                    <w:t>15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4046" w:type="dxa"/>
                  <w:gridSpan w:val="2"/>
                  <w:tcBorders>
                    <w:tl2br w:val="nil"/>
                    <w:tr2bl w:val="nil"/>
                  </w:tcBorders>
                  <w:vAlign w:val="center"/>
                </w:tcPr>
                <w:p>
                  <w:pPr>
                    <w:widowControl/>
                    <w:spacing w:line="276" w:lineRule="auto"/>
                    <w:jc w:val="center"/>
                    <w:rPr>
                      <w:rFonts w:hint="default"/>
                    </w:rPr>
                  </w:pPr>
                  <w:r>
                    <w:rPr>
                      <w:rFonts w:hint="default"/>
                    </w:rPr>
                    <w:t>测试断面</w:t>
                  </w:r>
                </w:p>
              </w:tc>
              <w:tc>
                <w:tcPr>
                  <w:tcW w:w="2828" w:type="dxa"/>
                  <w:tcBorders>
                    <w:tl2br w:val="nil"/>
                    <w:tr2bl w:val="nil"/>
                  </w:tcBorders>
                  <w:vAlign w:val="center"/>
                </w:tcPr>
                <w:p>
                  <w:pPr>
                    <w:spacing w:line="276" w:lineRule="auto"/>
                    <w:jc w:val="center"/>
                    <w:rPr>
                      <w:rFonts w:hint="default"/>
                    </w:rPr>
                  </w:pPr>
                  <w:r>
                    <w:rPr>
                      <w:rFonts w:hint="eastAsia" w:ascii="Times New Roman" w:eastAsia="宋体"/>
                      <w:lang w:val="en-US" w:eastAsia="zh-CN"/>
                    </w:rPr>
                    <w:t>脱模</w:t>
                  </w:r>
                  <w:r>
                    <w:rPr>
                      <w:rFonts w:hint="default"/>
                    </w:rPr>
                    <w:t>废气排气筒出口</w:t>
                  </w:r>
                </w:p>
              </w:tc>
              <w:tc>
                <w:tcPr>
                  <w:tcW w:w="2742" w:type="dxa"/>
                  <w:tcBorders>
                    <w:tl2br w:val="nil"/>
                    <w:tr2bl w:val="nil"/>
                  </w:tcBorders>
                  <w:vAlign w:val="center"/>
                </w:tcPr>
                <w:p>
                  <w:pPr>
                    <w:spacing w:line="276" w:lineRule="auto"/>
                    <w:jc w:val="center"/>
                    <w:rPr>
                      <w:rFonts w:hint="default"/>
                    </w:rPr>
                  </w:pPr>
                  <w:r>
                    <w:rPr>
                      <w:rFonts w:hint="default"/>
                      <w:lang w:val="en-US" w:eastAsia="zh-CN"/>
                    </w:rPr>
                    <w:t>脱模</w:t>
                  </w:r>
                  <w:r>
                    <w:rPr>
                      <w:rFonts w:hint="default"/>
                    </w:rPr>
                    <w:t>废气排气筒出口</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cantSplit/>
                <w:trHeight w:val="454" w:hRule="atLeast"/>
                <w:jc w:val="center"/>
              </w:trPr>
              <w:tc>
                <w:tcPr>
                  <w:tcW w:w="4046" w:type="dxa"/>
                  <w:gridSpan w:val="2"/>
                  <w:tcBorders>
                    <w:tl2br w:val="nil"/>
                    <w:tr2bl w:val="nil"/>
                  </w:tcBorders>
                  <w:vAlign w:val="center"/>
                </w:tcPr>
                <w:p>
                  <w:pPr>
                    <w:widowControl/>
                    <w:spacing w:line="276" w:lineRule="auto"/>
                    <w:jc w:val="center"/>
                    <w:rPr>
                      <w:rFonts w:hint="default"/>
                    </w:rPr>
                  </w:pPr>
                  <w:r>
                    <w:rPr>
                      <w:rFonts w:hint="default"/>
                    </w:rPr>
                    <w:t>管道截面积#（m²）</w:t>
                  </w:r>
                </w:p>
              </w:tc>
              <w:tc>
                <w:tcPr>
                  <w:tcW w:w="2828" w:type="dxa"/>
                  <w:tcBorders>
                    <w:tl2br w:val="nil"/>
                    <w:tr2bl w:val="nil"/>
                  </w:tcBorders>
                  <w:vAlign w:val="center"/>
                </w:tcPr>
                <w:p>
                  <w:pPr>
                    <w:spacing w:line="276" w:lineRule="auto"/>
                    <w:jc w:val="center"/>
                    <w:rPr>
                      <w:rFonts w:hint="default"/>
                    </w:rPr>
                  </w:pPr>
                  <w:r>
                    <w:rPr>
                      <w:rFonts w:hint="default"/>
                    </w:rPr>
                    <w:t>0.503</w:t>
                  </w:r>
                </w:p>
              </w:tc>
              <w:tc>
                <w:tcPr>
                  <w:tcW w:w="2742" w:type="dxa"/>
                  <w:tcBorders>
                    <w:tl2br w:val="nil"/>
                    <w:tr2bl w:val="nil"/>
                  </w:tcBorders>
                  <w:vAlign w:val="center"/>
                </w:tcPr>
                <w:p>
                  <w:pPr>
                    <w:spacing w:line="276" w:lineRule="auto"/>
                    <w:jc w:val="center"/>
                    <w:rPr>
                      <w:rFonts w:hint="default"/>
                    </w:rPr>
                  </w:pPr>
                  <w:r>
                    <w:rPr>
                      <w:rFonts w:hint="default"/>
                    </w:rPr>
                    <w:t>0.503</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4046" w:type="dxa"/>
                  <w:gridSpan w:val="2"/>
                  <w:tcBorders>
                    <w:tl2br w:val="nil"/>
                    <w:tr2bl w:val="nil"/>
                  </w:tcBorders>
                  <w:vAlign w:val="center"/>
                </w:tcPr>
                <w:p>
                  <w:pPr>
                    <w:widowControl/>
                    <w:spacing w:line="276" w:lineRule="auto"/>
                    <w:jc w:val="center"/>
                    <w:rPr>
                      <w:rFonts w:hint="default"/>
                    </w:rPr>
                  </w:pPr>
                  <w:r>
                    <w:rPr>
                      <w:rFonts w:hint="default"/>
                    </w:rPr>
                    <w:t>测点烟气温度 (℃)</w:t>
                  </w:r>
                </w:p>
              </w:tc>
              <w:tc>
                <w:tcPr>
                  <w:tcW w:w="2828" w:type="dxa"/>
                  <w:tcBorders>
                    <w:tl2br w:val="nil"/>
                    <w:tr2bl w:val="nil"/>
                  </w:tcBorders>
                  <w:vAlign w:val="center"/>
                </w:tcPr>
                <w:p>
                  <w:pPr>
                    <w:spacing w:line="276" w:lineRule="auto"/>
                    <w:jc w:val="center"/>
                    <w:rPr>
                      <w:rFonts w:hint="default"/>
                    </w:rPr>
                  </w:pPr>
                  <w:r>
                    <w:rPr>
                      <w:rFonts w:hint="default"/>
                    </w:rPr>
                    <w:t>28.8</w:t>
                  </w:r>
                </w:p>
              </w:tc>
              <w:tc>
                <w:tcPr>
                  <w:tcW w:w="2742" w:type="dxa"/>
                  <w:tcBorders>
                    <w:tl2br w:val="nil"/>
                    <w:tr2bl w:val="nil"/>
                  </w:tcBorders>
                  <w:vAlign w:val="center"/>
                </w:tcPr>
                <w:p>
                  <w:pPr>
                    <w:spacing w:line="276" w:lineRule="auto"/>
                    <w:jc w:val="center"/>
                    <w:rPr>
                      <w:rFonts w:hint="default"/>
                    </w:rPr>
                  </w:pPr>
                  <w:r>
                    <w:rPr>
                      <w:rFonts w:hint="default"/>
                    </w:rPr>
                    <w:t>29.8</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4046" w:type="dxa"/>
                  <w:gridSpan w:val="2"/>
                  <w:tcBorders>
                    <w:tl2br w:val="nil"/>
                    <w:tr2bl w:val="nil"/>
                  </w:tcBorders>
                  <w:vAlign w:val="center"/>
                </w:tcPr>
                <w:p>
                  <w:pPr>
                    <w:widowControl/>
                    <w:spacing w:line="276" w:lineRule="auto"/>
                    <w:jc w:val="center"/>
                    <w:rPr>
                      <w:rFonts w:hint="default"/>
                    </w:rPr>
                  </w:pPr>
                  <w:r>
                    <w:rPr>
                      <w:rFonts w:hint="default"/>
                    </w:rPr>
                    <w:t>烟气含湿量 (％)</w:t>
                  </w:r>
                </w:p>
              </w:tc>
              <w:tc>
                <w:tcPr>
                  <w:tcW w:w="2828" w:type="dxa"/>
                  <w:tcBorders>
                    <w:tl2br w:val="nil"/>
                    <w:tr2bl w:val="nil"/>
                  </w:tcBorders>
                  <w:vAlign w:val="center"/>
                </w:tcPr>
                <w:p>
                  <w:pPr>
                    <w:spacing w:line="276" w:lineRule="auto"/>
                    <w:jc w:val="center"/>
                    <w:rPr>
                      <w:rFonts w:hint="default"/>
                    </w:rPr>
                  </w:pPr>
                  <w:r>
                    <w:rPr>
                      <w:rFonts w:hint="default"/>
                    </w:rPr>
                    <w:t>3.8</w:t>
                  </w:r>
                </w:p>
              </w:tc>
              <w:tc>
                <w:tcPr>
                  <w:tcW w:w="2742" w:type="dxa"/>
                  <w:tcBorders>
                    <w:tl2br w:val="nil"/>
                    <w:tr2bl w:val="nil"/>
                  </w:tcBorders>
                  <w:vAlign w:val="center"/>
                </w:tcPr>
                <w:p>
                  <w:pPr>
                    <w:spacing w:line="276" w:lineRule="auto"/>
                    <w:jc w:val="center"/>
                    <w:rPr>
                      <w:rFonts w:hint="default"/>
                    </w:rPr>
                  </w:pPr>
                  <w:r>
                    <w:rPr>
                      <w:rFonts w:hint="default"/>
                    </w:rPr>
                    <w:t>3.9</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4046" w:type="dxa"/>
                  <w:gridSpan w:val="2"/>
                  <w:tcBorders>
                    <w:tl2br w:val="nil"/>
                    <w:tr2bl w:val="nil"/>
                  </w:tcBorders>
                  <w:vAlign w:val="center"/>
                </w:tcPr>
                <w:p>
                  <w:pPr>
                    <w:widowControl/>
                    <w:spacing w:line="276" w:lineRule="auto"/>
                    <w:jc w:val="center"/>
                    <w:rPr>
                      <w:rFonts w:hint="default"/>
                    </w:rPr>
                  </w:pPr>
                  <w:r>
                    <w:rPr>
                      <w:rFonts w:hint="default"/>
                    </w:rPr>
                    <w:t>测点烟气流速 (m/s)</w:t>
                  </w:r>
                </w:p>
              </w:tc>
              <w:tc>
                <w:tcPr>
                  <w:tcW w:w="2828" w:type="dxa"/>
                  <w:tcBorders>
                    <w:tl2br w:val="nil"/>
                    <w:tr2bl w:val="nil"/>
                  </w:tcBorders>
                  <w:vAlign w:val="center"/>
                </w:tcPr>
                <w:p>
                  <w:pPr>
                    <w:spacing w:line="276" w:lineRule="auto"/>
                    <w:jc w:val="center"/>
                    <w:rPr>
                      <w:rFonts w:hint="default"/>
                    </w:rPr>
                  </w:pPr>
                  <w:r>
                    <w:rPr>
                      <w:rFonts w:hint="default"/>
                    </w:rPr>
                    <w:t>7.4</w:t>
                  </w:r>
                </w:p>
              </w:tc>
              <w:tc>
                <w:tcPr>
                  <w:tcW w:w="2742" w:type="dxa"/>
                  <w:tcBorders>
                    <w:tl2br w:val="nil"/>
                    <w:tr2bl w:val="nil"/>
                  </w:tcBorders>
                  <w:vAlign w:val="center"/>
                </w:tcPr>
                <w:p>
                  <w:pPr>
                    <w:spacing w:line="276" w:lineRule="auto"/>
                    <w:jc w:val="center"/>
                    <w:rPr>
                      <w:rFonts w:hint="default"/>
                    </w:rPr>
                  </w:pPr>
                  <w:r>
                    <w:rPr>
                      <w:rFonts w:hint="default"/>
                    </w:rPr>
                    <w:t>7.6</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4046" w:type="dxa"/>
                  <w:gridSpan w:val="2"/>
                  <w:tcBorders>
                    <w:tl2br w:val="nil"/>
                    <w:tr2bl w:val="nil"/>
                  </w:tcBorders>
                  <w:vAlign w:val="center"/>
                </w:tcPr>
                <w:p>
                  <w:pPr>
                    <w:widowControl/>
                    <w:spacing w:line="276" w:lineRule="auto"/>
                    <w:jc w:val="center"/>
                    <w:rPr>
                      <w:rFonts w:hint="default"/>
                    </w:rPr>
                  </w:pPr>
                  <w:r>
                    <w:rPr>
                      <w:rFonts w:hint="default"/>
                    </w:rPr>
                    <w:t>实测烟气量 (m³/h)</w:t>
                  </w:r>
                </w:p>
              </w:tc>
              <w:tc>
                <w:tcPr>
                  <w:tcW w:w="2828" w:type="dxa"/>
                  <w:tcBorders>
                    <w:tl2br w:val="nil"/>
                    <w:tr2bl w:val="nil"/>
                  </w:tcBorders>
                  <w:vAlign w:val="center"/>
                </w:tcPr>
                <w:p>
                  <w:pPr>
                    <w:spacing w:line="276" w:lineRule="auto"/>
                    <w:jc w:val="center"/>
                    <w:rPr>
                      <w:rFonts w:hint="default"/>
                    </w:rPr>
                  </w:pPr>
                  <w:r>
                    <w:rPr>
                      <w:rFonts w:hint="default"/>
                    </w:rPr>
                    <w:t>1.35×104</w:t>
                  </w:r>
                </w:p>
              </w:tc>
              <w:tc>
                <w:tcPr>
                  <w:tcW w:w="2742" w:type="dxa"/>
                  <w:tcBorders>
                    <w:tl2br w:val="nil"/>
                    <w:tr2bl w:val="nil"/>
                  </w:tcBorders>
                  <w:vAlign w:val="center"/>
                </w:tcPr>
                <w:p>
                  <w:pPr>
                    <w:spacing w:line="276" w:lineRule="auto"/>
                    <w:jc w:val="center"/>
                    <w:rPr>
                      <w:rFonts w:hint="default"/>
                    </w:rPr>
                  </w:pPr>
                  <w:r>
                    <w:rPr>
                      <w:rFonts w:hint="default"/>
                    </w:rPr>
                    <w:t>1.37×104</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4046" w:type="dxa"/>
                  <w:gridSpan w:val="2"/>
                  <w:tcBorders>
                    <w:tl2br w:val="nil"/>
                    <w:tr2bl w:val="nil"/>
                  </w:tcBorders>
                  <w:vAlign w:val="center"/>
                </w:tcPr>
                <w:p>
                  <w:pPr>
                    <w:widowControl/>
                    <w:spacing w:line="276" w:lineRule="auto"/>
                    <w:jc w:val="center"/>
                    <w:rPr>
                      <w:rFonts w:hint="default"/>
                    </w:rPr>
                  </w:pPr>
                  <w:r>
                    <w:rPr>
                      <w:rFonts w:hint="default"/>
                    </w:rPr>
                    <w:t>标态干烟气量（m³/h）</w:t>
                  </w:r>
                </w:p>
              </w:tc>
              <w:tc>
                <w:tcPr>
                  <w:tcW w:w="2828" w:type="dxa"/>
                  <w:tcBorders>
                    <w:tl2br w:val="nil"/>
                    <w:tr2bl w:val="nil"/>
                  </w:tcBorders>
                  <w:vAlign w:val="center"/>
                </w:tcPr>
                <w:p>
                  <w:pPr>
                    <w:spacing w:line="276" w:lineRule="auto"/>
                    <w:jc w:val="center"/>
                    <w:rPr>
                      <w:rFonts w:hint="default"/>
                    </w:rPr>
                  </w:pPr>
                  <w:r>
                    <w:rPr>
                      <w:rFonts w:hint="default"/>
                    </w:rPr>
                    <w:t>1.17×104</w:t>
                  </w:r>
                </w:p>
              </w:tc>
              <w:tc>
                <w:tcPr>
                  <w:tcW w:w="2742" w:type="dxa"/>
                  <w:tcBorders>
                    <w:tl2br w:val="nil"/>
                    <w:tr2bl w:val="nil"/>
                  </w:tcBorders>
                  <w:vAlign w:val="center"/>
                </w:tcPr>
                <w:p>
                  <w:pPr>
                    <w:spacing w:line="276" w:lineRule="auto"/>
                    <w:jc w:val="center"/>
                    <w:rPr>
                      <w:rFonts w:hint="default"/>
                    </w:rPr>
                  </w:pPr>
                  <w:r>
                    <w:rPr>
                      <w:rFonts w:hint="default"/>
                    </w:rPr>
                    <w:t>1.18×104</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1353" w:type="dxa"/>
                  <w:vMerge w:val="restart"/>
                  <w:tcBorders>
                    <w:tl2br w:val="nil"/>
                    <w:tr2bl w:val="nil"/>
                  </w:tcBorders>
                  <w:vAlign w:val="center"/>
                </w:tcPr>
                <w:p>
                  <w:pPr>
                    <w:widowControl/>
                    <w:jc w:val="center"/>
                    <w:rPr>
                      <w:rFonts w:hint="default"/>
                    </w:rPr>
                  </w:pPr>
                  <w:r>
                    <w:rPr>
                      <w:rFonts w:hint="default"/>
                    </w:rPr>
                    <w:t>非甲烷总烃</w:t>
                  </w:r>
                </w:p>
              </w:tc>
              <w:tc>
                <w:tcPr>
                  <w:tcW w:w="2693" w:type="dxa"/>
                  <w:tcBorders>
                    <w:tl2br w:val="nil"/>
                    <w:tr2bl w:val="nil"/>
                  </w:tcBorders>
                  <w:vAlign w:val="center"/>
                </w:tcPr>
                <w:p>
                  <w:pPr>
                    <w:spacing w:line="276" w:lineRule="auto"/>
                    <w:jc w:val="center"/>
                    <w:rPr>
                      <w:rFonts w:hint="default"/>
                    </w:rPr>
                  </w:pPr>
                  <w:r>
                    <w:rPr>
                      <w:rFonts w:hint="default"/>
                    </w:rPr>
                    <w:t>污染物排放浓度(mg/m³)</w:t>
                  </w:r>
                </w:p>
              </w:tc>
              <w:tc>
                <w:tcPr>
                  <w:tcW w:w="2828" w:type="dxa"/>
                  <w:tcBorders>
                    <w:tl2br w:val="nil"/>
                    <w:tr2bl w:val="nil"/>
                  </w:tcBorders>
                  <w:vAlign w:val="center"/>
                </w:tcPr>
                <w:p>
                  <w:pPr>
                    <w:spacing w:line="276" w:lineRule="auto"/>
                    <w:jc w:val="center"/>
                    <w:rPr>
                      <w:rFonts w:hint="default"/>
                    </w:rPr>
                  </w:pPr>
                  <w:r>
                    <w:rPr>
                      <w:rFonts w:hint="default"/>
                    </w:rPr>
                    <w:t>4.39</w:t>
                  </w:r>
                </w:p>
              </w:tc>
              <w:tc>
                <w:tcPr>
                  <w:tcW w:w="2742" w:type="dxa"/>
                  <w:tcBorders>
                    <w:tl2br w:val="nil"/>
                    <w:tr2bl w:val="nil"/>
                  </w:tcBorders>
                  <w:vAlign w:val="center"/>
                </w:tcPr>
                <w:p>
                  <w:pPr>
                    <w:spacing w:line="276" w:lineRule="auto"/>
                    <w:jc w:val="center"/>
                    <w:rPr>
                      <w:rFonts w:hint="default"/>
                    </w:rPr>
                  </w:pPr>
                  <w:r>
                    <w:rPr>
                      <w:rFonts w:hint="default"/>
                    </w:rPr>
                    <w:t>4.14</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1353" w:type="dxa"/>
                  <w:vMerge w:val="continue"/>
                  <w:tcBorders>
                    <w:tl2br w:val="nil"/>
                    <w:tr2bl w:val="nil"/>
                  </w:tcBorders>
                  <w:vAlign w:val="center"/>
                </w:tcPr>
                <w:p>
                  <w:pPr>
                    <w:widowControl/>
                    <w:spacing w:line="276" w:lineRule="auto"/>
                    <w:jc w:val="center"/>
                    <w:rPr>
                      <w:rFonts w:hint="default"/>
                    </w:rPr>
                  </w:pPr>
                </w:p>
              </w:tc>
              <w:tc>
                <w:tcPr>
                  <w:tcW w:w="2693" w:type="dxa"/>
                  <w:tcBorders>
                    <w:tl2br w:val="nil"/>
                    <w:tr2bl w:val="nil"/>
                  </w:tcBorders>
                  <w:vAlign w:val="center"/>
                </w:tcPr>
                <w:p>
                  <w:pPr>
                    <w:spacing w:line="276" w:lineRule="auto"/>
                    <w:jc w:val="center"/>
                    <w:rPr>
                      <w:rFonts w:hint="default"/>
                    </w:rPr>
                  </w:pPr>
                  <w:r>
                    <w:rPr>
                      <w:rFonts w:hint="default"/>
                    </w:rPr>
                    <w:t>污染物排放速率(kg/h)</w:t>
                  </w:r>
                </w:p>
              </w:tc>
              <w:tc>
                <w:tcPr>
                  <w:tcW w:w="2828" w:type="dxa"/>
                  <w:tcBorders>
                    <w:tl2br w:val="nil"/>
                    <w:tr2bl w:val="nil"/>
                  </w:tcBorders>
                  <w:vAlign w:val="center"/>
                </w:tcPr>
                <w:p>
                  <w:pPr>
                    <w:spacing w:line="276" w:lineRule="auto"/>
                    <w:jc w:val="center"/>
                    <w:rPr>
                      <w:rFonts w:hint="default"/>
                    </w:rPr>
                  </w:pPr>
                  <w:r>
                    <w:rPr>
                      <w:rFonts w:hint="default"/>
                    </w:rPr>
                    <w:t>0.0514</w:t>
                  </w:r>
                </w:p>
              </w:tc>
              <w:tc>
                <w:tcPr>
                  <w:tcW w:w="2742" w:type="dxa"/>
                  <w:tcBorders>
                    <w:tl2br w:val="nil"/>
                    <w:tr2bl w:val="nil"/>
                  </w:tcBorders>
                  <w:vAlign w:val="center"/>
                </w:tcPr>
                <w:p>
                  <w:pPr>
                    <w:spacing w:line="276" w:lineRule="auto"/>
                    <w:jc w:val="center"/>
                    <w:rPr>
                      <w:rFonts w:hint="default"/>
                    </w:rPr>
                  </w:pPr>
                  <w:r>
                    <w:rPr>
                      <w:rFonts w:hint="default"/>
                    </w:rPr>
                    <w:t>0.0489</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4046" w:type="dxa"/>
                  <w:gridSpan w:val="2"/>
                  <w:tcBorders>
                    <w:tl2br w:val="nil"/>
                    <w:tr2bl w:val="nil"/>
                  </w:tcBorders>
                  <w:vAlign w:val="center"/>
                </w:tcPr>
                <w:p>
                  <w:pPr>
                    <w:spacing w:line="276" w:lineRule="auto"/>
                    <w:jc w:val="center"/>
                    <w:rPr>
                      <w:rFonts w:hint="default"/>
                    </w:rPr>
                  </w:pPr>
                  <w:r>
                    <w:rPr>
                      <w:rFonts w:hint="default"/>
                    </w:rPr>
                    <w:t>达标情况</w:t>
                  </w:r>
                </w:p>
              </w:tc>
              <w:tc>
                <w:tcPr>
                  <w:tcW w:w="2828" w:type="dxa"/>
                  <w:tcBorders>
                    <w:tl2br w:val="nil"/>
                    <w:tr2bl w:val="nil"/>
                  </w:tcBorders>
                  <w:vAlign w:val="center"/>
                </w:tcPr>
                <w:p>
                  <w:pPr>
                    <w:spacing w:line="276" w:lineRule="auto"/>
                    <w:jc w:val="center"/>
                    <w:rPr>
                      <w:rFonts w:hint="default"/>
                    </w:rPr>
                  </w:pPr>
                  <w:r>
                    <w:rPr>
                      <w:rFonts w:hint="default"/>
                    </w:rPr>
                    <w:t>达标</w:t>
                  </w:r>
                </w:p>
              </w:tc>
              <w:tc>
                <w:tcPr>
                  <w:tcW w:w="2742" w:type="dxa"/>
                  <w:tcBorders>
                    <w:tl2br w:val="nil"/>
                    <w:tr2bl w:val="nil"/>
                  </w:tcBorders>
                  <w:vAlign w:val="center"/>
                </w:tcPr>
                <w:p>
                  <w:pPr>
                    <w:spacing w:line="276" w:lineRule="auto"/>
                    <w:jc w:val="center"/>
                    <w:rPr>
                      <w:rFonts w:hint="default"/>
                    </w:rPr>
                  </w:pPr>
                  <w:r>
                    <w:rPr>
                      <w:rFonts w:hint="default"/>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9616" w:type="dxa"/>
                  <w:gridSpan w:val="4"/>
                  <w:tcBorders>
                    <w:tl2br w:val="nil"/>
                    <w:tr2bl w:val="nil"/>
                  </w:tcBorders>
                  <w:vAlign w:val="center"/>
                </w:tcPr>
                <w:p>
                  <w:pPr>
                    <w:spacing w:line="276" w:lineRule="auto"/>
                    <w:jc w:val="left"/>
                    <w:rPr>
                      <w:rFonts w:hint="default"/>
                    </w:rPr>
                  </w:pPr>
                  <w:r>
                    <w:rPr>
                      <w:rFonts w:hint="default"/>
                    </w:rPr>
                    <w:t>备注：本表显示结果均为3次测量平均值。</w:t>
                  </w:r>
                </w:p>
              </w:tc>
            </w:tr>
          </w:tbl>
          <w:p>
            <w:pPr>
              <w:keepNext w:val="0"/>
              <w:keepLines w:val="0"/>
              <w:suppressLineNumbers w:val="0"/>
              <w:autoSpaceDE w:val="0"/>
              <w:autoSpaceDN w:val="0"/>
              <w:bidi w:val="0"/>
              <w:spacing w:before="0" w:beforeAutospacing="0" w:after="0" w:afterAutospacing="0" w:line="360" w:lineRule="auto"/>
              <w:ind w:right="0" w:firstLine="420" w:firstLineChars="200"/>
              <w:rPr>
                <w:rFonts w:hint="eastAsia"/>
              </w:rPr>
            </w:pPr>
            <w:r>
              <w:rPr>
                <w:rFonts w:hint="eastAsia"/>
                <w:lang w:val="en-US" w:eastAsia="zh-CN"/>
              </w:rPr>
              <w:t>有组织废气监测结果表明：2020年7月25日和2020年7月26日，芜湖永达科技有限公司脱模废气排气筒出口中非甲烷总烃排放浓度均满足《工业企业挥发性有机物排放控制标准》（DB13/2322—2016）中的限值。</w:t>
            </w:r>
          </w:p>
          <w:p>
            <w:pPr>
              <w:widowControl/>
              <w:spacing w:line="360" w:lineRule="auto"/>
              <w:jc w:val="center"/>
              <w:rPr>
                <w:rFonts w:hint="eastAsia"/>
              </w:rPr>
            </w:pPr>
            <w:r>
              <w:rPr>
                <w:rFonts w:hint="eastAsia"/>
              </w:rPr>
              <w:t>表7</w:t>
            </w:r>
            <w:r>
              <w:t>-</w:t>
            </w:r>
            <w:r>
              <w:rPr>
                <w:rFonts w:hint="eastAsia"/>
                <w:lang w:val="en-US" w:eastAsia="zh-CN"/>
              </w:rPr>
              <w:t>4</w:t>
            </w:r>
            <w:r>
              <w:rPr>
                <w:rFonts w:hint="eastAsia"/>
              </w:rPr>
              <w:t xml:space="preserve">  有组织废气</w:t>
            </w:r>
            <w:r>
              <w:rPr>
                <w:rFonts w:hint="eastAsia"/>
                <w:lang w:val="en-US" w:eastAsia="zh-CN"/>
              </w:rPr>
              <w:t>补充</w:t>
            </w:r>
            <w:r>
              <w:rPr>
                <w:rFonts w:hint="eastAsia"/>
              </w:rPr>
              <w:t>监测结果表</w:t>
            </w:r>
          </w:p>
          <w:tbl>
            <w:tblPr>
              <w:tblStyle w:val="32"/>
              <w:tblW w:w="9698"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492"/>
              <w:gridCol w:w="2428"/>
              <w:gridCol w:w="1115"/>
              <w:gridCol w:w="1115"/>
              <w:gridCol w:w="1159"/>
              <w:gridCol w:w="1101"/>
              <w:gridCol w:w="1136"/>
              <w:gridCol w:w="1152"/>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920" w:type="dxa"/>
                  <w:gridSpan w:val="2"/>
                  <w:tcBorders>
                    <w:tl2br w:val="nil"/>
                    <w:tr2bl w:val="nil"/>
                  </w:tcBorders>
                  <w:vAlign w:val="center"/>
                </w:tcPr>
                <w:p>
                  <w:pPr>
                    <w:widowControl/>
                    <w:spacing w:line="276" w:lineRule="auto"/>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工艺设备名称及型号</w:t>
                  </w:r>
                </w:p>
              </w:tc>
              <w:tc>
                <w:tcPr>
                  <w:tcW w:w="3389" w:type="dxa"/>
                  <w:gridSpan w:val="3"/>
                  <w:tcBorders>
                    <w:tl2br w:val="nil"/>
                    <w:tr2bl w:val="nil"/>
                  </w:tcBorders>
                  <w:vAlign w:val="center"/>
                </w:tcPr>
                <w:p>
                  <w:pPr>
                    <w:spacing w:line="276" w:lineRule="auto"/>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脱模工艺</w:t>
                  </w:r>
                </w:p>
              </w:tc>
              <w:tc>
                <w:tcPr>
                  <w:tcW w:w="3389" w:type="dxa"/>
                  <w:gridSpan w:val="3"/>
                  <w:tcBorders>
                    <w:tl2br w:val="nil"/>
                    <w:tr2bl w:val="nil"/>
                  </w:tcBorders>
                  <w:vAlign w:val="center"/>
                </w:tcPr>
                <w:p>
                  <w:pPr>
                    <w:spacing w:line="276" w:lineRule="auto"/>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脱模工艺</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397" w:hRule="atLeast"/>
                <w:jc w:val="center"/>
              </w:trPr>
              <w:tc>
                <w:tcPr>
                  <w:tcW w:w="2920" w:type="dxa"/>
                  <w:gridSpan w:val="2"/>
                  <w:tcBorders>
                    <w:tl2br w:val="nil"/>
                    <w:tr2bl w:val="nil"/>
                  </w:tcBorders>
                  <w:vAlign w:val="center"/>
                </w:tcPr>
                <w:p>
                  <w:pPr>
                    <w:widowControl/>
                    <w:spacing w:line="276" w:lineRule="auto"/>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净化器名称及型号</w:t>
                  </w:r>
                </w:p>
              </w:tc>
              <w:tc>
                <w:tcPr>
                  <w:tcW w:w="6778" w:type="dxa"/>
                  <w:gridSpan w:val="6"/>
                  <w:tcBorders>
                    <w:tl2br w:val="nil"/>
                    <w:tr2bl w:val="nil"/>
                  </w:tcBorders>
                  <w:vAlign w:val="center"/>
                </w:tcPr>
                <w:p>
                  <w:pPr>
                    <w:spacing w:line="276" w:lineRule="auto"/>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静电除雾+等离子光氧+活性炭吸附</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920" w:type="dxa"/>
                  <w:gridSpan w:val="2"/>
                  <w:tcBorders>
                    <w:tl2br w:val="nil"/>
                    <w:tr2bl w:val="nil"/>
                  </w:tcBorders>
                  <w:vAlign w:val="center"/>
                </w:tcPr>
                <w:p>
                  <w:pPr>
                    <w:widowControl/>
                    <w:spacing w:line="276" w:lineRule="auto"/>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采样日期</w:t>
                  </w:r>
                </w:p>
              </w:tc>
              <w:tc>
                <w:tcPr>
                  <w:tcW w:w="3389" w:type="dxa"/>
                  <w:gridSpan w:val="3"/>
                  <w:tcBorders>
                    <w:tl2br w:val="nil"/>
                    <w:tr2bl w:val="nil"/>
                  </w:tcBorders>
                  <w:vAlign w:val="center"/>
                </w:tcPr>
                <w:p>
                  <w:pPr>
                    <w:spacing w:line="276" w:lineRule="auto"/>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2020.08.23</w:t>
                  </w:r>
                </w:p>
              </w:tc>
              <w:tc>
                <w:tcPr>
                  <w:tcW w:w="3389" w:type="dxa"/>
                  <w:gridSpan w:val="3"/>
                  <w:tcBorders>
                    <w:tl2br w:val="nil"/>
                    <w:tr2bl w:val="nil"/>
                  </w:tcBorders>
                  <w:vAlign w:val="center"/>
                </w:tcPr>
                <w:p>
                  <w:pPr>
                    <w:spacing w:line="276" w:lineRule="auto"/>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2020.08.23</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920" w:type="dxa"/>
                  <w:gridSpan w:val="2"/>
                  <w:tcBorders>
                    <w:tl2br w:val="nil"/>
                    <w:tr2bl w:val="nil"/>
                  </w:tcBorders>
                  <w:vAlign w:val="center"/>
                </w:tcPr>
                <w:p>
                  <w:pPr>
                    <w:widowControl/>
                    <w:spacing w:line="276" w:lineRule="auto"/>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排气筒高度</w:t>
                  </w:r>
                  <w:r>
                    <w:rPr>
                      <w:rFonts w:hint="default" w:ascii="Times New Roman" w:hAnsi="Times New Roman" w:eastAsia="宋体" w:cs="Times New Roman"/>
                      <w:kern w:val="0"/>
                      <w:sz w:val="21"/>
                      <w:szCs w:val="21"/>
                      <w:vertAlign w:val="superscript"/>
                    </w:rPr>
                    <w:t>#</w:t>
                  </w:r>
                  <w:r>
                    <w:rPr>
                      <w:rFonts w:hint="default" w:ascii="Times New Roman" w:hAnsi="Times New Roman" w:eastAsia="宋体" w:cs="Times New Roman"/>
                      <w:kern w:val="0"/>
                      <w:sz w:val="21"/>
                      <w:szCs w:val="21"/>
                    </w:rPr>
                    <w:t>（m）</w:t>
                  </w:r>
                </w:p>
              </w:tc>
              <w:tc>
                <w:tcPr>
                  <w:tcW w:w="3389" w:type="dxa"/>
                  <w:gridSpan w:val="3"/>
                  <w:tcBorders>
                    <w:tl2br w:val="nil"/>
                    <w:tr2bl w:val="nil"/>
                  </w:tcBorders>
                  <w:vAlign w:val="center"/>
                </w:tcPr>
                <w:p>
                  <w:pPr>
                    <w:spacing w:line="276" w:lineRule="auto"/>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15</w:t>
                  </w:r>
                </w:p>
              </w:tc>
              <w:tc>
                <w:tcPr>
                  <w:tcW w:w="3389" w:type="dxa"/>
                  <w:gridSpan w:val="3"/>
                  <w:tcBorders>
                    <w:tl2br w:val="nil"/>
                    <w:tr2bl w:val="nil"/>
                  </w:tcBorders>
                  <w:vAlign w:val="center"/>
                </w:tcPr>
                <w:p>
                  <w:pPr>
                    <w:spacing w:line="276" w:lineRule="auto"/>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15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920" w:type="dxa"/>
                  <w:gridSpan w:val="2"/>
                  <w:tcBorders>
                    <w:tl2br w:val="nil"/>
                    <w:tr2bl w:val="nil"/>
                  </w:tcBorders>
                  <w:vAlign w:val="center"/>
                </w:tcPr>
                <w:p>
                  <w:pPr>
                    <w:widowControl/>
                    <w:spacing w:line="276" w:lineRule="auto"/>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测试断面</w:t>
                  </w:r>
                </w:p>
              </w:tc>
              <w:tc>
                <w:tcPr>
                  <w:tcW w:w="3389" w:type="dxa"/>
                  <w:gridSpan w:val="3"/>
                  <w:tcBorders>
                    <w:tl2br w:val="nil"/>
                    <w:tr2bl w:val="nil"/>
                  </w:tcBorders>
                  <w:vAlign w:val="center"/>
                </w:tcPr>
                <w:p>
                  <w:pPr>
                    <w:spacing w:line="276" w:lineRule="auto"/>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lang w:val="en-US" w:eastAsia="zh-CN"/>
                    </w:rPr>
                    <w:t>脱模</w:t>
                  </w:r>
                  <w:r>
                    <w:rPr>
                      <w:rFonts w:hint="default" w:ascii="Times New Roman" w:hAnsi="Times New Roman" w:eastAsia="宋体" w:cs="Times New Roman"/>
                      <w:color w:val="000000"/>
                      <w:sz w:val="21"/>
                      <w:szCs w:val="21"/>
                    </w:rPr>
                    <w:t>废气排气筒进口</w:t>
                  </w:r>
                </w:p>
              </w:tc>
              <w:tc>
                <w:tcPr>
                  <w:tcW w:w="3389" w:type="dxa"/>
                  <w:gridSpan w:val="3"/>
                  <w:tcBorders>
                    <w:tl2br w:val="nil"/>
                    <w:tr2bl w:val="nil"/>
                  </w:tcBorders>
                  <w:vAlign w:val="center"/>
                </w:tcPr>
                <w:p>
                  <w:pPr>
                    <w:spacing w:line="276" w:lineRule="auto"/>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lang w:val="en-US" w:eastAsia="zh-CN"/>
                    </w:rPr>
                    <w:t>脱模</w:t>
                  </w:r>
                  <w:r>
                    <w:rPr>
                      <w:rFonts w:hint="default" w:ascii="Times New Roman" w:hAnsi="Times New Roman" w:eastAsia="宋体" w:cs="Times New Roman"/>
                      <w:color w:val="000000"/>
                      <w:sz w:val="21"/>
                      <w:szCs w:val="21"/>
                    </w:rPr>
                    <w:t>废气排气筒出口</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920" w:type="dxa"/>
                  <w:gridSpan w:val="2"/>
                  <w:tcBorders>
                    <w:tl2br w:val="nil"/>
                    <w:tr2bl w:val="nil"/>
                  </w:tcBorders>
                  <w:vAlign w:val="center"/>
                </w:tcPr>
                <w:p>
                  <w:pPr>
                    <w:widowControl/>
                    <w:spacing w:line="276" w:lineRule="auto"/>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采样频次</w:t>
                  </w:r>
                </w:p>
              </w:tc>
              <w:tc>
                <w:tcPr>
                  <w:tcW w:w="1115" w:type="dxa"/>
                  <w:tcBorders>
                    <w:tl2br w:val="nil"/>
                    <w:tr2bl w:val="nil"/>
                  </w:tcBorders>
                  <w:vAlign w:val="center"/>
                </w:tcPr>
                <w:p>
                  <w:pPr>
                    <w:spacing w:line="276" w:lineRule="auto"/>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1</w:t>
                  </w:r>
                </w:p>
              </w:tc>
              <w:tc>
                <w:tcPr>
                  <w:tcW w:w="1115" w:type="dxa"/>
                  <w:tcBorders>
                    <w:tl2br w:val="nil"/>
                    <w:tr2bl w:val="nil"/>
                  </w:tcBorders>
                  <w:vAlign w:val="center"/>
                </w:tcPr>
                <w:p>
                  <w:pPr>
                    <w:spacing w:line="276" w:lineRule="auto"/>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2</w:t>
                  </w:r>
                </w:p>
              </w:tc>
              <w:tc>
                <w:tcPr>
                  <w:tcW w:w="1159" w:type="dxa"/>
                  <w:tcBorders>
                    <w:tl2br w:val="nil"/>
                    <w:tr2bl w:val="nil"/>
                  </w:tcBorders>
                  <w:vAlign w:val="center"/>
                </w:tcPr>
                <w:p>
                  <w:pPr>
                    <w:spacing w:line="276" w:lineRule="auto"/>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3</w:t>
                  </w:r>
                </w:p>
              </w:tc>
              <w:tc>
                <w:tcPr>
                  <w:tcW w:w="1101" w:type="dxa"/>
                  <w:tcBorders>
                    <w:tl2br w:val="nil"/>
                    <w:tr2bl w:val="nil"/>
                  </w:tcBorders>
                  <w:vAlign w:val="center"/>
                </w:tcPr>
                <w:p>
                  <w:pPr>
                    <w:spacing w:line="276" w:lineRule="auto"/>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1</w:t>
                  </w:r>
                </w:p>
              </w:tc>
              <w:tc>
                <w:tcPr>
                  <w:tcW w:w="1136" w:type="dxa"/>
                  <w:tcBorders>
                    <w:tl2br w:val="nil"/>
                    <w:tr2bl w:val="nil"/>
                  </w:tcBorders>
                  <w:vAlign w:val="center"/>
                </w:tcPr>
                <w:p>
                  <w:pPr>
                    <w:spacing w:line="276" w:lineRule="auto"/>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2</w:t>
                  </w:r>
                </w:p>
              </w:tc>
              <w:tc>
                <w:tcPr>
                  <w:tcW w:w="1152" w:type="dxa"/>
                  <w:tcBorders>
                    <w:tl2br w:val="nil"/>
                    <w:tr2bl w:val="nil"/>
                  </w:tcBorders>
                  <w:vAlign w:val="center"/>
                </w:tcPr>
                <w:p>
                  <w:pPr>
                    <w:spacing w:line="276" w:lineRule="auto"/>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3</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920" w:type="dxa"/>
                  <w:gridSpan w:val="2"/>
                  <w:tcBorders>
                    <w:tl2br w:val="nil"/>
                    <w:tr2bl w:val="nil"/>
                  </w:tcBorders>
                  <w:vAlign w:val="center"/>
                </w:tcPr>
                <w:p>
                  <w:pPr>
                    <w:widowControl/>
                    <w:spacing w:line="276" w:lineRule="auto"/>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管道截面积</w:t>
                  </w:r>
                  <w:r>
                    <w:rPr>
                      <w:rFonts w:hint="default" w:ascii="Times New Roman" w:hAnsi="Times New Roman" w:eastAsia="宋体" w:cs="Times New Roman"/>
                      <w:kern w:val="0"/>
                      <w:sz w:val="21"/>
                      <w:szCs w:val="21"/>
                      <w:vertAlign w:val="superscript"/>
                    </w:rPr>
                    <w:t>#</w:t>
                  </w:r>
                  <w:r>
                    <w:rPr>
                      <w:rFonts w:hint="default" w:ascii="Times New Roman" w:hAnsi="Times New Roman" w:eastAsia="宋体" w:cs="Times New Roman"/>
                      <w:kern w:val="0"/>
                      <w:sz w:val="21"/>
                      <w:szCs w:val="21"/>
                    </w:rPr>
                    <w:t>（m²）</w:t>
                  </w:r>
                </w:p>
              </w:tc>
              <w:tc>
                <w:tcPr>
                  <w:tcW w:w="1115" w:type="dxa"/>
                  <w:tcBorders>
                    <w:tl2br w:val="nil"/>
                    <w:tr2bl w:val="nil"/>
                  </w:tcBorders>
                  <w:vAlign w:val="center"/>
                </w:tcPr>
                <w:p>
                  <w:pPr>
                    <w:spacing w:line="276" w:lineRule="auto"/>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0.503</w:t>
                  </w:r>
                </w:p>
              </w:tc>
              <w:tc>
                <w:tcPr>
                  <w:tcW w:w="1115" w:type="dxa"/>
                  <w:tcBorders>
                    <w:tl2br w:val="nil"/>
                    <w:tr2bl w:val="nil"/>
                  </w:tcBorders>
                  <w:vAlign w:val="center"/>
                </w:tcPr>
                <w:p>
                  <w:pPr>
                    <w:spacing w:line="276" w:lineRule="auto"/>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0.503</w:t>
                  </w:r>
                </w:p>
              </w:tc>
              <w:tc>
                <w:tcPr>
                  <w:tcW w:w="1159" w:type="dxa"/>
                  <w:tcBorders>
                    <w:tl2br w:val="nil"/>
                    <w:tr2bl w:val="nil"/>
                  </w:tcBorders>
                  <w:vAlign w:val="center"/>
                </w:tcPr>
                <w:p>
                  <w:pPr>
                    <w:spacing w:line="276" w:lineRule="auto"/>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0.503</w:t>
                  </w:r>
                </w:p>
              </w:tc>
              <w:tc>
                <w:tcPr>
                  <w:tcW w:w="1101" w:type="dxa"/>
                  <w:tcBorders>
                    <w:tl2br w:val="nil"/>
                    <w:tr2bl w:val="nil"/>
                  </w:tcBorders>
                  <w:vAlign w:val="center"/>
                </w:tcPr>
                <w:p>
                  <w:pPr>
                    <w:spacing w:line="276" w:lineRule="auto"/>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0.503</w:t>
                  </w:r>
                </w:p>
              </w:tc>
              <w:tc>
                <w:tcPr>
                  <w:tcW w:w="1136" w:type="dxa"/>
                  <w:tcBorders>
                    <w:tl2br w:val="nil"/>
                    <w:tr2bl w:val="nil"/>
                  </w:tcBorders>
                  <w:vAlign w:val="center"/>
                </w:tcPr>
                <w:p>
                  <w:pPr>
                    <w:spacing w:line="276" w:lineRule="auto"/>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0.503</w:t>
                  </w:r>
                </w:p>
              </w:tc>
              <w:tc>
                <w:tcPr>
                  <w:tcW w:w="1152" w:type="dxa"/>
                  <w:tcBorders>
                    <w:tl2br w:val="nil"/>
                    <w:tr2bl w:val="nil"/>
                  </w:tcBorders>
                  <w:vAlign w:val="center"/>
                </w:tcPr>
                <w:p>
                  <w:pPr>
                    <w:spacing w:line="276" w:lineRule="auto"/>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0.503</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920" w:type="dxa"/>
                  <w:gridSpan w:val="2"/>
                  <w:tcBorders>
                    <w:tl2br w:val="nil"/>
                    <w:tr2bl w:val="nil"/>
                  </w:tcBorders>
                  <w:vAlign w:val="center"/>
                </w:tcPr>
                <w:p>
                  <w:pPr>
                    <w:widowControl/>
                    <w:spacing w:line="276" w:lineRule="auto"/>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测点烟气温度 (℃)</w:t>
                  </w:r>
                </w:p>
              </w:tc>
              <w:tc>
                <w:tcPr>
                  <w:tcW w:w="1115" w:type="dxa"/>
                  <w:tcBorders>
                    <w:tl2br w:val="nil"/>
                    <w:tr2bl w:val="nil"/>
                  </w:tcBorders>
                  <w:vAlign w:val="center"/>
                </w:tcPr>
                <w:p>
                  <w:pPr>
                    <w:spacing w:line="276" w:lineRule="auto"/>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45.2</w:t>
                  </w:r>
                </w:p>
              </w:tc>
              <w:tc>
                <w:tcPr>
                  <w:tcW w:w="1115" w:type="dxa"/>
                  <w:tcBorders>
                    <w:tl2br w:val="nil"/>
                    <w:tr2bl w:val="nil"/>
                  </w:tcBorders>
                  <w:vAlign w:val="center"/>
                </w:tcPr>
                <w:p>
                  <w:pPr>
                    <w:spacing w:line="276" w:lineRule="auto"/>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44.6</w:t>
                  </w:r>
                </w:p>
              </w:tc>
              <w:tc>
                <w:tcPr>
                  <w:tcW w:w="1159" w:type="dxa"/>
                  <w:tcBorders>
                    <w:tl2br w:val="nil"/>
                    <w:tr2bl w:val="nil"/>
                  </w:tcBorders>
                  <w:vAlign w:val="center"/>
                </w:tcPr>
                <w:p>
                  <w:pPr>
                    <w:spacing w:line="276" w:lineRule="auto"/>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44.7</w:t>
                  </w:r>
                </w:p>
              </w:tc>
              <w:tc>
                <w:tcPr>
                  <w:tcW w:w="1101" w:type="dxa"/>
                  <w:tcBorders>
                    <w:tl2br w:val="nil"/>
                    <w:tr2bl w:val="nil"/>
                  </w:tcBorders>
                  <w:vAlign w:val="center"/>
                </w:tcPr>
                <w:p>
                  <w:pPr>
                    <w:spacing w:line="276" w:lineRule="auto"/>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44.5</w:t>
                  </w:r>
                </w:p>
              </w:tc>
              <w:tc>
                <w:tcPr>
                  <w:tcW w:w="1136" w:type="dxa"/>
                  <w:tcBorders>
                    <w:tl2br w:val="nil"/>
                    <w:tr2bl w:val="nil"/>
                  </w:tcBorders>
                  <w:vAlign w:val="center"/>
                </w:tcPr>
                <w:p>
                  <w:pPr>
                    <w:spacing w:line="276" w:lineRule="auto"/>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44.7</w:t>
                  </w:r>
                </w:p>
              </w:tc>
              <w:tc>
                <w:tcPr>
                  <w:tcW w:w="1152" w:type="dxa"/>
                  <w:tcBorders>
                    <w:tl2br w:val="nil"/>
                    <w:tr2bl w:val="nil"/>
                  </w:tcBorders>
                  <w:vAlign w:val="center"/>
                </w:tcPr>
                <w:p>
                  <w:pPr>
                    <w:spacing w:line="276" w:lineRule="auto"/>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45.5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920" w:type="dxa"/>
                  <w:gridSpan w:val="2"/>
                  <w:tcBorders>
                    <w:tl2br w:val="nil"/>
                    <w:tr2bl w:val="nil"/>
                  </w:tcBorders>
                  <w:vAlign w:val="center"/>
                </w:tcPr>
                <w:p>
                  <w:pPr>
                    <w:widowControl/>
                    <w:spacing w:line="276" w:lineRule="auto"/>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烟气含湿量 (％)</w:t>
                  </w:r>
                </w:p>
              </w:tc>
              <w:tc>
                <w:tcPr>
                  <w:tcW w:w="1115" w:type="dxa"/>
                  <w:tcBorders>
                    <w:tl2br w:val="nil"/>
                    <w:tr2bl w:val="nil"/>
                  </w:tcBorders>
                  <w:vAlign w:val="center"/>
                </w:tcPr>
                <w:p>
                  <w:pPr>
                    <w:spacing w:line="276" w:lineRule="auto"/>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3.1</w:t>
                  </w:r>
                </w:p>
              </w:tc>
              <w:tc>
                <w:tcPr>
                  <w:tcW w:w="1115" w:type="dxa"/>
                  <w:tcBorders>
                    <w:tl2br w:val="nil"/>
                    <w:tr2bl w:val="nil"/>
                  </w:tcBorders>
                  <w:vAlign w:val="center"/>
                </w:tcPr>
                <w:p>
                  <w:pPr>
                    <w:spacing w:line="276" w:lineRule="auto"/>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3.1</w:t>
                  </w:r>
                </w:p>
              </w:tc>
              <w:tc>
                <w:tcPr>
                  <w:tcW w:w="1159" w:type="dxa"/>
                  <w:tcBorders>
                    <w:tl2br w:val="nil"/>
                    <w:tr2bl w:val="nil"/>
                  </w:tcBorders>
                  <w:vAlign w:val="center"/>
                </w:tcPr>
                <w:p>
                  <w:pPr>
                    <w:spacing w:line="276" w:lineRule="auto"/>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3.1</w:t>
                  </w:r>
                </w:p>
              </w:tc>
              <w:tc>
                <w:tcPr>
                  <w:tcW w:w="1101" w:type="dxa"/>
                  <w:tcBorders>
                    <w:tl2br w:val="nil"/>
                    <w:tr2bl w:val="nil"/>
                  </w:tcBorders>
                  <w:vAlign w:val="center"/>
                </w:tcPr>
                <w:p>
                  <w:pPr>
                    <w:spacing w:line="276" w:lineRule="auto"/>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3.0</w:t>
                  </w:r>
                </w:p>
              </w:tc>
              <w:tc>
                <w:tcPr>
                  <w:tcW w:w="1136" w:type="dxa"/>
                  <w:tcBorders>
                    <w:tl2br w:val="nil"/>
                    <w:tr2bl w:val="nil"/>
                  </w:tcBorders>
                  <w:vAlign w:val="center"/>
                </w:tcPr>
                <w:p>
                  <w:pPr>
                    <w:spacing w:line="276" w:lineRule="auto"/>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3.0</w:t>
                  </w:r>
                </w:p>
              </w:tc>
              <w:tc>
                <w:tcPr>
                  <w:tcW w:w="1152" w:type="dxa"/>
                  <w:tcBorders>
                    <w:tl2br w:val="nil"/>
                    <w:tr2bl w:val="nil"/>
                  </w:tcBorders>
                  <w:vAlign w:val="center"/>
                </w:tcPr>
                <w:p>
                  <w:pPr>
                    <w:spacing w:line="276" w:lineRule="auto"/>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3.0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920" w:type="dxa"/>
                  <w:gridSpan w:val="2"/>
                  <w:tcBorders>
                    <w:tl2br w:val="nil"/>
                    <w:tr2bl w:val="nil"/>
                  </w:tcBorders>
                  <w:vAlign w:val="center"/>
                </w:tcPr>
                <w:p>
                  <w:pPr>
                    <w:widowControl/>
                    <w:spacing w:line="276" w:lineRule="auto"/>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测点烟气流速 (m/s)</w:t>
                  </w:r>
                </w:p>
              </w:tc>
              <w:tc>
                <w:tcPr>
                  <w:tcW w:w="1115" w:type="dxa"/>
                  <w:tcBorders>
                    <w:tl2br w:val="nil"/>
                    <w:tr2bl w:val="nil"/>
                  </w:tcBorders>
                  <w:vAlign w:val="center"/>
                </w:tcPr>
                <w:p>
                  <w:pPr>
                    <w:spacing w:line="276" w:lineRule="auto"/>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5.1</w:t>
                  </w:r>
                </w:p>
              </w:tc>
              <w:tc>
                <w:tcPr>
                  <w:tcW w:w="1115" w:type="dxa"/>
                  <w:tcBorders>
                    <w:tl2br w:val="nil"/>
                    <w:tr2bl w:val="nil"/>
                  </w:tcBorders>
                  <w:vAlign w:val="center"/>
                </w:tcPr>
                <w:p>
                  <w:pPr>
                    <w:spacing w:line="276" w:lineRule="auto"/>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5.2</w:t>
                  </w:r>
                </w:p>
              </w:tc>
              <w:tc>
                <w:tcPr>
                  <w:tcW w:w="1159" w:type="dxa"/>
                  <w:tcBorders>
                    <w:tl2br w:val="nil"/>
                    <w:tr2bl w:val="nil"/>
                  </w:tcBorders>
                  <w:vAlign w:val="center"/>
                </w:tcPr>
                <w:p>
                  <w:pPr>
                    <w:spacing w:line="276" w:lineRule="auto"/>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5.3</w:t>
                  </w:r>
                </w:p>
              </w:tc>
              <w:tc>
                <w:tcPr>
                  <w:tcW w:w="1101" w:type="dxa"/>
                  <w:tcBorders>
                    <w:tl2br w:val="nil"/>
                    <w:tr2bl w:val="nil"/>
                  </w:tcBorders>
                  <w:vAlign w:val="center"/>
                </w:tcPr>
                <w:p>
                  <w:pPr>
                    <w:spacing w:line="276" w:lineRule="auto"/>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5.4</w:t>
                  </w:r>
                </w:p>
              </w:tc>
              <w:tc>
                <w:tcPr>
                  <w:tcW w:w="1136" w:type="dxa"/>
                  <w:tcBorders>
                    <w:tl2br w:val="nil"/>
                    <w:tr2bl w:val="nil"/>
                  </w:tcBorders>
                  <w:vAlign w:val="center"/>
                </w:tcPr>
                <w:p>
                  <w:pPr>
                    <w:spacing w:line="276" w:lineRule="auto"/>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5.3</w:t>
                  </w:r>
                </w:p>
              </w:tc>
              <w:tc>
                <w:tcPr>
                  <w:tcW w:w="1152" w:type="dxa"/>
                  <w:tcBorders>
                    <w:tl2br w:val="nil"/>
                    <w:tr2bl w:val="nil"/>
                  </w:tcBorders>
                  <w:vAlign w:val="center"/>
                </w:tcPr>
                <w:p>
                  <w:pPr>
                    <w:spacing w:line="276" w:lineRule="auto"/>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5.1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920" w:type="dxa"/>
                  <w:gridSpan w:val="2"/>
                  <w:tcBorders>
                    <w:tl2br w:val="nil"/>
                    <w:tr2bl w:val="nil"/>
                  </w:tcBorders>
                  <w:vAlign w:val="center"/>
                </w:tcPr>
                <w:p>
                  <w:pPr>
                    <w:widowControl/>
                    <w:spacing w:line="276" w:lineRule="auto"/>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实测烟气量 (m³/h)</w:t>
                  </w:r>
                </w:p>
              </w:tc>
              <w:tc>
                <w:tcPr>
                  <w:tcW w:w="1115" w:type="dxa"/>
                  <w:tcBorders>
                    <w:tl2br w:val="nil"/>
                    <w:tr2bl w:val="nil"/>
                  </w:tcBorders>
                  <w:vAlign w:val="center"/>
                </w:tcPr>
                <w:p>
                  <w:pPr>
                    <w:spacing w:line="276" w:lineRule="auto"/>
                    <w:jc w:val="center"/>
                    <w:rPr>
                      <w:rFonts w:hint="default" w:ascii="Times New Roman" w:hAnsi="Times New Roman" w:eastAsia="宋体" w:cs="Times New Roman"/>
                      <w:color w:val="000000"/>
                      <w:sz w:val="21"/>
                      <w:szCs w:val="21"/>
                      <w:highlight w:val="yellow"/>
                    </w:rPr>
                  </w:pPr>
                  <w:r>
                    <w:rPr>
                      <w:rFonts w:hint="default" w:ascii="Times New Roman" w:hAnsi="Times New Roman" w:eastAsia="宋体" w:cs="Times New Roman"/>
                      <w:color w:val="000000"/>
                      <w:sz w:val="21"/>
                      <w:szCs w:val="21"/>
                    </w:rPr>
                    <w:t>9.20×10</w:t>
                  </w:r>
                  <w:r>
                    <w:rPr>
                      <w:rFonts w:hint="default" w:ascii="Times New Roman" w:hAnsi="Times New Roman" w:eastAsia="宋体" w:cs="Times New Roman"/>
                      <w:color w:val="000000"/>
                      <w:sz w:val="21"/>
                      <w:szCs w:val="21"/>
                      <w:vertAlign w:val="superscript"/>
                    </w:rPr>
                    <w:t>3</w:t>
                  </w:r>
                </w:p>
              </w:tc>
              <w:tc>
                <w:tcPr>
                  <w:tcW w:w="1115" w:type="dxa"/>
                  <w:tcBorders>
                    <w:tl2br w:val="nil"/>
                    <w:tr2bl w:val="nil"/>
                  </w:tcBorders>
                  <w:vAlign w:val="center"/>
                </w:tcPr>
                <w:p>
                  <w:pPr>
                    <w:spacing w:line="276" w:lineRule="auto"/>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9.48×10</w:t>
                  </w:r>
                  <w:r>
                    <w:rPr>
                      <w:rFonts w:hint="default" w:ascii="Times New Roman" w:hAnsi="Times New Roman" w:eastAsia="宋体" w:cs="Times New Roman"/>
                      <w:color w:val="000000"/>
                      <w:sz w:val="21"/>
                      <w:szCs w:val="21"/>
                      <w:vertAlign w:val="superscript"/>
                    </w:rPr>
                    <w:t>3</w:t>
                  </w:r>
                </w:p>
              </w:tc>
              <w:tc>
                <w:tcPr>
                  <w:tcW w:w="1159" w:type="dxa"/>
                  <w:tcBorders>
                    <w:tl2br w:val="nil"/>
                    <w:tr2bl w:val="nil"/>
                  </w:tcBorders>
                  <w:vAlign w:val="center"/>
                </w:tcPr>
                <w:p>
                  <w:pPr>
                    <w:spacing w:line="276" w:lineRule="auto"/>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9.64×10</w:t>
                  </w:r>
                  <w:r>
                    <w:rPr>
                      <w:rFonts w:hint="default" w:ascii="Times New Roman" w:hAnsi="Times New Roman" w:eastAsia="宋体" w:cs="Times New Roman"/>
                      <w:color w:val="000000"/>
                      <w:sz w:val="21"/>
                      <w:szCs w:val="21"/>
                      <w:vertAlign w:val="superscript"/>
                    </w:rPr>
                    <w:t>3</w:t>
                  </w:r>
                </w:p>
              </w:tc>
              <w:tc>
                <w:tcPr>
                  <w:tcW w:w="1101" w:type="dxa"/>
                  <w:tcBorders>
                    <w:tl2br w:val="nil"/>
                    <w:tr2bl w:val="nil"/>
                  </w:tcBorders>
                  <w:vAlign w:val="center"/>
                </w:tcPr>
                <w:p>
                  <w:pPr>
                    <w:spacing w:line="276" w:lineRule="auto"/>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9.74×10</w:t>
                  </w:r>
                  <w:r>
                    <w:rPr>
                      <w:rFonts w:hint="default" w:ascii="Times New Roman" w:hAnsi="Times New Roman" w:eastAsia="宋体" w:cs="Times New Roman"/>
                      <w:color w:val="000000"/>
                      <w:sz w:val="21"/>
                      <w:szCs w:val="21"/>
                      <w:vertAlign w:val="superscript"/>
                    </w:rPr>
                    <w:t>3</w:t>
                  </w:r>
                </w:p>
              </w:tc>
              <w:tc>
                <w:tcPr>
                  <w:tcW w:w="1136" w:type="dxa"/>
                  <w:tcBorders>
                    <w:tl2br w:val="nil"/>
                    <w:tr2bl w:val="nil"/>
                  </w:tcBorders>
                  <w:vAlign w:val="center"/>
                </w:tcPr>
                <w:p>
                  <w:pPr>
                    <w:spacing w:line="276" w:lineRule="auto"/>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9.60×10</w:t>
                  </w:r>
                  <w:r>
                    <w:rPr>
                      <w:rFonts w:hint="default" w:ascii="Times New Roman" w:hAnsi="Times New Roman" w:eastAsia="宋体" w:cs="Times New Roman"/>
                      <w:color w:val="000000"/>
                      <w:sz w:val="21"/>
                      <w:szCs w:val="21"/>
                      <w:vertAlign w:val="superscript"/>
                    </w:rPr>
                    <w:t>3</w:t>
                  </w:r>
                </w:p>
              </w:tc>
              <w:tc>
                <w:tcPr>
                  <w:tcW w:w="1152" w:type="dxa"/>
                  <w:tcBorders>
                    <w:tl2br w:val="nil"/>
                    <w:tr2bl w:val="nil"/>
                  </w:tcBorders>
                  <w:vAlign w:val="center"/>
                </w:tcPr>
                <w:p>
                  <w:pPr>
                    <w:spacing w:line="276" w:lineRule="auto"/>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9.14×10</w:t>
                  </w:r>
                  <w:r>
                    <w:rPr>
                      <w:rFonts w:hint="default" w:ascii="Times New Roman" w:hAnsi="Times New Roman" w:eastAsia="宋体" w:cs="Times New Roman"/>
                      <w:color w:val="000000"/>
                      <w:sz w:val="21"/>
                      <w:szCs w:val="21"/>
                      <w:vertAlign w:val="superscript"/>
                    </w:rPr>
                    <w:t>3</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920" w:type="dxa"/>
                  <w:gridSpan w:val="2"/>
                  <w:tcBorders>
                    <w:tl2br w:val="nil"/>
                    <w:tr2bl w:val="nil"/>
                  </w:tcBorders>
                  <w:vAlign w:val="center"/>
                </w:tcPr>
                <w:p>
                  <w:pPr>
                    <w:widowControl/>
                    <w:spacing w:line="276" w:lineRule="auto"/>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标态干烟气量（m³/h）</w:t>
                  </w:r>
                </w:p>
              </w:tc>
              <w:tc>
                <w:tcPr>
                  <w:tcW w:w="1115" w:type="dxa"/>
                  <w:tcBorders>
                    <w:tl2br w:val="nil"/>
                    <w:tr2bl w:val="nil"/>
                  </w:tcBorders>
                  <w:vAlign w:val="center"/>
                </w:tcPr>
                <w:p>
                  <w:pPr>
                    <w:spacing w:line="276" w:lineRule="auto"/>
                    <w:jc w:val="center"/>
                    <w:rPr>
                      <w:rFonts w:hint="default" w:ascii="Times New Roman" w:hAnsi="Times New Roman" w:eastAsia="宋体" w:cs="Times New Roman"/>
                      <w:color w:val="000000"/>
                      <w:sz w:val="21"/>
                      <w:szCs w:val="21"/>
                      <w:highlight w:val="yellow"/>
                    </w:rPr>
                  </w:pPr>
                  <w:r>
                    <w:rPr>
                      <w:rFonts w:hint="default" w:ascii="Times New Roman" w:hAnsi="Times New Roman" w:eastAsia="宋体" w:cs="Times New Roman"/>
                      <w:color w:val="000000"/>
                      <w:sz w:val="21"/>
                      <w:szCs w:val="21"/>
                    </w:rPr>
                    <w:t>7.53×10</w:t>
                  </w:r>
                  <w:r>
                    <w:rPr>
                      <w:rFonts w:hint="default" w:ascii="Times New Roman" w:hAnsi="Times New Roman" w:eastAsia="宋体" w:cs="Times New Roman"/>
                      <w:color w:val="000000"/>
                      <w:sz w:val="21"/>
                      <w:szCs w:val="21"/>
                      <w:vertAlign w:val="superscript"/>
                    </w:rPr>
                    <w:t>3</w:t>
                  </w:r>
                </w:p>
              </w:tc>
              <w:tc>
                <w:tcPr>
                  <w:tcW w:w="1115" w:type="dxa"/>
                  <w:tcBorders>
                    <w:tl2br w:val="nil"/>
                    <w:tr2bl w:val="nil"/>
                  </w:tcBorders>
                  <w:vAlign w:val="center"/>
                </w:tcPr>
                <w:p>
                  <w:pPr>
                    <w:spacing w:line="276" w:lineRule="auto"/>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7.78×10</w:t>
                  </w:r>
                  <w:r>
                    <w:rPr>
                      <w:rFonts w:hint="default" w:ascii="Times New Roman" w:hAnsi="Times New Roman" w:eastAsia="宋体" w:cs="Times New Roman"/>
                      <w:color w:val="000000"/>
                      <w:sz w:val="21"/>
                      <w:szCs w:val="21"/>
                      <w:vertAlign w:val="superscript"/>
                    </w:rPr>
                    <w:t>3</w:t>
                  </w:r>
                </w:p>
              </w:tc>
              <w:tc>
                <w:tcPr>
                  <w:tcW w:w="1159" w:type="dxa"/>
                  <w:tcBorders>
                    <w:tl2br w:val="nil"/>
                    <w:tr2bl w:val="nil"/>
                  </w:tcBorders>
                  <w:vAlign w:val="center"/>
                </w:tcPr>
                <w:p>
                  <w:pPr>
                    <w:spacing w:line="276" w:lineRule="auto"/>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7.90×10</w:t>
                  </w:r>
                  <w:r>
                    <w:rPr>
                      <w:rFonts w:hint="default" w:ascii="Times New Roman" w:hAnsi="Times New Roman" w:eastAsia="宋体" w:cs="Times New Roman"/>
                      <w:color w:val="000000"/>
                      <w:sz w:val="21"/>
                      <w:szCs w:val="21"/>
                      <w:vertAlign w:val="superscript"/>
                    </w:rPr>
                    <w:t>3</w:t>
                  </w:r>
                </w:p>
              </w:tc>
              <w:tc>
                <w:tcPr>
                  <w:tcW w:w="1101" w:type="dxa"/>
                  <w:tcBorders>
                    <w:tl2br w:val="nil"/>
                    <w:tr2bl w:val="nil"/>
                  </w:tcBorders>
                  <w:vAlign w:val="center"/>
                </w:tcPr>
                <w:p>
                  <w:pPr>
                    <w:spacing w:line="276" w:lineRule="auto"/>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7.97×10</w:t>
                  </w:r>
                  <w:r>
                    <w:rPr>
                      <w:rFonts w:hint="default" w:ascii="Times New Roman" w:hAnsi="Times New Roman" w:eastAsia="宋体" w:cs="Times New Roman"/>
                      <w:color w:val="000000"/>
                      <w:sz w:val="21"/>
                      <w:szCs w:val="21"/>
                      <w:vertAlign w:val="superscript"/>
                    </w:rPr>
                    <w:t>3</w:t>
                  </w:r>
                </w:p>
              </w:tc>
              <w:tc>
                <w:tcPr>
                  <w:tcW w:w="1136" w:type="dxa"/>
                  <w:tcBorders>
                    <w:tl2br w:val="nil"/>
                    <w:tr2bl w:val="nil"/>
                  </w:tcBorders>
                  <w:vAlign w:val="center"/>
                </w:tcPr>
                <w:p>
                  <w:pPr>
                    <w:spacing w:line="276" w:lineRule="auto"/>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7.85×10</w:t>
                  </w:r>
                  <w:r>
                    <w:rPr>
                      <w:rFonts w:hint="default" w:ascii="Times New Roman" w:hAnsi="Times New Roman" w:eastAsia="宋体" w:cs="Times New Roman"/>
                      <w:color w:val="000000"/>
                      <w:sz w:val="21"/>
                      <w:szCs w:val="21"/>
                      <w:vertAlign w:val="superscript"/>
                    </w:rPr>
                    <w:t>3</w:t>
                  </w:r>
                </w:p>
              </w:tc>
              <w:tc>
                <w:tcPr>
                  <w:tcW w:w="1152" w:type="dxa"/>
                  <w:tcBorders>
                    <w:tl2br w:val="nil"/>
                    <w:tr2bl w:val="nil"/>
                  </w:tcBorders>
                  <w:vAlign w:val="center"/>
                </w:tcPr>
                <w:p>
                  <w:pPr>
                    <w:spacing w:line="276" w:lineRule="auto"/>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7.46×10</w:t>
                  </w:r>
                  <w:r>
                    <w:rPr>
                      <w:rFonts w:hint="default" w:ascii="Times New Roman" w:hAnsi="Times New Roman" w:eastAsia="宋体" w:cs="Times New Roman"/>
                      <w:color w:val="000000"/>
                      <w:sz w:val="21"/>
                      <w:szCs w:val="21"/>
                      <w:vertAlign w:val="superscript"/>
                    </w:rPr>
                    <w:t>3</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920" w:type="dxa"/>
                  <w:gridSpan w:val="2"/>
                  <w:tcBorders>
                    <w:tl2br w:val="nil"/>
                    <w:tr2bl w:val="nil"/>
                  </w:tcBorders>
                  <w:vAlign w:val="center"/>
                </w:tcPr>
                <w:p>
                  <w:pPr>
                    <w:widowControl/>
                    <w:spacing w:line="276" w:lineRule="auto"/>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平均标态干烟气量（m³/h）</w:t>
                  </w:r>
                </w:p>
              </w:tc>
              <w:tc>
                <w:tcPr>
                  <w:tcW w:w="3389" w:type="dxa"/>
                  <w:gridSpan w:val="3"/>
                  <w:tcBorders>
                    <w:tl2br w:val="nil"/>
                    <w:tr2bl w:val="nil"/>
                  </w:tcBorders>
                  <w:vAlign w:val="center"/>
                </w:tcPr>
                <w:p>
                  <w:pPr>
                    <w:spacing w:line="276" w:lineRule="auto"/>
                    <w:jc w:val="center"/>
                    <w:rPr>
                      <w:rFonts w:hint="default" w:ascii="Times New Roman" w:hAnsi="Times New Roman" w:eastAsia="宋体" w:cs="Times New Roman"/>
                      <w:color w:val="000000"/>
                      <w:sz w:val="21"/>
                      <w:szCs w:val="21"/>
                      <w:highlight w:val="yellow"/>
                    </w:rPr>
                  </w:pPr>
                  <w:r>
                    <w:rPr>
                      <w:rFonts w:hint="default" w:ascii="Times New Roman" w:hAnsi="Times New Roman" w:eastAsia="宋体" w:cs="Times New Roman"/>
                      <w:color w:val="000000"/>
                      <w:sz w:val="21"/>
                      <w:szCs w:val="21"/>
                    </w:rPr>
                    <w:t>7.74×10</w:t>
                  </w:r>
                  <w:r>
                    <w:rPr>
                      <w:rFonts w:hint="default" w:ascii="Times New Roman" w:hAnsi="Times New Roman" w:eastAsia="宋体" w:cs="Times New Roman"/>
                      <w:color w:val="000000"/>
                      <w:sz w:val="21"/>
                      <w:szCs w:val="21"/>
                      <w:vertAlign w:val="superscript"/>
                    </w:rPr>
                    <w:t>3</w:t>
                  </w:r>
                </w:p>
              </w:tc>
              <w:tc>
                <w:tcPr>
                  <w:tcW w:w="3389" w:type="dxa"/>
                  <w:gridSpan w:val="3"/>
                  <w:tcBorders>
                    <w:tl2br w:val="nil"/>
                    <w:tr2bl w:val="nil"/>
                  </w:tcBorders>
                  <w:vAlign w:val="center"/>
                </w:tcPr>
                <w:p>
                  <w:pPr>
                    <w:spacing w:line="276" w:lineRule="auto"/>
                    <w:jc w:val="center"/>
                    <w:rPr>
                      <w:rFonts w:hint="default" w:ascii="Times New Roman" w:hAnsi="Times New Roman" w:eastAsia="宋体" w:cs="Times New Roman"/>
                      <w:color w:val="000000"/>
                      <w:sz w:val="21"/>
                      <w:szCs w:val="21"/>
                      <w:highlight w:val="yellow"/>
                    </w:rPr>
                  </w:pPr>
                  <w:r>
                    <w:rPr>
                      <w:rFonts w:hint="default" w:ascii="Times New Roman" w:hAnsi="Times New Roman" w:eastAsia="宋体" w:cs="Times New Roman"/>
                      <w:color w:val="000000"/>
                      <w:sz w:val="21"/>
                      <w:szCs w:val="21"/>
                    </w:rPr>
                    <w:t>7.76×10</w:t>
                  </w:r>
                  <w:r>
                    <w:rPr>
                      <w:rFonts w:hint="default" w:ascii="Times New Roman" w:hAnsi="Times New Roman" w:eastAsia="宋体" w:cs="Times New Roman"/>
                      <w:color w:val="000000"/>
                      <w:sz w:val="21"/>
                      <w:szCs w:val="21"/>
                      <w:vertAlign w:val="superscript"/>
                    </w:rPr>
                    <w:t>3</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92" w:type="dxa"/>
                  <w:vMerge w:val="restart"/>
                  <w:tcBorders>
                    <w:tl2br w:val="nil"/>
                    <w:tr2bl w:val="nil"/>
                  </w:tcBorders>
                  <w:vAlign w:val="center"/>
                </w:tcPr>
                <w:p>
                  <w:pPr>
                    <w:spacing w:line="276" w:lineRule="auto"/>
                    <w:ind w:right="-34" w:rightChars="-16"/>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非甲烷总烃</w:t>
                  </w:r>
                </w:p>
              </w:tc>
              <w:tc>
                <w:tcPr>
                  <w:tcW w:w="2428" w:type="dxa"/>
                  <w:tcBorders>
                    <w:tl2br w:val="nil"/>
                    <w:tr2bl w:val="nil"/>
                  </w:tcBorders>
                  <w:vAlign w:val="center"/>
                </w:tcPr>
                <w:p>
                  <w:pPr>
                    <w:widowControl/>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污染物排放浓度(mg/m³)</w:t>
                  </w:r>
                </w:p>
              </w:tc>
              <w:tc>
                <w:tcPr>
                  <w:tcW w:w="1115" w:type="dxa"/>
                  <w:tcBorders>
                    <w:tl2br w:val="nil"/>
                    <w:tr2bl w:val="nil"/>
                  </w:tcBorders>
                  <w:vAlign w:val="center"/>
                </w:tcPr>
                <w:p>
                  <w:pPr>
                    <w:spacing w:line="276" w:lineRule="auto"/>
                    <w:ind w:right="-34" w:rightChars="-16"/>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16.1</w:t>
                  </w:r>
                </w:p>
              </w:tc>
              <w:tc>
                <w:tcPr>
                  <w:tcW w:w="1115" w:type="dxa"/>
                  <w:tcBorders>
                    <w:tl2br w:val="nil"/>
                    <w:tr2bl w:val="nil"/>
                  </w:tcBorders>
                  <w:vAlign w:val="center"/>
                </w:tcPr>
                <w:p>
                  <w:pPr>
                    <w:spacing w:line="276" w:lineRule="auto"/>
                    <w:ind w:right="-34" w:rightChars="-16"/>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15.8</w:t>
                  </w:r>
                </w:p>
              </w:tc>
              <w:tc>
                <w:tcPr>
                  <w:tcW w:w="1159" w:type="dxa"/>
                  <w:tcBorders>
                    <w:tl2br w:val="nil"/>
                    <w:tr2bl w:val="nil"/>
                  </w:tcBorders>
                  <w:vAlign w:val="center"/>
                </w:tcPr>
                <w:p>
                  <w:pPr>
                    <w:spacing w:line="276" w:lineRule="auto"/>
                    <w:ind w:right="-34" w:rightChars="-16"/>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15.4</w:t>
                  </w:r>
                </w:p>
              </w:tc>
              <w:tc>
                <w:tcPr>
                  <w:tcW w:w="1101" w:type="dxa"/>
                  <w:tcBorders>
                    <w:tl2br w:val="nil"/>
                    <w:tr2bl w:val="nil"/>
                  </w:tcBorders>
                  <w:vAlign w:val="center"/>
                </w:tcPr>
                <w:p>
                  <w:pPr>
                    <w:spacing w:line="276" w:lineRule="auto"/>
                    <w:ind w:right="-34" w:rightChars="-16"/>
                    <w:jc w:val="center"/>
                    <w:rPr>
                      <w:rFonts w:hint="default" w:ascii="Times New Roman" w:hAnsi="Times New Roman" w:eastAsia="宋体" w:cs="Times New Roman"/>
                      <w:color w:val="000000"/>
                      <w:sz w:val="21"/>
                      <w:szCs w:val="21"/>
                      <w:highlight w:val="yellow"/>
                    </w:rPr>
                  </w:pPr>
                  <w:r>
                    <w:rPr>
                      <w:rFonts w:hint="default" w:ascii="Times New Roman" w:hAnsi="Times New Roman" w:eastAsia="宋体" w:cs="Times New Roman"/>
                      <w:color w:val="000000"/>
                      <w:sz w:val="21"/>
                      <w:szCs w:val="21"/>
                    </w:rPr>
                    <w:t>4.47</w:t>
                  </w:r>
                </w:p>
              </w:tc>
              <w:tc>
                <w:tcPr>
                  <w:tcW w:w="1136" w:type="dxa"/>
                  <w:tcBorders>
                    <w:tl2br w:val="nil"/>
                    <w:tr2bl w:val="nil"/>
                  </w:tcBorders>
                  <w:vAlign w:val="center"/>
                </w:tcPr>
                <w:p>
                  <w:pPr>
                    <w:spacing w:line="276" w:lineRule="auto"/>
                    <w:ind w:right="-34" w:rightChars="-16"/>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5.28</w:t>
                  </w:r>
                </w:p>
              </w:tc>
              <w:tc>
                <w:tcPr>
                  <w:tcW w:w="1152" w:type="dxa"/>
                  <w:tcBorders>
                    <w:tl2br w:val="nil"/>
                    <w:tr2bl w:val="nil"/>
                  </w:tcBorders>
                  <w:vAlign w:val="center"/>
                </w:tcPr>
                <w:p>
                  <w:pPr>
                    <w:spacing w:line="276" w:lineRule="auto"/>
                    <w:ind w:right="-34" w:rightChars="-16"/>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5.26</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92" w:type="dxa"/>
                  <w:vMerge w:val="continue"/>
                  <w:tcBorders>
                    <w:tl2br w:val="nil"/>
                    <w:tr2bl w:val="nil"/>
                  </w:tcBorders>
                  <w:vAlign w:val="center"/>
                </w:tcPr>
                <w:p>
                  <w:pPr>
                    <w:spacing w:line="276" w:lineRule="auto"/>
                    <w:ind w:right="-34" w:rightChars="-16"/>
                    <w:jc w:val="center"/>
                    <w:rPr>
                      <w:rFonts w:hint="default" w:ascii="Times New Roman" w:hAnsi="Times New Roman" w:eastAsia="宋体" w:cs="Times New Roman"/>
                      <w:color w:val="000000"/>
                      <w:sz w:val="21"/>
                      <w:szCs w:val="21"/>
                    </w:rPr>
                  </w:pPr>
                </w:p>
              </w:tc>
              <w:tc>
                <w:tcPr>
                  <w:tcW w:w="2428" w:type="dxa"/>
                  <w:tcBorders>
                    <w:tl2br w:val="nil"/>
                    <w:tr2bl w:val="nil"/>
                  </w:tcBorders>
                  <w:vAlign w:val="center"/>
                </w:tcPr>
                <w:p>
                  <w:pPr>
                    <w:widowControl/>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污染物平均排放浓度(mg/m³)</w:t>
                  </w:r>
                </w:p>
              </w:tc>
              <w:tc>
                <w:tcPr>
                  <w:tcW w:w="3389" w:type="dxa"/>
                  <w:gridSpan w:val="3"/>
                  <w:tcBorders>
                    <w:tl2br w:val="nil"/>
                    <w:tr2bl w:val="nil"/>
                  </w:tcBorders>
                  <w:vAlign w:val="center"/>
                </w:tcPr>
                <w:p>
                  <w:pPr>
                    <w:spacing w:line="276" w:lineRule="auto"/>
                    <w:ind w:right="-34" w:rightChars="-16"/>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15.8</w:t>
                  </w:r>
                </w:p>
              </w:tc>
              <w:tc>
                <w:tcPr>
                  <w:tcW w:w="3389" w:type="dxa"/>
                  <w:gridSpan w:val="3"/>
                  <w:tcBorders>
                    <w:tl2br w:val="nil"/>
                    <w:tr2bl w:val="nil"/>
                  </w:tcBorders>
                  <w:vAlign w:val="center"/>
                </w:tcPr>
                <w:p>
                  <w:pPr>
                    <w:spacing w:line="276" w:lineRule="auto"/>
                    <w:ind w:right="-34" w:rightChars="-16"/>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5.00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92" w:type="dxa"/>
                  <w:vMerge w:val="continue"/>
                  <w:tcBorders>
                    <w:tl2br w:val="nil"/>
                    <w:tr2bl w:val="nil"/>
                  </w:tcBorders>
                  <w:vAlign w:val="center"/>
                </w:tcPr>
                <w:p>
                  <w:pPr>
                    <w:spacing w:line="276" w:lineRule="auto"/>
                    <w:ind w:right="-34" w:rightChars="-16"/>
                    <w:jc w:val="center"/>
                    <w:rPr>
                      <w:rFonts w:hint="default" w:ascii="Times New Roman" w:hAnsi="Times New Roman" w:eastAsia="宋体" w:cs="Times New Roman"/>
                      <w:color w:val="000000"/>
                      <w:sz w:val="21"/>
                      <w:szCs w:val="21"/>
                    </w:rPr>
                  </w:pPr>
                </w:p>
              </w:tc>
              <w:tc>
                <w:tcPr>
                  <w:tcW w:w="2428" w:type="dxa"/>
                  <w:tcBorders>
                    <w:tl2br w:val="nil"/>
                    <w:tr2bl w:val="nil"/>
                  </w:tcBorders>
                  <w:vAlign w:val="center"/>
                </w:tcPr>
                <w:p>
                  <w:pPr>
                    <w:widowControl/>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污染物排放速率(kg/h)</w:t>
                  </w:r>
                </w:p>
              </w:tc>
              <w:tc>
                <w:tcPr>
                  <w:tcW w:w="1115" w:type="dxa"/>
                  <w:tcBorders>
                    <w:tl2br w:val="nil"/>
                    <w:tr2bl w:val="nil"/>
                  </w:tcBorders>
                  <w:vAlign w:val="center"/>
                </w:tcPr>
                <w:p>
                  <w:pPr>
                    <w:spacing w:line="276" w:lineRule="auto"/>
                    <w:ind w:right="-34" w:rightChars="-16"/>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0.121</w:t>
                  </w:r>
                </w:p>
              </w:tc>
              <w:tc>
                <w:tcPr>
                  <w:tcW w:w="1115" w:type="dxa"/>
                  <w:tcBorders>
                    <w:tl2br w:val="nil"/>
                    <w:tr2bl w:val="nil"/>
                  </w:tcBorders>
                  <w:vAlign w:val="center"/>
                </w:tcPr>
                <w:p>
                  <w:pPr>
                    <w:spacing w:line="276" w:lineRule="auto"/>
                    <w:ind w:right="-34" w:rightChars="-16"/>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0.123</w:t>
                  </w:r>
                </w:p>
              </w:tc>
              <w:tc>
                <w:tcPr>
                  <w:tcW w:w="1159" w:type="dxa"/>
                  <w:tcBorders>
                    <w:tl2br w:val="nil"/>
                    <w:tr2bl w:val="nil"/>
                  </w:tcBorders>
                  <w:vAlign w:val="center"/>
                </w:tcPr>
                <w:p>
                  <w:pPr>
                    <w:spacing w:line="276" w:lineRule="auto"/>
                    <w:ind w:right="-34" w:rightChars="-16"/>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0.122</w:t>
                  </w:r>
                </w:p>
              </w:tc>
              <w:tc>
                <w:tcPr>
                  <w:tcW w:w="1101" w:type="dxa"/>
                  <w:tcBorders>
                    <w:tl2br w:val="nil"/>
                    <w:tr2bl w:val="nil"/>
                  </w:tcBorders>
                  <w:vAlign w:val="center"/>
                </w:tcPr>
                <w:p>
                  <w:pPr>
                    <w:spacing w:line="276" w:lineRule="auto"/>
                    <w:ind w:right="-34" w:rightChars="-16"/>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0.0356</w:t>
                  </w:r>
                </w:p>
              </w:tc>
              <w:tc>
                <w:tcPr>
                  <w:tcW w:w="1136" w:type="dxa"/>
                  <w:tcBorders>
                    <w:tl2br w:val="nil"/>
                    <w:tr2bl w:val="nil"/>
                  </w:tcBorders>
                  <w:vAlign w:val="center"/>
                </w:tcPr>
                <w:p>
                  <w:pPr>
                    <w:spacing w:line="276" w:lineRule="auto"/>
                    <w:ind w:right="-34" w:rightChars="-16"/>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0.0414</w:t>
                  </w:r>
                </w:p>
              </w:tc>
              <w:tc>
                <w:tcPr>
                  <w:tcW w:w="1152" w:type="dxa"/>
                  <w:tcBorders>
                    <w:tl2br w:val="nil"/>
                    <w:tr2bl w:val="nil"/>
                  </w:tcBorders>
                  <w:vAlign w:val="center"/>
                </w:tcPr>
                <w:p>
                  <w:pPr>
                    <w:spacing w:line="276" w:lineRule="auto"/>
                    <w:ind w:right="-34" w:rightChars="-16"/>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0.0392</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92" w:type="dxa"/>
                  <w:vMerge w:val="continue"/>
                  <w:tcBorders>
                    <w:tl2br w:val="nil"/>
                    <w:tr2bl w:val="nil"/>
                  </w:tcBorders>
                  <w:vAlign w:val="center"/>
                </w:tcPr>
                <w:p>
                  <w:pPr>
                    <w:spacing w:line="276" w:lineRule="auto"/>
                    <w:ind w:right="-34" w:rightChars="-16"/>
                    <w:jc w:val="center"/>
                    <w:rPr>
                      <w:rFonts w:hint="default" w:ascii="Times New Roman" w:hAnsi="Times New Roman" w:eastAsia="宋体" w:cs="Times New Roman"/>
                      <w:color w:val="000000"/>
                      <w:sz w:val="21"/>
                      <w:szCs w:val="21"/>
                    </w:rPr>
                  </w:pPr>
                </w:p>
              </w:tc>
              <w:tc>
                <w:tcPr>
                  <w:tcW w:w="2428" w:type="dxa"/>
                  <w:tcBorders>
                    <w:tl2br w:val="nil"/>
                    <w:tr2bl w:val="nil"/>
                  </w:tcBorders>
                  <w:vAlign w:val="center"/>
                </w:tcPr>
                <w:p>
                  <w:pPr>
                    <w:widowControl/>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污染物平均排放速率(kg/h)</w:t>
                  </w:r>
                </w:p>
              </w:tc>
              <w:tc>
                <w:tcPr>
                  <w:tcW w:w="3389" w:type="dxa"/>
                  <w:gridSpan w:val="3"/>
                  <w:tcBorders>
                    <w:tl2br w:val="nil"/>
                    <w:tr2bl w:val="nil"/>
                  </w:tcBorders>
                  <w:vAlign w:val="center"/>
                </w:tcPr>
                <w:p>
                  <w:pPr>
                    <w:spacing w:line="276" w:lineRule="auto"/>
                    <w:ind w:right="-34" w:rightChars="-16"/>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0.122</w:t>
                  </w:r>
                </w:p>
              </w:tc>
              <w:tc>
                <w:tcPr>
                  <w:tcW w:w="3389" w:type="dxa"/>
                  <w:gridSpan w:val="3"/>
                  <w:tcBorders>
                    <w:tl2br w:val="nil"/>
                    <w:tr2bl w:val="nil"/>
                  </w:tcBorders>
                  <w:vAlign w:val="center"/>
                </w:tcPr>
                <w:p>
                  <w:pPr>
                    <w:spacing w:line="276" w:lineRule="auto"/>
                    <w:ind w:right="-34" w:rightChars="-16"/>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0.0388</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92" w:type="dxa"/>
                  <w:vMerge w:val="continue"/>
                  <w:tcBorders>
                    <w:tl2br w:val="nil"/>
                    <w:tr2bl w:val="nil"/>
                  </w:tcBorders>
                  <w:vAlign w:val="center"/>
                </w:tcPr>
                <w:p>
                  <w:pPr>
                    <w:spacing w:line="276" w:lineRule="auto"/>
                    <w:ind w:right="-34" w:rightChars="-16"/>
                    <w:jc w:val="center"/>
                    <w:rPr>
                      <w:rFonts w:hint="default" w:ascii="Times New Roman" w:hAnsi="Times New Roman" w:eastAsia="宋体" w:cs="Times New Roman"/>
                      <w:color w:val="000000"/>
                      <w:sz w:val="21"/>
                      <w:szCs w:val="21"/>
                    </w:rPr>
                  </w:pPr>
                </w:p>
              </w:tc>
              <w:tc>
                <w:tcPr>
                  <w:tcW w:w="2428" w:type="dxa"/>
                  <w:tcBorders>
                    <w:tl2br w:val="nil"/>
                    <w:tr2bl w:val="nil"/>
                  </w:tcBorders>
                  <w:vAlign w:val="center"/>
                </w:tcPr>
                <w:p>
                  <w:pPr>
                    <w:widowControl/>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污染物去除效率</w:t>
                  </w:r>
                  <w:r>
                    <w:rPr>
                      <w:rFonts w:hint="default" w:ascii="Times New Roman" w:hAnsi="Times New Roman" w:eastAsia="宋体" w:cs="Times New Roman"/>
                      <w:kern w:val="0"/>
                      <w:sz w:val="21"/>
                      <w:szCs w:val="21"/>
                    </w:rPr>
                    <w:t>(％)</w:t>
                  </w:r>
                </w:p>
              </w:tc>
              <w:tc>
                <w:tcPr>
                  <w:tcW w:w="6778" w:type="dxa"/>
                  <w:gridSpan w:val="6"/>
                  <w:tcBorders>
                    <w:tl2br w:val="nil"/>
                    <w:tr2bl w:val="nil"/>
                  </w:tcBorders>
                  <w:vAlign w:val="center"/>
                </w:tcPr>
                <w:p>
                  <w:pPr>
                    <w:spacing w:line="276" w:lineRule="auto"/>
                    <w:ind w:right="-34" w:rightChars="-16"/>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68</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920" w:type="dxa"/>
                  <w:gridSpan w:val="2"/>
                  <w:tcBorders>
                    <w:tl2br w:val="nil"/>
                    <w:tr2bl w:val="nil"/>
                  </w:tcBorders>
                  <w:vAlign w:val="center"/>
                </w:tcPr>
                <w:p>
                  <w:pPr>
                    <w:widowControl/>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达标情况</w:t>
                  </w:r>
                </w:p>
              </w:tc>
              <w:tc>
                <w:tcPr>
                  <w:tcW w:w="1115" w:type="dxa"/>
                  <w:tcBorders>
                    <w:tl2br w:val="nil"/>
                    <w:tr2bl w:val="nil"/>
                  </w:tcBorders>
                  <w:vAlign w:val="center"/>
                </w:tcPr>
                <w:p>
                  <w:pPr>
                    <w:spacing w:line="276" w:lineRule="auto"/>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1115" w:type="dxa"/>
                  <w:tcBorders>
                    <w:tl2br w:val="nil"/>
                    <w:tr2bl w:val="nil"/>
                  </w:tcBorders>
                  <w:vAlign w:val="center"/>
                </w:tcPr>
                <w:p>
                  <w:pPr>
                    <w:spacing w:line="276" w:lineRule="auto"/>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1159" w:type="dxa"/>
                  <w:tcBorders>
                    <w:tl2br w:val="nil"/>
                    <w:tr2bl w:val="nil"/>
                  </w:tcBorders>
                  <w:vAlign w:val="center"/>
                </w:tcPr>
                <w:p>
                  <w:pPr>
                    <w:spacing w:line="276" w:lineRule="auto"/>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1101" w:type="dxa"/>
                  <w:tcBorders>
                    <w:tl2br w:val="nil"/>
                    <w:tr2bl w:val="nil"/>
                  </w:tcBorders>
                  <w:vAlign w:val="center"/>
                </w:tcPr>
                <w:p>
                  <w:pPr>
                    <w:spacing w:line="276" w:lineRule="auto"/>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达标</w:t>
                  </w:r>
                </w:p>
              </w:tc>
              <w:tc>
                <w:tcPr>
                  <w:tcW w:w="1136" w:type="dxa"/>
                  <w:tcBorders>
                    <w:tl2br w:val="nil"/>
                    <w:tr2bl w:val="nil"/>
                  </w:tcBorders>
                  <w:vAlign w:val="center"/>
                </w:tcPr>
                <w:p>
                  <w:pPr>
                    <w:spacing w:line="276" w:lineRule="auto"/>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达标</w:t>
                  </w:r>
                </w:p>
              </w:tc>
              <w:tc>
                <w:tcPr>
                  <w:tcW w:w="1152" w:type="dxa"/>
                  <w:tcBorders>
                    <w:tl2br w:val="nil"/>
                    <w:tr2bl w:val="nil"/>
                  </w:tcBorders>
                  <w:vAlign w:val="center"/>
                </w:tcPr>
                <w:p>
                  <w:pPr>
                    <w:spacing w:line="276" w:lineRule="auto"/>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达标</w:t>
                  </w:r>
                </w:p>
              </w:tc>
            </w:tr>
          </w:tbl>
          <w:p>
            <w:pPr>
              <w:widowControl/>
              <w:spacing w:line="360" w:lineRule="auto"/>
              <w:jc w:val="center"/>
              <w:rPr>
                <w:rFonts w:hint="eastAsia"/>
              </w:rPr>
            </w:pPr>
            <w:r>
              <w:rPr>
                <w:rFonts w:hint="eastAsia"/>
              </w:rPr>
              <w:t>表7</w:t>
            </w:r>
            <w:r>
              <w:t>-</w:t>
            </w:r>
            <w:r>
              <w:rPr>
                <w:rFonts w:hint="eastAsia"/>
                <w:lang w:val="en-US" w:eastAsia="zh-CN"/>
              </w:rPr>
              <w:t>5</w:t>
            </w:r>
            <w:r>
              <w:rPr>
                <w:rFonts w:hint="eastAsia"/>
              </w:rPr>
              <w:t xml:space="preserve">  有组织废气</w:t>
            </w:r>
            <w:r>
              <w:rPr>
                <w:rFonts w:hint="eastAsia" w:ascii="Times New Roman" w:eastAsia="宋体"/>
                <w:lang w:val="en-US" w:eastAsia="zh-CN"/>
              </w:rPr>
              <w:t>补充</w:t>
            </w:r>
            <w:r>
              <w:rPr>
                <w:rFonts w:hint="eastAsia"/>
              </w:rPr>
              <w:t>监测结果表</w:t>
            </w:r>
          </w:p>
          <w:tbl>
            <w:tblPr>
              <w:tblStyle w:val="32"/>
              <w:tblW w:w="9698"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492"/>
              <w:gridCol w:w="2428"/>
              <w:gridCol w:w="1115"/>
              <w:gridCol w:w="1115"/>
              <w:gridCol w:w="1159"/>
              <w:gridCol w:w="1101"/>
              <w:gridCol w:w="1136"/>
              <w:gridCol w:w="1152"/>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920" w:type="dxa"/>
                  <w:gridSpan w:val="2"/>
                  <w:tcBorders>
                    <w:tl2br w:val="nil"/>
                    <w:tr2bl w:val="nil"/>
                  </w:tcBorders>
                  <w:vAlign w:val="center"/>
                </w:tcPr>
                <w:p>
                  <w:pPr>
                    <w:widowControl/>
                    <w:spacing w:line="276" w:lineRule="auto"/>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工艺设备名称及型号</w:t>
                  </w:r>
                </w:p>
              </w:tc>
              <w:tc>
                <w:tcPr>
                  <w:tcW w:w="3389" w:type="dxa"/>
                  <w:gridSpan w:val="3"/>
                  <w:tcBorders>
                    <w:tl2br w:val="nil"/>
                    <w:tr2bl w:val="nil"/>
                  </w:tcBorders>
                  <w:vAlign w:val="center"/>
                </w:tcPr>
                <w:p>
                  <w:pPr>
                    <w:spacing w:line="276" w:lineRule="auto"/>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脱模工艺</w:t>
                  </w:r>
                </w:p>
              </w:tc>
              <w:tc>
                <w:tcPr>
                  <w:tcW w:w="3389" w:type="dxa"/>
                  <w:gridSpan w:val="3"/>
                  <w:tcBorders>
                    <w:tl2br w:val="nil"/>
                    <w:tr2bl w:val="nil"/>
                  </w:tcBorders>
                  <w:vAlign w:val="center"/>
                </w:tcPr>
                <w:p>
                  <w:pPr>
                    <w:spacing w:line="276" w:lineRule="auto"/>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脱模工艺</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920" w:type="dxa"/>
                  <w:gridSpan w:val="2"/>
                  <w:tcBorders>
                    <w:tl2br w:val="nil"/>
                    <w:tr2bl w:val="nil"/>
                  </w:tcBorders>
                  <w:vAlign w:val="center"/>
                </w:tcPr>
                <w:p>
                  <w:pPr>
                    <w:widowControl/>
                    <w:spacing w:line="276" w:lineRule="auto"/>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净化器名称及型号</w:t>
                  </w:r>
                </w:p>
              </w:tc>
              <w:tc>
                <w:tcPr>
                  <w:tcW w:w="6778" w:type="dxa"/>
                  <w:gridSpan w:val="6"/>
                  <w:tcBorders>
                    <w:tl2br w:val="nil"/>
                    <w:tr2bl w:val="nil"/>
                  </w:tcBorders>
                  <w:vAlign w:val="center"/>
                </w:tcPr>
                <w:p>
                  <w:pPr>
                    <w:spacing w:line="276" w:lineRule="auto"/>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静电除雾+等离子光氧+活性炭吸附</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920" w:type="dxa"/>
                  <w:gridSpan w:val="2"/>
                  <w:tcBorders>
                    <w:tl2br w:val="nil"/>
                    <w:tr2bl w:val="nil"/>
                  </w:tcBorders>
                  <w:vAlign w:val="center"/>
                </w:tcPr>
                <w:p>
                  <w:pPr>
                    <w:widowControl/>
                    <w:spacing w:line="276" w:lineRule="auto"/>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采样日期</w:t>
                  </w:r>
                </w:p>
              </w:tc>
              <w:tc>
                <w:tcPr>
                  <w:tcW w:w="3389" w:type="dxa"/>
                  <w:gridSpan w:val="3"/>
                  <w:tcBorders>
                    <w:tl2br w:val="nil"/>
                    <w:tr2bl w:val="nil"/>
                  </w:tcBorders>
                  <w:vAlign w:val="center"/>
                </w:tcPr>
                <w:p>
                  <w:pPr>
                    <w:spacing w:line="276" w:lineRule="auto"/>
                    <w:jc w:val="center"/>
                    <w:rPr>
                      <w:rFonts w:hint="eastAsia" w:ascii="Times New Roman" w:hAnsi="Times New Roman" w:eastAsia="宋体" w:cs="Times New Roman"/>
                      <w:color w:val="000000"/>
                      <w:sz w:val="21"/>
                      <w:szCs w:val="21"/>
                      <w:lang w:val="en-US" w:eastAsia="zh-CN"/>
                    </w:rPr>
                  </w:pPr>
                  <w:r>
                    <w:rPr>
                      <w:rFonts w:hint="default" w:ascii="Times New Roman" w:hAnsi="Times New Roman" w:eastAsia="宋体" w:cs="Times New Roman"/>
                      <w:color w:val="000000"/>
                      <w:sz w:val="21"/>
                      <w:szCs w:val="21"/>
                    </w:rPr>
                    <w:t>2020.08.2</w:t>
                  </w:r>
                  <w:r>
                    <w:rPr>
                      <w:rFonts w:hint="eastAsia" w:cs="Times New Roman"/>
                      <w:color w:val="000000"/>
                      <w:sz w:val="21"/>
                      <w:szCs w:val="21"/>
                      <w:lang w:val="en-US" w:eastAsia="zh-CN"/>
                    </w:rPr>
                    <w:t>4</w:t>
                  </w:r>
                </w:p>
              </w:tc>
              <w:tc>
                <w:tcPr>
                  <w:tcW w:w="3389" w:type="dxa"/>
                  <w:gridSpan w:val="3"/>
                  <w:tcBorders>
                    <w:tl2br w:val="nil"/>
                    <w:tr2bl w:val="nil"/>
                  </w:tcBorders>
                  <w:vAlign w:val="center"/>
                </w:tcPr>
                <w:p>
                  <w:pPr>
                    <w:spacing w:line="276" w:lineRule="auto"/>
                    <w:jc w:val="center"/>
                    <w:rPr>
                      <w:rFonts w:hint="eastAsia" w:ascii="Times New Roman" w:hAnsi="Times New Roman" w:eastAsia="宋体" w:cs="Times New Roman"/>
                      <w:color w:val="000000"/>
                      <w:sz w:val="21"/>
                      <w:szCs w:val="21"/>
                      <w:lang w:val="en-US" w:eastAsia="zh-CN"/>
                    </w:rPr>
                  </w:pPr>
                  <w:r>
                    <w:rPr>
                      <w:rFonts w:hint="default" w:ascii="Times New Roman" w:hAnsi="Times New Roman" w:eastAsia="宋体" w:cs="Times New Roman"/>
                      <w:color w:val="000000"/>
                      <w:sz w:val="21"/>
                      <w:szCs w:val="21"/>
                    </w:rPr>
                    <w:t>2020.08.2</w:t>
                  </w:r>
                  <w:r>
                    <w:rPr>
                      <w:rFonts w:hint="eastAsia" w:cs="Times New Roman"/>
                      <w:color w:val="000000"/>
                      <w:sz w:val="21"/>
                      <w:szCs w:val="21"/>
                      <w:lang w:val="en-US" w:eastAsia="zh-CN"/>
                    </w:rPr>
                    <w:t>4</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920" w:type="dxa"/>
                  <w:gridSpan w:val="2"/>
                  <w:tcBorders>
                    <w:tl2br w:val="nil"/>
                    <w:tr2bl w:val="nil"/>
                  </w:tcBorders>
                  <w:vAlign w:val="center"/>
                </w:tcPr>
                <w:p>
                  <w:pPr>
                    <w:widowControl/>
                    <w:spacing w:line="276" w:lineRule="auto"/>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排气筒高度</w:t>
                  </w:r>
                  <w:r>
                    <w:rPr>
                      <w:rFonts w:hint="default" w:ascii="Times New Roman" w:hAnsi="Times New Roman" w:eastAsia="宋体" w:cs="Times New Roman"/>
                      <w:kern w:val="0"/>
                      <w:sz w:val="21"/>
                      <w:szCs w:val="21"/>
                      <w:vertAlign w:val="superscript"/>
                    </w:rPr>
                    <w:t>#</w:t>
                  </w:r>
                  <w:r>
                    <w:rPr>
                      <w:rFonts w:hint="default" w:ascii="Times New Roman" w:hAnsi="Times New Roman" w:eastAsia="宋体" w:cs="Times New Roman"/>
                      <w:kern w:val="0"/>
                      <w:sz w:val="21"/>
                      <w:szCs w:val="21"/>
                    </w:rPr>
                    <w:t>（m）</w:t>
                  </w:r>
                </w:p>
              </w:tc>
              <w:tc>
                <w:tcPr>
                  <w:tcW w:w="3389" w:type="dxa"/>
                  <w:gridSpan w:val="3"/>
                  <w:tcBorders>
                    <w:tl2br w:val="nil"/>
                    <w:tr2bl w:val="nil"/>
                  </w:tcBorders>
                  <w:vAlign w:val="center"/>
                </w:tcPr>
                <w:p>
                  <w:pPr>
                    <w:spacing w:line="276" w:lineRule="auto"/>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15</w:t>
                  </w:r>
                </w:p>
              </w:tc>
              <w:tc>
                <w:tcPr>
                  <w:tcW w:w="3389" w:type="dxa"/>
                  <w:gridSpan w:val="3"/>
                  <w:tcBorders>
                    <w:tl2br w:val="nil"/>
                    <w:tr2bl w:val="nil"/>
                  </w:tcBorders>
                  <w:vAlign w:val="center"/>
                </w:tcPr>
                <w:p>
                  <w:pPr>
                    <w:spacing w:line="276" w:lineRule="auto"/>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15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920" w:type="dxa"/>
                  <w:gridSpan w:val="2"/>
                  <w:tcBorders>
                    <w:tl2br w:val="nil"/>
                    <w:tr2bl w:val="nil"/>
                  </w:tcBorders>
                  <w:vAlign w:val="center"/>
                </w:tcPr>
                <w:p>
                  <w:pPr>
                    <w:widowControl/>
                    <w:spacing w:line="276" w:lineRule="auto"/>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测试断面</w:t>
                  </w:r>
                </w:p>
              </w:tc>
              <w:tc>
                <w:tcPr>
                  <w:tcW w:w="3389" w:type="dxa"/>
                  <w:gridSpan w:val="3"/>
                  <w:tcBorders>
                    <w:tl2br w:val="nil"/>
                    <w:tr2bl w:val="nil"/>
                  </w:tcBorders>
                  <w:vAlign w:val="center"/>
                </w:tcPr>
                <w:p>
                  <w:pPr>
                    <w:spacing w:line="276" w:lineRule="auto"/>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lang w:val="en-US" w:eastAsia="zh-CN"/>
                    </w:rPr>
                    <w:t>脱模</w:t>
                  </w:r>
                  <w:r>
                    <w:rPr>
                      <w:rFonts w:hint="default" w:ascii="Times New Roman" w:hAnsi="Times New Roman" w:eastAsia="宋体" w:cs="Times New Roman"/>
                      <w:color w:val="000000"/>
                      <w:sz w:val="21"/>
                      <w:szCs w:val="21"/>
                    </w:rPr>
                    <w:t>废气排气筒进口</w:t>
                  </w:r>
                </w:p>
              </w:tc>
              <w:tc>
                <w:tcPr>
                  <w:tcW w:w="3389" w:type="dxa"/>
                  <w:gridSpan w:val="3"/>
                  <w:tcBorders>
                    <w:tl2br w:val="nil"/>
                    <w:tr2bl w:val="nil"/>
                  </w:tcBorders>
                  <w:vAlign w:val="center"/>
                </w:tcPr>
                <w:p>
                  <w:pPr>
                    <w:spacing w:line="276" w:lineRule="auto"/>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lang w:val="en-US" w:eastAsia="zh-CN"/>
                    </w:rPr>
                    <w:t>脱模</w:t>
                  </w:r>
                  <w:r>
                    <w:rPr>
                      <w:rFonts w:hint="default" w:ascii="Times New Roman" w:hAnsi="Times New Roman" w:eastAsia="宋体" w:cs="Times New Roman"/>
                      <w:color w:val="000000"/>
                      <w:sz w:val="21"/>
                      <w:szCs w:val="21"/>
                    </w:rPr>
                    <w:t>废气排气筒出口</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920" w:type="dxa"/>
                  <w:gridSpan w:val="2"/>
                  <w:tcBorders>
                    <w:tl2br w:val="nil"/>
                    <w:tr2bl w:val="nil"/>
                  </w:tcBorders>
                  <w:vAlign w:val="center"/>
                </w:tcPr>
                <w:p>
                  <w:pPr>
                    <w:widowControl/>
                    <w:spacing w:line="276" w:lineRule="auto"/>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采样频次</w:t>
                  </w:r>
                </w:p>
              </w:tc>
              <w:tc>
                <w:tcPr>
                  <w:tcW w:w="1115" w:type="dxa"/>
                  <w:tcBorders>
                    <w:tl2br w:val="nil"/>
                    <w:tr2bl w:val="nil"/>
                  </w:tcBorders>
                  <w:vAlign w:val="center"/>
                </w:tcPr>
                <w:p>
                  <w:pPr>
                    <w:spacing w:line="276" w:lineRule="auto"/>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1</w:t>
                  </w:r>
                </w:p>
              </w:tc>
              <w:tc>
                <w:tcPr>
                  <w:tcW w:w="1115" w:type="dxa"/>
                  <w:tcBorders>
                    <w:tl2br w:val="nil"/>
                    <w:tr2bl w:val="nil"/>
                  </w:tcBorders>
                  <w:vAlign w:val="center"/>
                </w:tcPr>
                <w:p>
                  <w:pPr>
                    <w:spacing w:line="276" w:lineRule="auto"/>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2</w:t>
                  </w:r>
                </w:p>
              </w:tc>
              <w:tc>
                <w:tcPr>
                  <w:tcW w:w="1159" w:type="dxa"/>
                  <w:tcBorders>
                    <w:tl2br w:val="nil"/>
                    <w:tr2bl w:val="nil"/>
                  </w:tcBorders>
                  <w:vAlign w:val="center"/>
                </w:tcPr>
                <w:p>
                  <w:pPr>
                    <w:spacing w:line="276" w:lineRule="auto"/>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3</w:t>
                  </w:r>
                </w:p>
              </w:tc>
              <w:tc>
                <w:tcPr>
                  <w:tcW w:w="1101" w:type="dxa"/>
                  <w:tcBorders>
                    <w:tl2br w:val="nil"/>
                    <w:tr2bl w:val="nil"/>
                  </w:tcBorders>
                  <w:vAlign w:val="center"/>
                </w:tcPr>
                <w:p>
                  <w:pPr>
                    <w:spacing w:line="276" w:lineRule="auto"/>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1</w:t>
                  </w:r>
                </w:p>
              </w:tc>
              <w:tc>
                <w:tcPr>
                  <w:tcW w:w="1136" w:type="dxa"/>
                  <w:tcBorders>
                    <w:tl2br w:val="nil"/>
                    <w:tr2bl w:val="nil"/>
                  </w:tcBorders>
                  <w:vAlign w:val="center"/>
                </w:tcPr>
                <w:p>
                  <w:pPr>
                    <w:spacing w:line="276" w:lineRule="auto"/>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2</w:t>
                  </w:r>
                </w:p>
              </w:tc>
              <w:tc>
                <w:tcPr>
                  <w:tcW w:w="1152" w:type="dxa"/>
                  <w:tcBorders>
                    <w:tl2br w:val="nil"/>
                    <w:tr2bl w:val="nil"/>
                  </w:tcBorders>
                  <w:vAlign w:val="center"/>
                </w:tcPr>
                <w:p>
                  <w:pPr>
                    <w:spacing w:line="276" w:lineRule="auto"/>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3</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920" w:type="dxa"/>
                  <w:gridSpan w:val="2"/>
                  <w:tcBorders>
                    <w:tl2br w:val="nil"/>
                    <w:tr2bl w:val="nil"/>
                  </w:tcBorders>
                  <w:vAlign w:val="center"/>
                </w:tcPr>
                <w:p>
                  <w:pPr>
                    <w:widowControl/>
                    <w:spacing w:line="276" w:lineRule="auto"/>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管道截面积</w:t>
                  </w:r>
                  <w:r>
                    <w:rPr>
                      <w:rFonts w:hint="default" w:ascii="Times New Roman" w:hAnsi="Times New Roman" w:eastAsia="宋体" w:cs="Times New Roman"/>
                      <w:kern w:val="0"/>
                      <w:sz w:val="21"/>
                      <w:szCs w:val="21"/>
                      <w:vertAlign w:val="superscript"/>
                    </w:rPr>
                    <w:t>#</w:t>
                  </w:r>
                  <w:r>
                    <w:rPr>
                      <w:rFonts w:hint="default" w:ascii="Times New Roman" w:hAnsi="Times New Roman" w:eastAsia="宋体" w:cs="Times New Roman"/>
                      <w:kern w:val="0"/>
                      <w:sz w:val="21"/>
                      <w:szCs w:val="21"/>
                    </w:rPr>
                    <w:t>（m²）</w:t>
                  </w:r>
                </w:p>
              </w:tc>
              <w:tc>
                <w:tcPr>
                  <w:tcW w:w="1115" w:type="dxa"/>
                  <w:tcBorders>
                    <w:tl2br w:val="nil"/>
                    <w:tr2bl w:val="nil"/>
                  </w:tcBorders>
                  <w:vAlign w:val="center"/>
                </w:tcPr>
                <w:p>
                  <w:pPr>
                    <w:spacing w:line="276" w:lineRule="auto"/>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rPr>
                    <w:t>0.503</w:t>
                  </w:r>
                </w:p>
              </w:tc>
              <w:tc>
                <w:tcPr>
                  <w:tcW w:w="1115" w:type="dxa"/>
                  <w:tcBorders>
                    <w:tl2br w:val="nil"/>
                    <w:tr2bl w:val="nil"/>
                  </w:tcBorders>
                  <w:vAlign w:val="center"/>
                </w:tcPr>
                <w:p>
                  <w:pPr>
                    <w:spacing w:line="276" w:lineRule="auto"/>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rPr>
                    <w:t>0.503</w:t>
                  </w:r>
                </w:p>
              </w:tc>
              <w:tc>
                <w:tcPr>
                  <w:tcW w:w="1159" w:type="dxa"/>
                  <w:tcBorders>
                    <w:tl2br w:val="nil"/>
                    <w:tr2bl w:val="nil"/>
                  </w:tcBorders>
                  <w:vAlign w:val="center"/>
                </w:tcPr>
                <w:p>
                  <w:pPr>
                    <w:spacing w:line="276" w:lineRule="auto"/>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rPr>
                    <w:t>0.503</w:t>
                  </w:r>
                </w:p>
              </w:tc>
              <w:tc>
                <w:tcPr>
                  <w:tcW w:w="1101" w:type="dxa"/>
                  <w:tcBorders>
                    <w:tl2br w:val="nil"/>
                    <w:tr2bl w:val="nil"/>
                  </w:tcBorders>
                  <w:vAlign w:val="center"/>
                </w:tcPr>
                <w:p>
                  <w:pPr>
                    <w:spacing w:line="276" w:lineRule="auto"/>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rPr>
                    <w:t>0.503</w:t>
                  </w:r>
                </w:p>
              </w:tc>
              <w:tc>
                <w:tcPr>
                  <w:tcW w:w="1136" w:type="dxa"/>
                  <w:tcBorders>
                    <w:tl2br w:val="nil"/>
                    <w:tr2bl w:val="nil"/>
                  </w:tcBorders>
                  <w:vAlign w:val="center"/>
                </w:tcPr>
                <w:p>
                  <w:pPr>
                    <w:spacing w:line="276" w:lineRule="auto"/>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rPr>
                    <w:t>0.503</w:t>
                  </w:r>
                </w:p>
              </w:tc>
              <w:tc>
                <w:tcPr>
                  <w:tcW w:w="1152" w:type="dxa"/>
                  <w:tcBorders>
                    <w:tl2br w:val="nil"/>
                    <w:tr2bl w:val="nil"/>
                  </w:tcBorders>
                  <w:vAlign w:val="center"/>
                </w:tcPr>
                <w:p>
                  <w:pPr>
                    <w:spacing w:line="276" w:lineRule="auto"/>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rPr>
                    <w:t>0.503</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920" w:type="dxa"/>
                  <w:gridSpan w:val="2"/>
                  <w:tcBorders>
                    <w:tl2br w:val="nil"/>
                    <w:tr2bl w:val="nil"/>
                  </w:tcBorders>
                  <w:vAlign w:val="center"/>
                </w:tcPr>
                <w:p>
                  <w:pPr>
                    <w:widowControl/>
                    <w:spacing w:line="276" w:lineRule="auto"/>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测点烟气温度 (℃)</w:t>
                  </w:r>
                </w:p>
              </w:tc>
              <w:tc>
                <w:tcPr>
                  <w:tcW w:w="1115" w:type="dxa"/>
                  <w:tcBorders>
                    <w:tl2br w:val="nil"/>
                    <w:tr2bl w:val="nil"/>
                  </w:tcBorders>
                  <w:vAlign w:val="center"/>
                </w:tcPr>
                <w:p>
                  <w:pPr>
                    <w:spacing w:line="276" w:lineRule="auto"/>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rPr>
                    <w:t>44.6</w:t>
                  </w:r>
                </w:p>
              </w:tc>
              <w:tc>
                <w:tcPr>
                  <w:tcW w:w="1115" w:type="dxa"/>
                  <w:tcBorders>
                    <w:tl2br w:val="nil"/>
                    <w:tr2bl w:val="nil"/>
                  </w:tcBorders>
                  <w:vAlign w:val="center"/>
                </w:tcPr>
                <w:p>
                  <w:pPr>
                    <w:spacing w:line="276" w:lineRule="auto"/>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rPr>
                    <w:t>44.7</w:t>
                  </w:r>
                </w:p>
              </w:tc>
              <w:tc>
                <w:tcPr>
                  <w:tcW w:w="1159" w:type="dxa"/>
                  <w:tcBorders>
                    <w:tl2br w:val="nil"/>
                    <w:tr2bl w:val="nil"/>
                  </w:tcBorders>
                  <w:vAlign w:val="center"/>
                </w:tcPr>
                <w:p>
                  <w:pPr>
                    <w:spacing w:line="276" w:lineRule="auto"/>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rPr>
                    <w:t>44.7</w:t>
                  </w:r>
                </w:p>
              </w:tc>
              <w:tc>
                <w:tcPr>
                  <w:tcW w:w="1101" w:type="dxa"/>
                  <w:tcBorders>
                    <w:tl2br w:val="nil"/>
                    <w:tr2bl w:val="nil"/>
                  </w:tcBorders>
                  <w:vAlign w:val="center"/>
                </w:tcPr>
                <w:p>
                  <w:pPr>
                    <w:spacing w:line="276" w:lineRule="auto"/>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rPr>
                    <w:t>44.1</w:t>
                  </w:r>
                </w:p>
              </w:tc>
              <w:tc>
                <w:tcPr>
                  <w:tcW w:w="1136" w:type="dxa"/>
                  <w:tcBorders>
                    <w:tl2br w:val="nil"/>
                    <w:tr2bl w:val="nil"/>
                  </w:tcBorders>
                  <w:vAlign w:val="center"/>
                </w:tcPr>
                <w:p>
                  <w:pPr>
                    <w:spacing w:line="276" w:lineRule="auto"/>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rPr>
                    <w:t>44.6</w:t>
                  </w:r>
                </w:p>
              </w:tc>
              <w:tc>
                <w:tcPr>
                  <w:tcW w:w="1152" w:type="dxa"/>
                  <w:tcBorders>
                    <w:tl2br w:val="nil"/>
                    <w:tr2bl w:val="nil"/>
                  </w:tcBorders>
                  <w:vAlign w:val="center"/>
                </w:tcPr>
                <w:p>
                  <w:pPr>
                    <w:spacing w:line="276" w:lineRule="auto"/>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rPr>
                    <w:t>44.9</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920" w:type="dxa"/>
                  <w:gridSpan w:val="2"/>
                  <w:tcBorders>
                    <w:tl2br w:val="nil"/>
                    <w:tr2bl w:val="nil"/>
                  </w:tcBorders>
                  <w:vAlign w:val="center"/>
                </w:tcPr>
                <w:p>
                  <w:pPr>
                    <w:widowControl/>
                    <w:spacing w:line="276" w:lineRule="auto"/>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烟气含湿量 (％)</w:t>
                  </w:r>
                </w:p>
              </w:tc>
              <w:tc>
                <w:tcPr>
                  <w:tcW w:w="1115" w:type="dxa"/>
                  <w:tcBorders>
                    <w:tl2br w:val="nil"/>
                    <w:tr2bl w:val="nil"/>
                  </w:tcBorders>
                  <w:vAlign w:val="center"/>
                </w:tcPr>
                <w:p>
                  <w:pPr>
                    <w:spacing w:line="276" w:lineRule="auto"/>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rPr>
                    <w:t>3.3</w:t>
                  </w:r>
                </w:p>
              </w:tc>
              <w:tc>
                <w:tcPr>
                  <w:tcW w:w="1115" w:type="dxa"/>
                  <w:tcBorders>
                    <w:tl2br w:val="nil"/>
                    <w:tr2bl w:val="nil"/>
                  </w:tcBorders>
                  <w:vAlign w:val="center"/>
                </w:tcPr>
                <w:p>
                  <w:pPr>
                    <w:spacing w:line="276" w:lineRule="auto"/>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rPr>
                    <w:t>3.3</w:t>
                  </w:r>
                </w:p>
              </w:tc>
              <w:tc>
                <w:tcPr>
                  <w:tcW w:w="1159" w:type="dxa"/>
                  <w:tcBorders>
                    <w:tl2br w:val="nil"/>
                    <w:tr2bl w:val="nil"/>
                  </w:tcBorders>
                  <w:vAlign w:val="center"/>
                </w:tcPr>
                <w:p>
                  <w:pPr>
                    <w:spacing w:line="276" w:lineRule="auto"/>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rPr>
                    <w:t>3.3</w:t>
                  </w:r>
                </w:p>
              </w:tc>
              <w:tc>
                <w:tcPr>
                  <w:tcW w:w="1101" w:type="dxa"/>
                  <w:tcBorders>
                    <w:tl2br w:val="nil"/>
                    <w:tr2bl w:val="nil"/>
                  </w:tcBorders>
                  <w:vAlign w:val="center"/>
                </w:tcPr>
                <w:p>
                  <w:pPr>
                    <w:spacing w:line="276" w:lineRule="auto"/>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rPr>
                    <w:t>3.0</w:t>
                  </w:r>
                </w:p>
              </w:tc>
              <w:tc>
                <w:tcPr>
                  <w:tcW w:w="1136" w:type="dxa"/>
                  <w:tcBorders>
                    <w:tl2br w:val="nil"/>
                    <w:tr2bl w:val="nil"/>
                  </w:tcBorders>
                  <w:vAlign w:val="center"/>
                </w:tcPr>
                <w:p>
                  <w:pPr>
                    <w:spacing w:line="276" w:lineRule="auto"/>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rPr>
                    <w:t>3.0</w:t>
                  </w:r>
                </w:p>
              </w:tc>
              <w:tc>
                <w:tcPr>
                  <w:tcW w:w="1152" w:type="dxa"/>
                  <w:tcBorders>
                    <w:tl2br w:val="nil"/>
                    <w:tr2bl w:val="nil"/>
                  </w:tcBorders>
                  <w:vAlign w:val="center"/>
                </w:tcPr>
                <w:p>
                  <w:pPr>
                    <w:spacing w:line="276" w:lineRule="auto"/>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rPr>
                    <w:t>3.0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920" w:type="dxa"/>
                  <w:gridSpan w:val="2"/>
                  <w:tcBorders>
                    <w:tl2br w:val="nil"/>
                    <w:tr2bl w:val="nil"/>
                  </w:tcBorders>
                  <w:vAlign w:val="center"/>
                </w:tcPr>
                <w:p>
                  <w:pPr>
                    <w:widowControl/>
                    <w:spacing w:line="276" w:lineRule="auto"/>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测点烟气流速 (m/s)</w:t>
                  </w:r>
                </w:p>
              </w:tc>
              <w:tc>
                <w:tcPr>
                  <w:tcW w:w="1115" w:type="dxa"/>
                  <w:tcBorders>
                    <w:tl2br w:val="nil"/>
                    <w:tr2bl w:val="nil"/>
                  </w:tcBorders>
                  <w:vAlign w:val="center"/>
                </w:tcPr>
                <w:p>
                  <w:pPr>
                    <w:spacing w:line="276" w:lineRule="auto"/>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rPr>
                    <w:t>5.2</w:t>
                  </w:r>
                </w:p>
              </w:tc>
              <w:tc>
                <w:tcPr>
                  <w:tcW w:w="1115" w:type="dxa"/>
                  <w:tcBorders>
                    <w:tl2br w:val="nil"/>
                    <w:tr2bl w:val="nil"/>
                  </w:tcBorders>
                  <w:vAlign w:val="center"/>
                </w:tcPr>
                <w:p>
                  <w:pPr>
                    <w:spacing w:line="276" w:lineRule="auto"/>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rPr>
                    <w:t>5.2</w:t>
                  </w:r>
                </w:p>
              </w:tc>
              <w:tc>
                <w:tcPr>
                  <w:tcW w:w="1159" w:type="dxa"/>
                  <w:tcBorders>
                    <w:tl2br w:val="nil"/>
                    <w:tr2bl w:val="nil"/>
                  </w:tcBorders>
                  <w:vAlign w:val="center"/>
                </w:tcPr>
                <w:p>
                  <w:pPr>
                    <w:spacing w:line="276" w:lineRule="auto"/>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rPr>
                    <w:t>5.3</w:t>
                  </w:r>
                </w:p>
              </w:tc>
              <w:tc>
                <w:tcPr>
                  <w:tcW w:w="1101" w:type="dxa"/>
                  <w:tcBorders>
                    <w:tl2br w:val="nil"/>
                    <w:tr2bl w:val="nil"/>
                  </w:tcBorders>
                  <w:vAlign w:val="center"/>
                </w:tcPr>
                <w:p>
                  <w:pPr>
                    <w:spacing w:line="276" w:lineRule="auto"/>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rPr>
                    <w:t>5.0</w:t>
                  </w:r>
                </w:p>
              </w:tc>
              <w:tc>
                <w:tcPr>
                  <w:tcW w:w="1136" w:type="dxa"/>
                  <w:tcBorders>
                    <w:tl2br w:val="nil"/>
                    <w:tr2bl w:val="nil"/>
                  </w:tcBorders>
                  <w:vAlign w:val="center"/>
                </w:tcPr>
                <w:p>
                  <w:pPr>
                    <w:spacing w:line="276" w:lineRule="auto"/>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rPr>
                    <w:t>5.1</w:t>
                  </w:r>
                </w:p>
              </w:tc>
              <w:tc>
                <w:tcPr>
                  <w:tcW w:w="1152" w:type="dxa"/>
                  <w:tcBorders>
                    <w:tl2br w:val="nil"/>
                    <w:tr2bl w:val="nil"/>
                  </w:tcBorders>
                  <w:vAlign w:val="center"/>
                </w:tcPr>
                <w:p>
                  <w:pPr>
                    <w:spacing w:line="276" w:lineRule="auto"/>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rPr>
                    <w:t>5.1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920" w:type="dxa"/>
                  <w:gridSpan w:val="2"/>
                  <w:tcBorders>
                    <w:tl2br w:val="nil"/>
                    <w:tr2bl w:val="nil"/>
                  </w:tcBorders>
                  <w:vAlign w:val="center"/>
                </w:tcPr>
                <w:p>
                  <w:pPr>
                    <w:widowControl/>
                    <w:spacing w:line="276" w:lineRule="auto"/>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实测烟气量 (m³/h)</w:t>
                  </w:r>
                </w:p>
              </w:tc>
              <w:tc>
                <w:tcPr>
                  <w:tcW w:w="1115" w:type="dxa"/>
                  <w:tcBorders>
                    <w:tl2br w:val="nil"/>
                    <w:tr2bl w:val="nil"/>
                  </w:tcBorders>
                  <w:vAlign w:val="center"/>
                </w:tcPr>
                <w:p>
                  <w:pPr>
                    <w:spacing w:line="276" w:lineRule="auto"/>
                    <w:jc w:val="center"/>
                    <w:rPr>
                      <w:rFonts w:hint="default" w:ascii="Times New Roman" w:hAnsi="Times New Roman" w:eastAsia="宋体" w:cs="Times New Roman"/>
                      <w:color w:val="000000"/>
                      <w:sz w:val="21"/>
                      <w:szCs w:val="21"/>
                      <w:highlight w:val="yellow"/>
                    </w:rPr>
                  </w:pPr>
                  <w:r>
                    <w:rPr>
                      <w:rFonts w:hint="default" w:ascii="Times New Roman" w:hAnsi="Times New Roman" w:eastAsia="宋体" w:cs="Times New Roman"/>
                      <w:color w:val="000000"/>
                    </w:rPr>
                    <w:t>9.45×10</w:t>
                  </w:r>
                  <w:r>
                    <w:rPr>
                      <w:rFonts w:hint="default" w:ascii="Times New Roman" w:hAnsi="Times New Roman" w:eastAsia="宋体" w:cs="Times New Roman"/>
                      <w:color w:val="000000"/>
                      <w:vertAlign w:val="superscript"/>
                    </w:rPr>
                    <w:t>3</w:t>
                  </w:r>
                </w:p>
              </w:tc>
              <w:tc>
                <w:tcPr>
                  <w:tcW w:w="1115" w:type="dxa"/>
                  <w:tcBorders>
                    <w:tl2br w:val="nil"/>
                    <w:tr2bl w:val="nil"/>
                  </w:tcBorders>
                  <w:vAlign w:val="center"/>
                </w:tcPr>
                <w:p>
                  <w:pPr>
                    <w:spacing w:line="276" w:lineRule="auto"/>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rPr>
                    <w:t>9.46×10</w:t>
                  </w:r>
                  <w:r>
                    <w:rPr>
                      <w:rFonts w:hint="default" w:ascii="Times New Roman" w:hAnsi="Times New Roman" w:eastAsia="宋体" w:cs="Times New Roman"/>
                      <w:color w:val="000000"/>
                      <w:vertAlign w:val="superscript"/>
                    </w:rPr>
                    <w:t>3</w:t>
                  </w:r>
                </w:p>
              </w:tc>
              <w:tc>
                <w:tcPr>
                  <w:tcW w:w="1159" w:type="dxa"/>
                  <w:tcBorders>
                    <w:tl2br w:val="nil"/>
                    <w:tr2bl w:val="nil"/>
                  </w:tcBorders>
                  <w:vAlign w:val="center"/>
                </w:tcPr>
                <w:p>
                  <w:pPr>
                    <w:spacing w:line="276" w:lineRule="auto"/>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rPr>
                    <w:t>9.65×10</w:t>
                  </w:r>
                  <w:r>
                    <w:rPr>
                      <w:rFonts w:hint="default" w:ascii="Times New Roman" w:hAnsi="Times New Roman" w:eastAsia="宋体" w:cs="Times New Roman"/>
                      <w:color w:val="000000"/>
                      <w:vertAlign w:val="superscript"/>
                    </w:rPr>
                    <w:t>3</w:t>
                  </w:r>
                </w:p>
              </w:tc>
              <w:tc>
                <w:tcPr>
                  <w:tcW w:w="1101" w:type="dxa"/>
                  <w:tcBorders>
                    <w:tl2br w:val="nil"/>
                    <w:tr2bl w:val="nil"/>
                  </w:tcBorders>
                  <w:vAlign w:val="center"/>
                </w:tcPr>
                <w:p>
                  <w:pPr>
                    <w:spacing w:line="276" w:lineRule="auto"/>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rPr>
                    <w:t>9.13×10</w:t>
                  </w:r>
                  <w:r>
                    <w:rPr>
                      <w:rFonts w:hint="default" w:ascii="Times New Roman" w:hAnsi="Times New Roman" w:eastAsia="宋体" w:cs="Times New Roman"/>
                      <w:color w:val="000000"/>
                      <w:vertAlign w:val="superscript"/>
                    </w:rPr>
                    <w:t>3</w:t>
                  </w:r>
                </w:p>
              </w:tc>
              <w:tc>
                <w:tcPr>
                  <w:tcW w:w="1136" w:type="dxa"/>
                  <w:tcBorders>
                    <w:tl2br w:val="nil"/>
                    <w:tr2bl w:val="nil"/>
                  </w:tcBorders>
                  <w:vAlign w:val="center"/>
                </w:tcPr>
                <w:p>
                  <w:pPr>
                    <w:spacing w:line="276" w:lineRule="auto"/>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rPr>
                    <w:t>9.31×10</w:t>
                  </w:r>
                  <w:r>
                    <w:rPr>
                      <w:rFonts w:hint="default" w:ascii="Times New Roman" w:hAnsi="Times New Roman" w:eastAsia="宋体" w:cs="Times New Roman"/>
                      <w:color w:val="000000"/>
                      <w:vertAlign w:val="superscript"/>
                    </w:rPr>
                    <w:t>3</w:t>
                  </w:r>
                </w:p>
              </w:tc>
              <w:tc>
                <w:tcPr>
                  <w:tcW w:w="1152" w:type="dxa"/>
                  <w:tcBorders>
                    <w:tl2br w:val="nil"/>
                    <w:tr2bl w:val="nil"/>
                  </w:tcBorders>
                  <w:vAlign w:val="center"/>
                </w:tcPr>
                <w:p>
                  <w:pPr>
                    <w:spacing w:line="276" w:lineRule="auto"/>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rPr>
                    <w:t>9.20×10</w:t>
                  </w:r>
                  <w:r>
                    <w:rPr>
                      <w:rFonts w:hint="default" w:ascii="Times New Roman" w:hAnsi="Times New Roman" w:eastAsia="宋体" w:cs="Times New Roman"/>
                      <w:color w:val="000000"/>
                      <w:vertAlign w:val="superscript"/>
                    </w:rPr>
                    <w:t>3</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920" w:type="dxa"/>
                  <w:gridSpan w:val="2"/>
                  <w:tcBorders>
                    <w:tl2br w:val="nil"/>
                    <w:tr2bl w:val="nil"/>
                  </w:tcBorders>
                  <w:vAlign w:val="center"/>
                </w:tcPr>
                <w:p>
                  <w:pPr>
                    <w:widowControl/>
                    <w:spacing w:line="276" w:lineRule="auto"/>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标态干烟气量（m³/h）</w:t>
                  </w:r>
                </w:p>
              </w:tc>
              <w:tc>
                <w:tcPr>
                  <w:tcW w:w="1115" w:type="dxa"/>
                  <w:tcBorders>
                    <w:tl2br w:val="nil"/>
                    <w:tr2bl w:val="nil"/>
                  </w:tcBorders>
                  <w:vAlign w:val="center"/>
                </w:tcPr>
                <w:p>
                  <w:pPr>
                    <w:spacing w:line="276" w:lineRule="auto"/>
                    <w:jc w:val="center"/>
                    <w:rPr>
                      <w:rFonts w:hint="default" w:ascii="Times New Roman" w:hAnsi="Times New Roman" w:eastAsia="宋体" w:cs="Times New Roman"/>
                      <w:color w:val="000000"/>
                      <w:sz w:val="21"/>
                      <w:szCs w:val="21"/>
                      <w:highlight w:val="yellow"/>
                    </w:rPr>
                  </w:pPr>
                  <w:r>
                    <w:rPr>
                      <w:rFonts w:hint="default" w:ascii="Times New Roman" w:hAnsi="Times New Roman" w:eastAsia="宋体" w:cs="Times New Roman"/>
                      <w:color w:val="000000"/>
                    </w:rPr>
                    <w:t>7.73×10</w:t>
                  </w:r>
                  <w:r>
                    <w:rPr>
                      <w:rFonts w:hint="default" w:ascii="Times New Roman" w:hAnsi="Times New Roman" w:eastAsia="宋体" w:cs="Times New Roman"/>
                      <w:color w:val="000000"/>
                      <w:vertAlign w:val="superscript"/>
                    </w:rPr>
                    <w:t>3</w:t>
                  </w:r>
                </w:p>
              </w:tc>
              <w:tc>
                <w:tcPr>
                  <w:tcW w:w="1115" w:type="dxa"/>
                  <w:tcBorders>
                    <w:tl2br w:val="nil"/>
                    <w:tr2bl w:val="nil"/>
                  </w:tcBorders>
                  <w:vAlign w:val="center"/>
                </w:tcPr>
                <w:p>
                  <w:pPr>
                    <w:spacing w:line="276" w:lineRule="auto"/>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rPr>
                    <w:t>7.74×10</w:t>
                  </w:r>
                  <w:r>
                    <w:rPr>
                      <w:rFonts w:hint="default" w:ascii="Times New Roman" w:hAnsi="Times New Roman" w:eastAsia="宋体" w:cs="Times New Roman"/>
                      <w:color w:val="000000"/>
                      <w:vertAlign w:val="superscript"/>
                    </w:rPr>
                    <w:t>3</w:t>
                  </w:r>
                </w:p>
              </w:tc>
              <w:tc>
                <w:tcPr>
                  <w:tcW w:w="1159" w:type="dxa"/>
                  <w:tcBorders>
                    <w:tl2br w:val="nil"/>
                    <w:tr2bl w:val="nil"/>
                  </w:tcBorders>
                  <w:vAlign w:val="center"/>
                </w:tcPr>
                <w:p>
                  <w:pPr>
                    <w:spacing w:line="276" w:lineRule="auto"/>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rPr>
                    <w:t>7.90×10</w:t>
                  </w:r>
                  <w:r>
                    <w:rPr>
                      <w:rFonts w:hint="default" w:ascii="Times New Roman" w:hAnsi="Times New Roman" w:eastAsia="宋体" w:cs="Times New Roman"/>
                      <w:color w:val="000000"/>
                      <w:vertAlign w:val="superscript"/>
                    </w:rPr>
                    <w:t>3</w:t>
                  </w:r>
                </w:p>
              </w:tc>
              <w:tc>
                <w:tcPr>
                  <w:tcW w:w="1101" w:type="dxa"/>
                  <w:tcBorders>
                    <w:tl2br w:val="nil"/>
                    <w:tr2bl w:val="nil"/>
                  </w:tcBorders>
                  <w:vAlign w:val="center"/>
                </w:tcPr>
                <w:p>
                  <w:pPr>
                    <w:spacing w:line="276" w:lineRule="auto"/>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rPr>
                    <w:t>7.47×10</w:t>
                  </w:r>
                  <w:r>
                    <w:rPr>
                      <w:rFonts w:hint="default" w:ascii="Times New Roman" w:hAnsi="Times New Roman" w:eastAsia="宋体" w:cs="Times New Roman"/>
                      <w:color w:val="000000"/>
                      <w:vertAlign w:val="superscript"/>
                    </w:rPr>
                    <w:t>3</w:t>
                  </w:r>
                </w:p>
              </w:tc>
              <w:tc>
                <w:tcPr>
                  <w:tcW w:w="1136" w:type="dxa"/>
                  <w:tcBorders>
                    <w:tl2br w:val="nil"/>
                    <w:tr2bl w:val="nil"/>
                  </w:tcBorders>
                  <w:vAlign w:val="center"/>
                </w:tcPr>
                <w:p>
                  <w:pPr>
                    <w:spacing w:line="276" w:lineRule="auto"/>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rPr>
                    <w:t>7.61×10</w:t>
                  </w:r>
                  <w:r>
                    <w:rPr>
                      <w:rFonts w:hint="default" w:ascii="Times New Roman" w:hAnsi="Times New Roman" w:eastAsia="宋体" w:cs="Times New Roman"/>
                      <w:color w:val="000000"/>
                      <w:vertAlign w:val="superscript"/>
                    </w:rPr>
                    <w:t>3</w:t>
                  </w:r>
                </w:p>
              </w:tc>
              <w:tc>
                <w:tcPr>
                  <w:tcW w:w="1152" w:type="dxa"/>
                  <w:tcBorders>
                    <w:tl2br w:val="nil"/>
                    <w:tr2bl w:val="nil"/>
                  </w:tcBorders>
                  <w:vAlign w:val="center"/>
                </w:tcPr>
                <w:p>
                  <w:pPr>
                    <w:spacing w:line="276" w:lineRule="auto"/>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rPr>
                    <w:t>7.51×10</w:t>
                  </w:r>
                  <w:r>
                    <w:rPr>
                      <w:rFonts w:hint="default" w:ascii="Times New Roman" w:hAnsi="Times New Roman" w:eastAsia="宋体" w:cs="Times New Roman"/>
                      <w:color w:val="000000"/>
                      <w:vertAlign w:val="superscript"/>
                    </w:rPr>
                    <w:t>3</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920" w:type="dxa"/>
                  <w:gridSpan w:val="2"/>
                  <w:tcBorders>
                    <w:tl2br w:val="nil"/>
                    <w:tr2bl w:val="nil"/>
                  </w:tcBorders>
                  <w:vAlign w:val="center"/>
                </w:tcPr>
                <w:p>
                  <w:pPr>
                    <w:widowControl/>
                    <w:spacing w:line="276" w:lineRule="auto"/>
                    <w:jc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rPr>
                    <w:t>平均标态干烟气量（m³/h）</w:t>
                  </w:r>
                </w:p>
              </w:tc>
              <w:tc>
                <w:tcPr>
                  <w:tcW w:w="3389" w:type="dxa"/>
                  <w:gridSpan w:val="3"/>
                  <w:tcBorders>
                    <w:tl2br w:val="nil"/>
                    <w:tr2bl w:val="nil"/>
                  </w:tcBorders>
                  <w:vAlign w:val="center"/>
                </w:tcPr>
                <w:p>
                  <w:pPr>
                    <w:spacing w:line="276" w:lineRule="auto"/>
                    <w:jc w:val="center"/>
                    <w:rPr>
                      <w:rFonts w:hint="default" w:ascii="Times New Roman" w:hAnsi="Times New Roman" w:eastAsia="宋体" w:cs="Times New Roman"/>
                      <w:color w:val="000000"/>
                      <w:sz w:val="21"/>
                      <w:szCs w:val="21"/>
                      <w:highlight w:val="yellow"/>
                    </w:rPr>
                  </w:pPr>
                  <w:r>
                    <w:rPr>
                      <w:rFonts w:hint="default" w:ascii="Times New Roman" w:hAnsi="Times New Roman" w:eastAsia="宋体" w:cs="Times New Roman"/>
                      <w:color w:val="000000"/>
                    </w:rPr>
                    <w:t>7.79×10</w:t>
                  </w:r>
                  <w:r>
                    <w:rPr>
                      <w:rFonts w:hint="default" w:ascii="Times New Roman" w:hAnsi="Times New Roman" w:eastAsia="宋体" w:cs="Times New Roman"/>
                      <w:color w:val="000000"/>
                      <w:vertAlign w:val="superscript"/>
                    </w:rPr>
                    <w:t>3</w:t>
                  </w:r>
                </w:p>
              </w:tc>
              <w:tc>
                <w:tcPr>
                  <w:tcW w:w="3389" w:type="dxa"/>
                  <w:gridSpan w:val="3"/>
                  <w:tcBorders>
                    <w:tl2br w:val="nil"/>
                    <w:tr2bl w:val="nil"/>
                  </w:tcBorders>
                  <w:vAlign w:val="center"/>
                </w:tcPr>
                <w:p>
                  <w:pPr>
                    <w:spacing w:line="276" w:lineRule="auto"/>
                    <w:jc w:val="center"/>
                    <w:rPr>
                      <w:rFonts w:hint="default" w:ascii="Times New Roman" w:hAnsi="Times New Roman" w:eastAsia="宋体" w:cs="Times New Roman"/>
                      <w:color w:val="000000"/>
                      <w:sz w:val="21"/>
                      <w:szCs w:val="21"/>
                      <w:highlight w:val="yellow"/>
                    </w:rPr>
                  </w:pPr>
                  <w:r>
                    <w:rPr>
                      <w:rFonts w:hint="default" w:ascii="Times New Roman" w:hAnsi="Times New Roman" w:eastAsia="宋体" w:cs="Times New Roman"/>
                      <w:color w:val="000000"/>
                    </w:rPr>
                    <w:t>7.53×10</w:t>
                  </w:r>
                  <w:r>
                    <w:rPr>
                      <w:rFonts w:hint="default" w:ascii="Times New Roman" w:hAnsi="Times New Roman" w:eastAsia="宋体" w:cs="Times New Roman"/>
                      <w:color w:val="000000"/>
                      <w:vertAlign w:val="superscript"/>
                    </w:rPr>
                    <w:t>3</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92" w:type="dxa"/>
                  <w:vMerge w:val="restart"/>
                  <w:tcBorders>
                    <w:tl2br w:val="nil"/>
                    <w:tr2bl w:val="nil"/>
                  </w:tcBorders>
                  <w:vAlign w:val="center"/>
                </w:tcPr>
                <w:p>
                  <w:pPr>
                    <w:spacing w:line="276" w:lineRule="auto"/>
                    <w:ind w:right="-34" w:rightChars="-16"/>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非甲烷总烃</w:t>
                  </w:r>
                </w:p>
              </w:tc>
              <w:tc>
                <w:tcPr>
                  <w:tcW w:w="2428" w:type="dxa"/>
                  <w:tcBorders>
                    <w:tl2br w:val="nil"/>
                    <w:tr2bl w:val="nil"/>
                  </w:tcBorders>
                  <w:vAlign w:val="center"/>
                </w:tcPr>
                <w:p>
                  <w:pPr>
                    <w:widowControl/>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污染物排放浓度(mg/m³)</w:t>
                  </w:r>
                </w:p>
              </w:tc>
              <w:tc>
                <w:tcPr>
                  <w:tcW w:w="1115" w:type="dxa"/>
                  <w:tcBorders>
                    <w:tl2br w:val="nil"/>
                    <w:tr2bl w:val="nil"/>
                  </w:tcBorders>
                  <w:vAlign w:val="center"/>
                </w:tcPr>
                <w:p>
                  <w:pPr>
                    <w:spacing w:line="276" w:lineRule="auto"/>
                    <w:ind w:right="-34" w:rightChars="-16"/>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rPr>
                    <w:t>11.6</w:t>
                  </w:r>
                </w:p>
              </w:tc>
              <w:tc>
                <w:tcPr>
                  <w:tcW w:w="1115" w:type="dxa"/>
                  <w:tcBorders>
                    <w:tl2br w:val="nil"/>
                    <w:tr2bl w:val="nil"/>
                  </w:tcBorders>
                  <w:vAlign w:val="center"/>
                </w:tcPr>
                <w:p>
                  <w:pPr>
                    <w:spacing w:line="276" w:lineRule="auto"/>
                    <w:ind w:right="-34" w:rightChars="-16"/>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rPr>
                    <w:t>11.4</w:t>
                  </w:r>
                </w:p>
              </w:tc>
              <w:tc>
                <w:tcPr>
                  <w:tcW w:w="1159" w:type="dxa"/>
                  <w:tcBorders>
                    <w:tl2br w:val="nil"/>
                    <w:tr2bl w:val="nil"/>
                  </w:tcBorders>
                  <w:vAlign w:val="center"/>
                </w:tcPr>
                <w:p>
                  <w:pPr>
                    <w:spacing w:line="276" w:lineRule="auto"/>
                    <w:ind w:right="-34" w:rightChars="-16"/>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rPr>
                    <w:t>11.3</w:t>
                  </w:r>
                </w:p>
              </w:tc>
              <w:tc>
                <w:tcPr>
                  <w:tcW w:w="1101" w:type="dxa"/>
                  <w:tcBorders>
                    <w:tl2br w:val="nil"/>
                    <w:tr2bl w:val="nil"/>
                  </w:tcBorders>
                  <w:vAlign w:val="center"/>
                </w:tcPr>
                <w:p>
                  <w:pPr>
                    <w:spacing w:line="276" w:lineRule="auto"/>
                    <w:ind w:right="-34" w:rightChars="-16"/>
                    <w:jc w:val="center"/>
                    <w:rPr>
                      <w:rFonts w:hint="default" w:ascii="Times New Roman" w:hAnsi="Times New Roman" w:eastAsia="宋体" w:cs="Times New Roman"/>
                      <w:color w:val="000000"/>
                      <w:sz w:val="21"/>
                      <w:szCs w:val="21"/>
                      <w:highlight w:val="yellow"/>
                    </w:rPr>
                  </w:pPr>
                  <w:r>
                    <w:rPr>
                      <w:rFonts w:hint="default" w:ascii="Times New Roman" w:hAnsi="Times New Roman" w:eastAsia="宋体" w:cs="Times New Roman"/>
                      <w:color w:val="000000"/>
                    </w:rPr>
                    <w:t>5.06</w:t>
                  </w:r>
                </w:p>
              </w:tc>
              <w:tc>
                <w:tcPr>
                  <w:tcW w:w="1136" w:type="dxa"/>
                  <w:tcBorders>
                    <w:tl2br w:val="nil"/>
                    <w:tr2bl w:val="nil"/>
                  </w:tcBorders>
                  <w:vAlign w:val="center"/>
                </w:tcPr>
                <w:p>
                  <w:pPr>
                    <w:spacing w:line="276" w:lineRule="auto"/>
                    <w:ind w:right="-34" w:rightChars="-16"/>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rPr>
                    <w:t>5.08</w:t>
                  </w:r>
                </w:p>
              </w:tc>
              <w:tc>
                <w:tcPr>
                  <w:tcW w:w="1152" w:type="dxa"/>
                  <w:tcBorders>
                    <w:tl2br w:val="nil"/>
                    <w:tr2bl w:val="nil"/>
                  </w:tcBorders>
                  <w:vAlign w:val="center"/>
                </w:tcPr>
                <w:p>
                  <w:pPr>
                    <w:spacing w:line="276" w:lineRule="auto"/>
                    <w:ind w:right="-34" w:rightChars="-16"/>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rPr>
                    <w:t>4.56</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92" w:type="dxa"/>
                  <w:vMerge w:val="continue"/>
                  <w:tcBorders>
                    <w:tl2br w:val="nil"/>
                    <w:tr2bl w:val="nil"/>
                  </w:tcBorders>
                  <w:vAlign w:val="center"/>
                </w:tcPr>
                <w:p>
                  <w:pPr>
                    <w:spacing w:line="276" w:lineRule="auto"/>
                    <w:ind w:right="-34" w:rightChars="-16"/>
                    <w:jc w:val="center"/>
                    <w:rPr>
                      <w:rFonts w:hint="default" w:ascii="Times New Roman" w:hAnsi="Times New Roman" w:eastAsia="宋体" w:cs="Times New Roman"/>
                      <w:color w:val="000000"/>
                      <w:sz w:val="21"/>
                      <w:szCs w:val="21"/>
                    </w:rPr>
                  </w:pPr>
                </w:p>
              </w:tc>
              <w:tc>
                <w:tcPr>
                  <w:tcW w:w="2428" w:type="dxa"/>
                  <w:tcBorders>
                    <w:tl2br w:val="nil"/>
                    <w:tr2bl w:val="nil"/>
                  </w:tcBorders>
                  <w:vAlign w:val="center"/>
                </w:tcPr>
                <w:p>
                  <w:pPr>
                    <w:widowControl/>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污染物平均排放浓度(mg/m³)</w:t>
                  </w:r>
                </w:p>
              </w:tc>
              <w:tc>
                <w:tcPr>
                  <w:tcW w:w="3389" w:type="dxa"/>
                  <w:gridSpan w:val="3"/>
                  <w:tcBorders>
                    <w:tl2br w:val="nil"/>
                    <w:tr2bl w:val="nil"/>
                  </w:tcBorders>
                  <w:vAlign w:val="center"/>
                </w:tcPr>
                <w:p>
                  <w:pPr>
                    <w:spacing w:line="276" w:lineRule="auto"/>
                    <w:ind w:right="-34" w:rightChars="-16"/>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rPr>
                    <w:t>11.4</w:t>
                  </w:r>
                </w:p>
              </w:tc>
              <w:tc>
                <w:tcPr>
                  <w:tcW w:w="3389" w:type="dxa"/>
                  <w:gridSpan w:val="3"/>
                  <w:tcBorders>
                    <w:tl2br w:val="nil"/>
                    <w:tr2bl w:val="nil"/>
                  </w:tcBorders>
                  <w:vAlign w:val="center"/>
                </w:tcPr>
                <w:p>
                  <w:pPr>
                    <w:spacing w:line="276" w:lineRule="auto"/>
                    <w:ind w:right="-34" w:rightChars="-16"/>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rPr>
                    <w:t>4.90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92" w:type="dxa"/>
                  <w:vMerge w:val="continue"/>
                  <w:tcBorders>
                    <w:tl2br w:val="nil"/>
                    <w:tr2bl w:val="nil"/>
                  </w:tcBorders>
                  <w:vAlign w:val="center"/>
                </w:tcPr>
                <w:p>
                  <w:pPr>
                    <w:spacing w:line="276" w:lineRule="auto"/>
                    <w:ind w:right="-34" w:rightChars="-16"/>
                    <w:jc w:val="center"/>
                    <w:rPr>
                      <w:rFonts w:hint="default" w:ascii="Times New Roman" w:hAnsi="Times New Roman" w:eastAsia="宋体" w:cs="Times New Roman"/>
                      <w:color w:val="000000"/>
                      <w:sz w:val="21"/>
                      <w:szCs w:val="21"/>
                    </w:rPr>
                  </w:pPr>
                </w:p>
              </w:tc>
              <w:tc>
                <w:tcPr>
                  <w:tcW w:w="2428" w:type="dxa"/>
                  <w:tcBorders>
                    <w:tl2br w:val="nil"/>
                    <w:tr2bl w:val="nil"/>
                  </w:tcBorders>
                  <w:vAlign w:val="center"/>
                </w:tcPr>
                <w:p>
                  <w:pPr>
                    <w:widowControl/>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污染物排放速率(kg/h)</w:t>
                  </w:r>
                </w:p>
              </w:tc>
              <w:tc>
                <w:tcPr>
                  <w:tcW w:w="1115" w:type="dxa"/>
                  <w:tcBorders>
                    <w:tl2br w:val="nil"/>
                    <w:tr2bl w:val="nil"/>
                  </w:tcBorders>
                  <w:vAlign w:val="center"/>
                </w:tcPr>
                <w:p>
                  <w:pPr>
                    <w:spacing w:line="276" w:lineRule="auto"/>
                    <w:ind w:right="-34" w:rightChars="-16"/>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rPr>
                    <w:t>0.0897</w:t>
                  </w:r>
                </w:p>
              </w:tc>
              <w:tc>
                <w:tcPr>
                  <w:tcW w:w="1115" w:type="dxa"/>
                  <w:tcBorders>
                    <w:tl2br w:val="nil"/>
                    <w:tr2bl w:val="nil"/>
                  </w:tcBorders>
                  <w:vAlign w:val="center"/>
                </w:tcPr>
                <w:p>
                  <w:pPr>
                    <w:spacing w:line="276" w:lineRule="auto"/>
                    <w:ind w:right="-34" w:rightChars="-16"/>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rPr>
                    <w:t>0.0882</w:t>
                  </w:r>
                </w:p>
              </w:tc>
              <w:tc>
                <w:tcPr>
                  <w:tcW w:w="1159" w:type="dxa"/>
                  <w:tcBorders>
                    <w:tl2br w:val="nil"/>
                    <w:tr2bl w:val="nil"/>
                  </w:tcBorders>
                  <w:vAlign w:val="center"/>
                </w:tcPr>
                <w:p>
                  <w:pPr>
                    <w:spacing w:line="276" w:lineRule="auto"/>
                    <w:ind w:right="-34" w:rightChars="-16"/>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rPr>
                    <w:t>0.0893</w:t>
                  </w:r>
                </w:p>
              </w:tc>
              <w:tc>
                <w:tcPr>
                  <w:tcW w:w="1101" w:type="dxa"/>
                  <w:tcBorders>
                    <w:tl2br w:val="nil"/>
                    <w:tr2bl w:val="nil"/>
                  </w:tcBorders>
                  <w:vAlign w:val="center"/>
                </w:tcPr>
                <w:p>
                  <w:pPr>
                    <w:spacing w:line="276" w:lineRule="auto"/>
                    <w:ind w:right="-34" w:rightChars="-16"/>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rPr>
                    <w:t>0.0378</w:t>
                  </w:r>
                </w:p>
              </w:tc>
              <w:tc>
                <w:tcPr>
                  <w:tcW w:w="1136" w:type="dxa"/>
                  <w:tcBorders>
                    <w:tl2br w:val="nil"/>
                    <w:tr2bl w:val="nil"/>
                  </w:tcBorders>
                  <w:vAlign w:val="center"/>
                </w:tcPr>
                <w:p>
                  <w:pPr>
                    <w:spacing w:line="276" w:lineRule="auto"/>
                    <w:ind w:right="-34" w:rightChars="-16"/>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rPr>
                    <w:t>0.0387</w:t>
                  </w:r>
                </w:p>
              </w:tc>
              <w:tc>
                <w:tcPr>
                  <w:tcW w:w="1152" w:type="dxa"/>
                  <w:tcBorders>
                    <w:tl2br w:val="nil"/>
                    <w:tr2bl w:val="nil"/>
                  </w:tcBorders>
                  <w:vAlign w:val="center"/>
                </w:tcPr>
                <w:p>
                  <w:pPr>
                    <w:spacing w:line="276" w:lineRule="auto"/>
                    <w:ind w:right="-34" w:rightChars="-16"/>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rPr>
                    <w:t>0.0342</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92" w:type="dxa"/>
                  <w:vMerge w:val="continue"/>
                  <w:tcBorders>
                    <w:tl2br w:val="nil"/>
                    <w:tr2bl w:val="nil"/>
                  </w:tcBorders>
                  <w:vAlign w:val="center"/>
                </w:tcPr>
                <w:p>
                  <w:pPr>
                    <w:spacing w:line="276" w:lineRule="auto"/>
                    <w:ind w:right="-34" w:rightChars="-16"/>
                    <w:jc w:val="center"/>
                    <w:rPr>
                      <w:rFonts w:hint="default" w:ascii="Times New Roman" w:hAnsi="Times New Roman" w:eastAsia="宋体" w:cs="Times New Roman"/>
                      <w:color w:val="000000"/>
                      <w:sz w:val="21"/>
                      <w:szCs w:val="21"/>
                    </w:rPr>
                  </w:pPr>
                </w:p>
              </w:tc>
              <w:tc>
                <w:tcPr>
                  <w:tcW w:w="2428" w:type="dxa"/>
                  <w:tcBorders>
                    <w:tl2br w:val="nil"/>
                    <w:tr2bl w:val="nil"/>
                  </w:tcBorders>
                  <w:vAlign w:val="center"/>
                </w:tcPr>
                <w:p>
                  <w:pPr>
                    <w:widowControl/>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污染物平均排放速率(kg/h)</w:t>
                  </w:r>
                </w:p>
              </w:tc>
              <w:tc>
                <w:tcPr>
                  <w:tcW w:w="3389" w:type="dxa"/>
                  <w:gridSpan w:val="3"/>
                  <w:tcBorders>
                    <w:tl2br w:val="nil"/>
                    <w:tr2bl w:val="nil"/>
                  </w:tcBorders>
                  <w:vAlign w:val="center"/>
                </w:tcPr>
                <w:p>
                  <w:pPr>
                    <w:spacing w:line="276" w:lineRule="auto"/>
                    <w:ind w:right="-34" w:rightChars="-16"/>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rPr>
                    <w:t>0.0888</w:t>
                  </w:r>
                </w:p>
              </w:tc>
              <w:tc>
                <w:tcPr>
                  <w:tcW w:w="3389" w:type="dxa"/>
                  <w:gridSpan w:val="3"/>
                  <w:tcBorders>
                    <w:tl2br w:val="nil"/>
                    <w:tr2bl w:val="nil"/>
                  </w:tcBorders>
                  <w:vAlign w:val="center"/>
                </w:tcPr>
                <w:p>
                  <w:pPr>
                    <w:spacing w:line="276" w:lineRule="auto"/>
                    <w:ind w:right="-34" w:rightChars="-16"/>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rPr>
                    <w:t>0.0369</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92" w:type="dxa"/>
                  <w:vMerge w:val="continue"/>
                  <w:tcBorders>
                    <w:tl2br w:val="nil"/>
                    <w:tr2bl w:val="nil"/>
                  </w:tcBorders>
                  <w:vAlign w:val="center"/>
                </w:tcPr>
                <w:p>
                  <w:pPr>
                    <w:spacing w:line="276" w:lineRule="auto"/>
                    <w:ind w:right="-34" w:rightChars="-16"/>
                    <w:jc w:val="center"/>
                    <w:rPr>
                      <w:rFonts w:hint="default" w:ascii="Times New Roman" w:hAnsi="Times New Roman" w:eastAsia="宋体" w:cs="Times New Roman"/>
                      <w:color w:val="000000"/>
                      <w:sz w:val="21"/>
                      <w:szCs w:val="21"/>
                    </w:rPr>
                  </w:pPr>
                </w:p>
              </w:tc>
              <w:tc>
                <w:tcPr>
                  <w:tcW w:w="2428" w:type="dxa"/>
                  <w:tcBorders>
                    <w:tl2br w:val="nil"/>
                    <w:tr2bl w:val="nil"/>
                  </w:tcBorders>
                  <w:vAlign w:val="center"/>
                </w:tcPr>
                <w:p>
                  <w:pPr>
                    <w:widowControl/>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污染物去除效率</w:t>
                  </w:r>
                  <w:r>
                    <w:rPr>
                      <w:rFonts w:hint="default" w:ascii="Times New Roman" w:hAnsi="Times New Roman" w:eastAsia="宋体" w:cs="Times New Roman"/>
                      <w:kern w:val="0"/>
                      <w:sz w:val="21"/>
                      <w:szCs w:val="21"/>
                    </w:rPr>
                    <w:t>(％)</w:t>
                  </w:r>
                </w:p>
              </w:tc>
              <w:tc>
                <w:tcPr>
                  <w:tcW w:w="6778" w:type="dxa"/>
                  <w:gridSpan w:val="6"/>
                  <w:tcBorders>
                    <w:tl2br w:val="nil"/>
                    <w:tr2bl w:val="nil"/>
                  </w:tcBorders>
                  <w:vAlign w:val="center"/>
                </w:tcPr>
                <w:p>
                  <w:pPr>
                    <w:spacing w:line="276" w:lineRule="auto"/>
                    <w:ind w:right="-34" w:rightChars="-16"/>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rPr>
                    <w:t>58</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920" w:type="dxa"/>
                  <w:gridSpan w:val="2"/>
                  <w:tcBorders>
                    <w:tl2br w:val="nil"/>
                    <w:tr2bl w:val="nil"/>
                  </w:tcBorders>
                  <w:vAlign w:val="center"/>
                </w:tcPr>
                <w:p>
                  <w:pPr>
                    <w:widowControl/>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达标情况</w:t>
                  </w:r>
                </w:p>
              </w:tc>
              <w:tc>
                <w:tcPr>
                  <w:tcW w:w="1115" w:type="dxa"/>
                  <w:tcBorders>
                    <w:tl2br w:val="nil"/>
                    <w:tr2bl w:val="nil"/>
                  </w:tcBorders>
                  <w:vAlign w:val="center"/>
                </w:tcPr>
                <w:p>
                  <w:pPr>
                    <w:spacing w:line="276" w:lineRule="auto"/>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1115" w:type="dxa"/>
                  <w:tcBorders>
                    <w:tl2br w:val="nil"/>
                    <w:tr2bl w:val="nil"/>
                  </w:tcBorders>
                  <w:vAlign w:val="center"/>
                </w:tcPr>
                <w:p>
                  <w:pPr>
                    <w:spacing w:line="276" w:lineRule="auto"/>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1159" w:type="dxa"/>
                  <w:tcBorders>
                    <w:tl2br w:val="nil"/>
                    <w:tr2bl w:val="nil"/>
                  </w:tcBorders>
                  <w:vAlign w:val="center"/>
                </w:tcPr>
                <w:p>
                  <w:pPr>
                    <w:spacing w:line="276" w:lineRule="auto"/>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1101" w:type="dxa"/>
                  <w:tcBorders>
                    <w:tl2br w:val="nil"/>
                    <w:tr2bl w:val="nil"/>
                  </w:tcBorders>
                  <w:vAlign w:val="center"/>
                </w:tcPr>
                <w:p>
                  <w:pPr>
                    <w:spacing w:line="276" w:lineRule="auto"/>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达标</w:t>
                  </w:r>
                </w:p>
              </w:tc>
              <w:tc>
                <w:tcPr>
                  <w:tcW w:w="1136" w:type="dxa"/>
                  <w:tcBorders>
                    <w:tl2br w:val="nil"/>
                    <w:tr2bl w:val="nil"/>
                  </w:tcBorders>
                  <w:vAlign w:val="center"/>
                </w:tcPr>
                <w:p>
                  <w:pPr>
                    <w:spacing w:line="276" w:lineRule="auto"/>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达标</w:t>
                  </w:r>
                </w:p>
              </w:tc>
              <w:tc>
                <w:tcPr>
                  <w:tcW w:w="1152" w:type="dxa"/>
                  <w:tcBorders>
                    <w:tl2br w:val="nil"/>
                    <w:tr2bl w:val="nil"/>
                  </w:tcBorders>
                  <w:vAlign w:val="center"/>
                </w:tcPr>
                <w:p>
                  <w:pPr>
                    <w:spacing w:line="276" w:lineRule="auto"/>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达标</w:t>
                  </w:r>
                </w:p>
              </w:tc>
            </w:tr>
          </w:tbl>
          <w:p>
            <w:pPr>
              <w:keepNext w:val="0"/>
              <w:keepLines w:val="0"/>
              <w:suppressLineNumbers w:val="0"/>
              <w:autoSpaceDE w:val="0"/>
              <w:autoSpaceDN w:val="0"/>
              <w:bidi w:val="0"/>
              <w:spacing w:before="0" w:beforeAutospacing="0" w:after="0" w:afterAutospacing="0" w:line="360" w:lineRule="auto"/>
              <w:ind w:right="0" w:firstLine="420" w:firstLineChars="200"/>
              <w:rPr>
                <w:rFonts w:hint="eastAsia"/>
              </w:rPr>
            </w:pPr>
            <w:r>
              <w:rPr>
                <w:rFonts w:hint="eastAsia" w:ascii="Times New Roman" w:eastAsia="宋体"/>
                <w:lang w:val="en-US" w:eastAsia="zh-CN"/>
              </w:rPr>
              <w:t>有组织废气</w:t>
            </w:r>
            <w:r>
              <w:rPr>
                <w:rFonts w:hint="eastAsia"/>
                <w:lang w:val="en-US" w:eastAsia="zh-CN"/>
              </w:rPr>
              <w:t>补充</w:t>
            </w:r>
            <w:r>
              <w:rPr>
                <w:rFonts w:hint="eastAsia" w:ascii="Times New Roman" w:eastAsia="宋体"/>
                <w:lang w:val="en-US" w:eastAsia="zh-CN"/>
              </w:rPr>
              <w:t>监测结果表明：2020年</w:t>
            </w:r>
            <w:r>
              <w:rPr>
                <w:rFonts w:hint="eastAsia"/>
                <w:lang w:val="en-US" w:eastAsia="zh-CN"/>
              </w:rPr>
              <w:t>8</w:t>
            </w:r>
            <w:r>
              <w:rPr>
                <w:rFonts w:hint="eastAsia" w:ascii="Times New Roman" w:eastAsia="宋体"/>
                <w:lang w:val="en-US" w:eastAsia="zh-CN"/>
              </w:rPr>
              <w:t>月2</w:t>
            </w:r>
            <w:r>
              <w:rPr>
                <w:rFonts w:hint="eastAsia"/>
                <w:lang w:val="en-US" w:eastAsia="zh-CN"/>
              </w:rPr>
              <w:t>3</w:t>
            </w:r>
            <w:r>
              <w:rPr>
                <w:rFonts w:hint="eastAsia" w:ascii="Times New Roman" w:eastAsia="宋体"/>
                <w:lang w:val="en-US" w:eastAsia="zh-CN"/>
              </w:rPr>
              <w:t>日和2020年</w:t>
            </w:r>
            <w:r>
              <w:rPr>
                <w:rFonts w:hint="eastAsia"/>
                <w:lang w:val="en-US" w:eastAsia="zh-CN"/>
              </w:rPr>
              <w:t>8</w:t>
            </w:r>
            <w:r>
              <w:rPr>
                <w:rFonts w:hint="eastAsia" w:ascii="Times New Roman" w:eastAsia="宋体"/>
                <w:lang w:val="en-US" w:eastAsia="zh-CN"/>
              </w:rPr>
              <w:t>月2</w:t>
            </w:r>
            <w:r>
              <w:rPr>
                <w:rFonts w:hint="eastAsia"/>
                <w:lang w:val="en-US" w:eastAsia="zh-CN"/>
              </w:rPr>
              <w:t>4</w:t>
            </w:r>
            <w:r>
              <w:rPr>
                <w:rFonts w:hint="eastAsia" w:ascii="Times New Roman" w:eastAsia="宋体"/>
                <w:lang w:val="en-US" w:eastAsia="zh-CN"/>
              </w:rPr>
              <w:t>日，芜湖永达科技有限公司脱模废气排气筒出口中非甲烷总烃排放浓度均满足《工业企业挥发性有机物排放控制标准》（DB13/2322—2016）中的限值。</w:t>
            </w:r>
          </w:p>
          <w:p>
            <w:pPr>
              <w:widowControl/>
              <w:spacing w:line="360" w:lineRule="auto"/>
              <w:jc w:val="center"/>
            </w:pPr>
            <w:r>
              <w:rPr>
                <w:rFonts w:hint="eastAsia"/>
              </w:rPr>
              <w:t>表7</w:t>
            </w:r>
            <w:r>
              <w:t>-</w:t>
            </w:r>
            <w:r>
              <w:rPr>
                <w:rFonts w:hint="eastAsia"/>
                <w:lang w:val="en-US" w:eastAsia="zh-CN"/>
              </w:rPr>
              <w:t xml:space="preserve">6 </w:t>
            </w:r>
            <w:r>
              <w:rPr>
                <w:rFonts w:hint="eastAsia"/>
              </w:rPr>
              <w:t xml:space="preserve"> 无组织废气监测结果表</w:t>
            </w:r>
          </w:p>
          <w:tbl>
            <w:tblPr>
              <w:tblStyle w:val="32"/>
              <w:tblW w:w="9679"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821"/>
              <w:gridCol w:w="2682"/>
              <w:gridCol w:w="1612"/>
              <w:gridCol w:w="1981"/>
              <w:gridCol w:w="1583"/>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397" w:hRule="atLeast"/>
                <w:jc w:val="center"/>
              </w:trPr>
              <w:tc>
                <w:tcPr>
                  <w:tcW w:w="1821" w:type="dxa"/>
                  <w:tcBorders>
                    <w:tl2br w:val="nil"/>
                    <w:tr2bl w:val="nil"/>
                  </w:tcBorders>
                  <w:shd w:val="clear" w:color="auto" w:fill="FFFFFF"/>
                  <w:vAlign w:val="center"/>
                </w:tcPr>
                <w:p>
                  <w:pPr>
                    <w:jc w:val="center"/>
                    <w:rPr>
                      <w:rFonts w:hint="default"/>
                    </w:rPr>
                  </w:pPr>
                  <w:r>
                    <w:rPr>
                      <w:rFonts w:hint="default"/>
                    </w:rPr>
                    <w:t>采样地点</w:t>
                  </w:r>
                </w:p>
              </w:tc>
              <w:tc>
                <w:tcPr>
                  <w:tcW w:w="2682" w:type="dxa"/>
                  <w:tcBorders>
                    <w:tl2br w:val="nil"/>
                    <w:tr2bl w:val="nil"/>
                  </w:tcBorders>
                  <w:shd w:val="clear" w:color="auto" w:fill="FFFFFF"/>
                  <w:vAlign w:val="center"/>
                </w:tcPr>
                <w:p>
                  <w:pPr>
                    <w:jc w:val="center"/>
                    <w:rPr>
                      <w:rFonts w:hint="default"/>
                    </w:rPr>
                  </w:pPr>
                  <w:r>
                    <w:rPr>
                      <w:rFonts w:hint="default"/>
                    </w:rPr>
                    <w:t>采样时间</w:t>
                  </w:r>
                </w:p>
              </w:tc>
              <w:tc>
                <w:tcPr>
                  <w:tcW w:w="1612" w:type="dxa"/>
                  <w:tcBorders>
                    <w:tl2br w:val="nil"/>
                    <w:tr2bl w:val="nil"/>
                  </w:tcBorders>
                  <w:shd w:val="clear" w:color="auto" w:fill="FFFFFF"/>
                  <w:vAlign w:val="center"/>
                </w:tcPr>
                <w:p>
                  <w:pPr>
                    <w:jc w:val="center"/>
                    <w:rPr>
                      <w:rFonts w:hint="default"/>
                    </w:rPr>
                  </w:pPr>
                  <w:r>
                    <w:rPr>
                      <w:rFonts w:hint="default"/>
                    </w:rPr>
                    <w:t>检测指标</w:t>
                  </w:r>
                </w:p>
              </w:tc>
              <w:tc>
                <w:tcPr>
                  <w:tcW w:w="1981" w:type="dxa"/>
                  <w:tcBorders>
                    <w:tl2br w:val="nil"/>
                    <w:tr2bl w:val="nil"/>
                  </w:tcBorders>
                  <w:shd w:val="clear" w:color="auto" w:fill="FFFFFF"/>
                  <w:vAlign w:val="center"/>
                </w:tcPr>
                <w:p>
                  <w:pPr>
                    <w:jc w:val="center"/>
                    <w:rPr>
                      <w:rFonts w:hint="default"/>
                    </w:rPr>
                  </w:pPr>
                  <w:r>
                    <w:rPr>
                      <w:rFonts w:hint="default"/>
                    </w:rPr>
                    <w:t>检测结果</w:t>
                  </w:r>
                </w:p>
              </w:tc>
              <w:tc>
                <w:tcPr>
                  <w:tcW w:w="1583" w:type="dxa"/>
                  <w:tcBorders>
                    <w:tl2br w:val="nil"/>
                    <w:tr2bl w:val="nil"/>
                  </w:tcBorders>
                  <w:shd w:val="clear" w:color="auto" w:fill="FFFFFF"/>
                  <w:vAlign w:val="center"/>
                </w:tcPr>
                <w:p>
                  <w:pPr>
                    <w:widowControl/>
                    <w:jc w:val="center"/>
                    <w:rPr>
                      <w:rFonts w:hint="default"/>
                    </w:rPr>
                  </w:pPr>
                  <w:r>
                    <w:rPr>
                      <w:rFonts w:hint="default"/>
                    </w:rPr>
                    <w:t>达标情况</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14" w:hRule="atLeast"/>
                <w:jc w:val="center"/>
              </w:trPr>
              <w:tc>
                <w:tcPr>
                  <w:tcW w:w="1821" w:type="dxa"/>
                  <w:vMerge w:val="restart"/>
                  <w:tcBorders>
                    <w:tl2br w:val="nil"/>
                    <w:tr2bl w:val="nil"/>
                  </w:tcBorders>
                  <w:shd w:val="clear" w:color="auto" w:fill="FFFFFF"/>
                  <w:vAlign w:val="center"/>
                </w:tcPr>
                <w:p>
                  <w:pPr>
                    <w:jc w:val="center"/>
                    <w:rPr>
                      <w:rFonts w:hint="default"/>
                    </w:rPr>
                  </w:pPr>
                  <w:bookmarkStart w:id="8" w:name="_Hlk25243238"/>
                  <w:r>
                    <w:rPr>
                      <w:rFonts w:hint="default"/>
                    </w:rPr>
                    <w:t>1#上风向1</w:t>
                  </w:r>
                </w:p>
              </w:tc>
              <w:tc>
                <w:tcPr>
                  <w:tcW w:w="2682" w:type="dxa"/>
                  <w:tcBorders>
                    <w:tl2br w:val="nil"/>
                    <w:tr2bl w:val="nil"/>
                  </w:tcBorders>
                  <w:shd w:val="clear" w:color="auto" w:fill="FFFFFF"/>
                  <w:vAlign w:val="center"/>
                </w:tcPr>
                <w:p>
                  <w:pPr>
                    <w:jc w:val="center"/>
                    <w:rPr>
                      <w:rFonts w:hint="default"/>
                    </w:rPr>
                  </w:pPr>
                  <w:r>
                    <w:rPr>
                      <w:rFonts w:hint="default"/>
                    </w:rPr>
                    <w:t>2020.07.25 11:10</w:t>
                  </w:r>
                </w:p>
              </w:tc>
              <w:tc>
                <w:tcPr>
                  <w:tcW w:w="1612" w:type="dxa"/>
                  <w:vMerge w:val="restart"/>
                  <w:tcBorders>
                    <w:tl2br w:val="nil"/>
                    <w:tr2bl w:val="nil"/>
                  </w:tcBorders>
                  <w:shd w:val="clear" w:color="auto" w:fill="FFFFFF"/>
                  <w:vAlign w:val="center"/>
                </w:tcPr>
                <w:p>
                  <w:pPr>
                    <w:jc w:val="center"/>
                    <w:rPr>
                      <w:rFonts w:hint="default"/>
                    </w:rPr>
                  </w:pPr>
                  <w:r>
                    <w:rPr>
                      <w:rFonts w:hint="default"/>
                    </w:rPr>
                    <w:t>非甲烷总烃</w:t>
                  </w:r>
                </w:p>
                <w:p>
                  <w:pPr>
                    <w:jc w:val="center"/>
                    <w:rPr>
                      <w:rFonts w:hint="default"/>
                    </w:rPr>
                  </w:pPr>
                  <w:r>
                    <w:rPr>
                      <w:rFonts w:hint="default"/>
                    </w:rPr>
                    <w:t>（mg/m³）</w:t>
                  </w:r>
                </w:p>
              </w:tc>
              <w:tc>
                <w:tcPr>
                  <w:tcW w:w="1981" w:type="dxa"/>
                  <w:tcBorders>
                    <w:tl2br w:val="nil"/>
                    <w:tr2bl w:val="nil"/>
                  </w:tcBorders>
                  <w:shd w:val="clear" w:color="auto" w:fill="FFFFFF"/>
                  <w:vAlign w:val="center"/>
                </w:tcPr>
                <w:p>
                  <w:pPr>
                    <w:jc w:val="center"/>
                    <w:rPr>
                      <w:rFonts w:hint="default"/>
                    </w:rPr>
                  </w:pPr>
                  <w:r>
                    <w:rPr>
                      <w:rFonts w:hint="default"/>
                    </w:rPr>
                    <w:t>1.13</w:t>
                  </w:r>
                </w:p>
              </w:tc>
              <w:tc>
                <w:tcPr>
                  <w:tcW w:w="1583" w:type="dxa"/>
                  <w:tcBorders>
                    <w:tl2br w:val="nil"/>
                    <w:tr2bl w:val="nil"/>
                  </w:tcBorders>
                  <w:shd w:val="clear" w:color="auto" w:fill="FFFFFF"/>
                  <w:vAlign w:val="center"/>
                </w:tcPr>
                <w:p>
                  <w:pPr>
                    <w:widowControl/>
                    <w:jc w:val="center"/>
                    <w:rPr>
                      <w:rFonts w:hint="default"/>
                    </w:rPr>
                  </w:pPr>
                  <w:r>
                    <w:rPr>
                      <w:rFonts w:hint="default"/>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14" w:hRule="atLeast"/>
                <w:jc w:val="center"/>
              </w:trPr>
              <w:tc>
                <w:tcPr>
                  <w:tcW w:w="1821" w:type="dxa"/>
                  <w:vMerge w:val="continue"/>
                  <w:tcBorders>
                    <w:tl2br w:val="nil"/>
                    <w:tr2bl w:val="nil"/>
                  </w:tcBorders>
                  <w:shd w:val="clear" w:color="auto" w:fill="FFFFFF"/>
                  <w:vAlign w:val="center"/>
                </w:tcPr>
                <w:p>
                  <w:pPr>
                    <w:jc w:val="center"/>
                    <w:rPr>
                      <w:rFonts w:hint="default"/>
                    </w:rPr>
                  </w:pPr>
                </w:p>
              </w:tc>
              <w:tc>
                <w:tcPr>
                  <w:tcW w:w="2682" w:type="dxa"/>
                  <w:tcBorders>
                    <w:tl2br w:val="nil"/>
                    <w:tr2bl w:val="nil"/>
                  </w:tcBorders>
                  <w:shd w:val="clear" w:color="auto" w:fill="FFFFFF"/>
                  <w:vAlign w:val="center"/>
                </w:tcPr>
                <w:p>
                  <w:pPr>
                    <w:jc w:val="center"/>
                    <w:rPr>
                      <w:rFonts w:hint="default"/>
                    </w:rPr>
                  </w:pPr>
                  <w:r>
                    <w:rPr>
                      <w:rFonts w:hint="default"/>
                    </w:rPr>
                    <w:t>2020.07.25 12:10</w:t>
                  </w:r>
                </w:p>
              </w:tc>
              <w:tc>
                <w:tcPr>
                  <w:tcW w:w="1612" w:type="dxa"/>
                  <w:vMerge w:val="continue"/>
                  <w:tcBorders>
                    <w:tl2br w:val="nil"/>
                    <w:tr2bl w:val="nil"/>
                  </w:tcBorders>
                  <w:shd w:val="clear" w:color="auto" w:fill="FFFFFF"/>
                  <w:vAlign w:val="center"/>
                </w:tcPr>
                <w:p>
                  <w:pPr>
                    <w:jc w:val="center"/>
                    <w:rPr>
                      <w:rFonts w:hint="default"/>
                    </w:rPr>
                  </w:pPr>
                </w:p>
              </w:tc>
              <w:tc>
                <w:tcPr>
                  <w:tcW w:w="1981" w:type="dxa"/>
                  <w:tcBorders>
                    <w:tl2br w:val="nil"/>
                    <w:tr2bl w:val="nil"/>
                  </w:tcBorders>
                  <w:shd w:val="clear" w:color="auto" w:fill="FFFFFF"/>
                  <w:vAlign w:val="center"/>
                </w:tcPr>
                <w:p>
                  <w:pPr>
                    <w:jc w:val="center"/>
                    <w:rPr>
                      <w:rFonts w:hint="default"/>
                    </w:rPr>
                  </w:pPr>
                  <w:r>
                    <w:rPr>
                      <w:rFonts w:hint="default"/>
                    </w:rPr>
                    <w:t>1.00</w:t>
                  </w:r>
                </w:p>
              </w:tc>
              <w:tc>
                <w:tcPr>
                  <w:tcW w:w="1583" w:type="dxa"/>
                  <w:tcBorders>
                    <w:tl2br w:val="nil"/>
                    <w:tr2bl w:val="nil"/>
                  </w:tcBorders>
                  <w:shd w:val="clear" w:color="auto" w:fill="FFFFFF"/>
                  <w:vAlign w:val="center"/>
                </w:tcPr>
                <w:p>
                  <w:pPr>
                    <w:widowControl/>
                    <w:jc w:val="center"/>
                    <w:rPr>
                      <w:rFonts w:hint="default"/>
                    </w:rPr>
                  </w:pPr>
                  <w:r>
                    <w:rPr>
                      <w:rFonts w:hint="default"/>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14" w:hRule="atLeast"/>
                <w:jc w:val="center"/>
              </w:trPr>
              <w:tc>
                <w:tcPr>
                  <w:tcW w:w="1821" w:type="dxa"/>
                  <w:vMerge w:val="continue"/>
                  <w:tcBorders>
                    <w:tl2br w:val="nil"/>
                    <w:tr2bl w:val="nil"/>
                  </w:tcBorders>
                  <w:shd w:val="clear" w:color="auto" w:fill="FFFFFF"/>
                  <w:vAlign w:val="center"/>
                </w:tcPr>
                <w:p>
                  <w:pPr>
                    <w:jc w:val="center"/>
                    <w:rPr>
                      <w:rFonts w:hint="default"/>
                    </w:rPr>
                  </w:pPr>
                </w:p>
              </w:tc>
              <w:tc>
                <w:tcPr>
                  <w:tcW w:w="2682" w:type="dxa"/>
                  <w:tcBorders>
                    <w:tl2br w:val="nil"/>
                    <w:tr2bl w:val="nil"/>
                  </w:tcBorders>
                  <w:shd w:val="clear" w:color="auto" w:fill="FFFFFF"/>
                  <w:vAlign w:val="center"/>
                </w:tcPr>
                <w:p>
                  <w:pPr>
                    <w:jc w:val="center"/>
                    <w:rPr>
                      <w:rFonts w:hint="default"/>
                    </w:rPr>
                  </w:pPr>
                  <w:r>
                    <w:rPr>
                      <w:rFonts w:hint="default"/>
                    </w:rPr>
                    <w:t>2020.07.25 13:10</w:t>
                  </w:r>
                </w:p>
              </w:tc>
              <w:tc>
                <w:tcPr>
                  <w:tcW w:w="1612" w:type="dxa"/>
                  <w:vMerge w:val="continue"/>
                  <w:tcBorders>
                    <w:tl2br w:val="nil"/>
                    <w:tr2bl w:val="nil"/>
                  </w:tcBorders>
                  <w:shd w:val="clear" w:color="auto" w:fill="FFFFFF"/>
                  <w:vAlign w:val="center"/>
                </w:tcPr>
                <w:p>
                  <w:pPr>
                    <w:jc w:val="center"/>
                    <w:rPr>
                      <w:rFonts w:hint="default"/>
                    </w:rPr>
                  </w:pPr>
                </w:p>
              </w:tc>
              <w:tc>
                <w:tcPr>
                  <w:tcW w:w="1981" w:type="dxa"/>
                  <w:tcBorders>
                    <w:tl2br w:val="nil"/>
                    <w:tr2bl w:val="nil"/>
                  </w:tcBorders>
                  <w:shd w:val="clear" w:color="auto" w:fill="FFFFFF"/>
                  <w:vAlign w:val="center"/>
                </w:tcPr>
                <w:p>
                  <w:pPr>
                    <w:jc w:val="center"/>
                    <w:rPr>
                      <w:rFonts w:hint="default"/>
                    </w:rPr>
                  </w:pPr>
                  <w:r>
                    <w:rPr>
                      <w:rFonts w:hint="default"/>
                    </w:rPr>
                    <w:t>1.02</w:t>
                  </w:r>
                </w:p>
              </w:tc>
              <w:tc>
                <w:tcPr>
                  <w:tcW w:w="1583" w:type="dxa"/>
                  <w:tcBorders>
                    <w:tl2br w:val="nil"/>
                    <w:tr2bl w:val="nil"/>
                  </w:tcBorders>
                  <w:shd w:val="clear" w:color="auto" w:fill="FFFFFF"/>
                  <w:vAlign w:val="center"/>
                </w:tcPr>
                <w:p>
                  <w:pPr>
                    <w:widowControl/>
                    <w:jc w:val="center"/>
                    <w:rPr>
                      <w:rFonts w:hint="default"/>
                    </w:rPr>
                  </w:pPr>
                  <w:r>
                    <w:rPr>
                      <w:rFonts w:hint="default"/>
                    </w:rPr>
                    <w:t>达标</w:t>
                  </w:r>
                </w:p>
              </w:tc>
            </w:tr>
            <w:bookmarkEnd w:id="8"/>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14" w:hRule="atLeast"/>
                <w:jc w:val="center"/>
              </w:trPr>
              <w:tc>
                <w:tcPr>
                  <w:tcW w:w="1821" w:type="dxa"/>
                  <w:vMerge w:val="continue"/>
                  <w:tcBorders>
                    <w:tl2br w:val="nil"/>
                    <w:tr2bl w:val="nil"/>
                  </w:tcBorders>
                  <w:shd w:val="clear" w:color="auto" w:fill="FFFFFF"/>
                  <w:vAlign w:val="center"/>
                </w:tcPr>
                <w:p>
                  <w:pPr>
                    <w:jc w:val="center"/>
                    <w:rPr>
                      <w:rFonts w:hint="default"/>
                    </w:rPr>
                  </w:pPr>
                </w:p>
              </w:tc>
              <w:tc>
                <w:tcPr>
                  <w:tcW w:w="2682" w:type="dxa"/>
                  <w:tcBorders>
                    <w:tl2br w:val="nil"/>
                    <w:tr2bl w:val="nil"/>
                  </w:tcBorders>
                  <w:shd w:val="clear" w:color="auto" w:fill="FFFFFF"/>
                  <w:vAlign w:val="center"/>
                </w:tcPr>
                <w:p>
                  <w:pPr>
                    <w:jc w:val="center"/>
                    <w:rPr>
                      <w:rFonts w:hint="default"/>
                    </w:rPr>
                  </w:pPr>
                  <w:r>
                    <w:rPr>
                      <w:rFonts w:hint="default"/>
                    </w:rPr>
                    <w:t>2020.07.26 11:05</w:t>
                  </w:r>
                </w:p>
              </w:tc>
              <w:tc>
                <w:tcPr>
                  <w:tcW w:w="1612" w:type="dxa"/>
                  <w:vMerge w:val="continue"/>
                  <w:tcBorders>
                    <w:tl2br w:val="nil"/>
                    <w:tr2bl w:val="nil"/>
                  </w:tcBorders>
                  <w:shd w:val="clear" w:color="auto" w:fill="FFFFFF"/>
                  <w:vAlign w:val="center"/>
                </w:tcPr>
                <w:p>
                  <w:pPr>
                    <w:jc w:val="center"/>
                    <w:rPr>
                      <w:rFonts w:hint="default"/>
                    </w:rPr>
                  </w:pPr>
                </w:p>
              </w:tc>
              <w:tc>
                <w:tcPr>
                  <w:tcW w:w="1981" w:type="dxa"/>
                  <w:tcBorders>
                    <w:tl2br w:val="nil"/>
                    <w:tr2bl w:val="nil"/>
                  </w:tcBorders>
                  <w:shd w:val="clear" w:color="auto" w:fill="FFFFFF"/>
                  <w:vAlign w:val="center"/>
                </w:tcPr>
                <w:p>
                  <w:pPr>
                    <w:jc w:val="center"/>
                    <w:rPr>
                      <w:rFonts w:hint="default"/>
                    </w:rPr>
                  </w:pPr>
                  <w:r>
                    <w:rPr>
                      <w:rFonts w:hint="default"/>
                    </w:rPr>
                    <w:t>1.02</w:t>
                  </w:r>
                </w:p>
              </w:tc>
              <w:tc>
                <w:tcPr>
                  <w:tcW w:w="1583" w:type="dxa"/>
                  <w:tcBorders>
                    <w:tl2br w:val="nil"/>
                    <w:tr2bl w:val="nil"/>
                  </w:tcBorders>
                  <w:shd w:val="clear" w:color="auto" w:fill="FFFFFF"/>
                  <w:vAlign w:val="center"/>
                </w:tcPr>
                <w:p>
                  <w:pPr>
                    <w:widowControl/>
                    <w:jc w:val="center"/>
                    <w:rPr>
                      <w:rFonts w:hint="default"/>
                    </w:rPr>
                  </w:pPr>
                  <w:r>
                    <w:rPr>
                      <w:rFonts w:hint="default"/>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14" w:hRule="atLeast"/>
                <w:jc w:val="center"/>
              </w:trPr>
              <w:tc>
                <w:tcPr>
                  <w:tcW w:w="1821" w:type="dxa"/>
                  <w:vMerge w:val="continue"/>
                  <w:tcBorders>
                    <w:tl2br w:val="nil"/>
                    <w:tr2bl w:val="nil"/>
                  </w:tcBorders>
                  <w:shd w:val="clear" w:color="auto" w:fill="FFFFFF"/>
                  <w:vAlign w:val="center"/>
                </w:tcPr>
                <w:p>
                  <w:pPr>
                    <w:jc w:val="center"/>
                    <w:rPr>
                      <w:rFonts w:hint="default"/>
                    </w:rPr>
                  </w:pPr>
                </w:p>
              </w:tc>
              <w:tc>
                <w:tcPr>
                  <w:tcW w:w="2682" w:type="dxa"/>
                  <w:tcBorders>
                    <w:tl2br w:val="nil"/>
                    <w:tr2bl w:val="nil"/>
                  </w:tcBorders>
                  <w:shd w:val="clear" w:color="auto" w:fill="FFFFFF"/>
                  <w:vAlign w:val="center"/>
                </w:tcPr>
                <w:p>
                  <w:pPr>
                    <w:jc w:val="center"/>
                    <w:rPr>
                      <w:rFonts w:hint="default"/>
                    </w:rPr>
                  </w:pPr>
                  <w:r>
                    <w:rPr>
                      <w:rFonts w:hint="default"/>
                    </w:rPr>
                    <w:t>2020.07.26 12:05</w:t>
                  </w:r>
                </w:p>
              </w:tc>
              <w:tc>
                <w:tcPr>
                  <w:tcW w:w="1612" w:type="dxa"/>
                  <w:vMerge w:val="continue"/>
                  <w:tcBorders>
                    <w:tl2br w:val="nil"/>
                    <w:tr2bl w:val="nil"/>
                  </w:tcBorders>
                  <w:shd w:val="clear" w:color="auto" w:fill="FFFFFF"/>
                  <w:vAlign w:val="center"/>
                </w:tcPr>
                <w:p>
                  <w:pPr>
                    <w:jc w:val="center"/>
                    <w:rPr>
                      <w:rFonts w:hint="default"/>
                    </w:rPr>
                  </w:pPr>
                </w:p>
              </w:tc>
              <w:tc>
                <w:tcPr>
                  <w:tcW w:w="1981" w:type="dxa"/>
                  <w:tcBorders>
                    <w:tl2br w:val="nil"/>
                    <w:tr2bl w:val="nil"/>
                  </w:tcBorders>
                  <w:shd w:val="clear" w:color="auto" w:fill="FFFFFF"/>
                  <w:vAlign w:val="center"/>
                </w:tcPr>
                <w:p>
                  <w:pPr>
                    <w:jc w:val="center"/>
                    <w:rPr>
                      <w:rFonts w:hint="default"/>
                    </w:rPr>
                  </w:pPr>
                  <w:r>
                    <w:rPr>
                      <w:rFonts w:hint="default"/>
                    </w:rPr>
                    <w:t>0.95</w:t>
                  </w:r>
                </w:p>
              </w:tc>
              <w:tc>
                <w:tcPr>
                  <w:tcW w:w="1583" w:type="dxa"/>
                  <w:tcBorders>
                    <w:tl2br w:val="nil"/>
                    <w:tr2bl w:val="nil"/>
                  </w:tcBorders>
                  <w:shd w:val="clear" w:color="auto" w:fill="FFFFFF"/>
                  <w:vAlign w:val="center"/>
                </w:tcPr>
                <w:p>
                  <w:pPr>
                    <w:widowControl/>
                    <w:jc w:val="center"/>
                    <w:rPr>
                      <w:rFonts w:hint="default"/>
                    </w:rPr>
                  </w:pPr>
                  <w:r>
                    <w:rPr>
                      <w:rFonts w:hint="default"/>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14" w:hRule="atLeast"/>
                <w:jc w:val="center"/>
              </w:trPr>
              <w:tc>
                <w:tcPr>
                  <w:tcW w:w="1821" w:type="dxa"/>
                  <w:vMerge w:val="continue"/>
                  <w:tcBorders>
                    <w:tl2br w:val="nil"/>
                    <w:tr2bl w:val="nil"/>
                  </w:tcBorders>
                  <w:shd w:val="clear" w:color="auto" w:fill="FFFFFF"/>
                  <w:vAlign w:val="center"/>
                </w:tcPr>
                <w:p>
                  <w:pPr>
                    <w:jc w:val="center"/>
                    <w:rPr>
                      <w:rFonts w:hint="default"/>
                    </w:rPr>
                  </w:pPr>
                </w:p>
              </w:tc>
              <w:tc>
                <w:tcPr>
                  <w:tcW w:w="2682" w:type="dxa"/>
                  <w:tcBorders>
                    <w:tl2br w:val="nil"/>
                    <w:tr2bl w:val="nil"/>
                  </w:tcBorders>
                  <w:shd w:val="clear" w:color="auto" w:fill="FFFFFF"/>
                  <w:vAlign w:val="center"/>
                </w:tcPr>
                <w:p>
                  <w:pPr>
                    <w:jc w:val="center"/>
                    <w:rPr>
                      <w:rFonts w:hint="default"/>
                    </w:rPr>
                  </w:pPr>
                  <w:r>
                    <w:rPr>
                      <w:rFonts w:hint="default"/>
                    </w:rPr>
                    <w:t>2020.07.26 13:05</w:t>
                  </w:r>
                </w:p>
              </w:tc>
              <w:tc>
                <w:tcPr>
                  <w:tcW w:w="1612" w:type="dxa"/>
                  <w:vMerge w:val="continue"/>
                  <w:tcBorders>
                    <w:tl2br w:val="nil"/>
                    <w:tr2bl w:val="nil"/>
                  </w:tcBorders>
                  <w:shd w:val="clear" w:color="auto" w:fill="FFFFFF"/>
                  <w:vAlign w:val="center"/>
                </w:tcPr>
                <w:p>
                  <w:pPr>
                    <w:jc w:val="center"/>
                    <w:rPr>
                      <w:rFonts w:hint="default"/>
                    </w:rPr>
                  </w:pPr>
                </w:p>
              </w:tc>
              <w:tc>
                <w:tcPr>
                  <w:tcW w:w="1981" w:type="dxa"/>
                  <w:tcBorders>
                    <w:tl2br w:val="nil"/>
                    <w:tr2bl w:val="nil"/>
                  </w:tcBorders>
                  <w:shd w:val="clear" w:color="auto" w:fill="FFFFFF"/>
                  <w:vAlign w:val="center"/>
                </w:tcPr>
                <w:p>
                  <w:pPr>
                    <w:jc w:val="center"/>
                    <w:rPr>
                      <w:rFonts w:hint="default"/>
                    </w:rPr>
                  </w:pPr>
                  <w:r>
                    <w:rPr>
                      <w:rFonts w:hint="default"/>
                    </w:rPr>
                    <w:t>1.00</w:t>
                  </w:r>
                </w:p>
              </w:tc>
              <w:tc>
                <w:tcPr>
                  <w:tcW w:w="1583" w:type="dxa"/>
                  <w:tcBorders>
                    <w:tl2br w:val="nil"/>
                    <w:tr2bl w:val="nil"/>
                  </w:tcBorders>
                  <w:shd w:val="clear" w:color="auto" w:fill="FFFFFF"/>
                  <w:vAlign w:val="center"/>
                </w:tcPr>
                <w:p>
                  <w:pPr>
                    <w:widowControl/>
                    <w:jc w:val="center"/>
                    <w:rPr>
                      <w:rFonts w:hint="default"/>
                    </w:rPr>
                  </w:pPr>
                  <w:r>
                    <w:rPr>
                      <w:rFonts w:hint="default"/>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14" w:hRule="atLeast"/>
                <w:jc w:val="center"/>
              </w:trPr>
              <w:tc>
                <w:tcPr>
                  <w:tcW w:w="1821" w:type="dxa"/>
                  <w:vMerge w:val="restart"/>
                  <w:tcBorders>
                    <w:tl2br w:val="nil"/>
                    <w:tr2bl w:val="nil"/>
                  </w:tcBorders>
                  <w:shd w:val="clear" w:color="auto" w:fill="FFFFFF"/>
                  <w:vAlign w:val="center"/>
                </w:tcPr>
                <w:p>
                  <w:pPr>
                    <w:jc w:val="center"/>
                    <w:rPr>
                      <w:rFonts w:hint="default"/>
                    </w:rPr>
                  </w:pPr>
                  <w:r>
                    <w:rPr>
                      <w:rFonts w:hint="default"/>
                    </w:rPr>
                    <w:t>2#下风向1</w:t>
                  </w:r>
                </w:p>
              </w:tc>
              <w:tc>
                <w:tcPr>
                  <w:tcW w:w="2682" w:type="dxa"/>
                  <w:tcBorders>
                    <w:tl2br w:val="nil"/>
                    <w:tr2bl w:val="nil"/>
                  </w:tcBorders>
                  <w:shd w:val="clear" w:color="auto" w:fill="FFFFFF"/>
                  <w:vAlign w:val="center"/>
                </w:tcPr>
                <w:p>
                  <w:pPr>
                    <w:jc w:val="center"/>
                    <w:rPr>
                      <w:rFonts w:hint="default"/>
                    </w:rPr>
                  </w:pPr>
                  <w:r>
                    <w:rPr>
                      <w:rFonts w:hint="default"/>
                    </w:rPr>
                    <w:t>2020.07.25 11:20</w:t>
                  </w:r>
                </w:p>
              </w:tc>
              <w:tc>
                <w:tcPr>
                  <w:tcW w:w="1612" w:type="dxa"/>
                  <w:vMerge w:val="restart"/>
                  <w:tcBorders>
                    <w:tl2br w:val="nil"/>
                    <w:tr2bl w:val="nil"/>
                  </w:tcBorders>
                  <w:shd w:val="clear" w:color="auto" w:fill="FFFFFF"/>
                  <w:vAlign w:val="center"/>
                </w:tcPr>
                <w:p>
                  <w:pPr>
                    <w:jc w:val="center"/>
                    <w:rPr>
                      <w:rFonts w:hint="default"/>
                    </w:rPr>
                  </w:pPr>
                  <w:r>
                    <w:rPr>
                      <w:rFonts w:hint="default"/>
                    </w:rPr>
                    <w:t>非甲烷总烃</w:t>
                  </w:r>
                </w:p>
                <w:p>
                  <w:pPr>
                    <w:jc w:val="center"/>
                    <w:rPr>
                      <w:rFonts w:hint="default"/>
                    </w:rPr>
                  </w:pPr>
                  <w:r>
                    <w:rPr>
                      <w:rFonts w:hint="default"/>
                    </w:rPr>
                    <w:t>（mg/m³）</w:t>
                  </w:r>
                </w:p>
              </w:tc>
              <w:tc>
                <w:tcPr>
                  <w:tcW w:w="1981" w:type="dxa"/>
                  <w:tcBorders>
                    <w:tl2br w:val="nil"/>
                    <w:tr2bl w:val="nil"/>
                  </w:tcBorders>
                  <w:shd w:val="clear" w:color="auto" w:fill="FFFFFF"/>
                  <w:vAlign w:val="center"/>
                </w:tcPr>
                <w:p>
                  <w:pPr>
                    <w:jc w:val="center"/>
                    <w:rPr>
                      <w:rFonts w:hint="default"/>
                    </w:rPr>
                  </w:pPr>
                  <w:r>
                    <w:rPr>
                      <w:rFonts w:hint="default"/>
                    </w:rPr>
                    <w:t>0.88</w:t>
                  </w:r>
                </w:p>
              </w:tc>
              <w:tc>
                <w:tcPr>
                  <w:tcW w:w="1583" w:type="dxa"/>
                  <w:tcBorders>
                    <w:tl2br w:val="nil"/>
                    <w:tr2bl w:val="nil"/>
                  </w:tcBorders>
                  <w:shd w:val="clear" w:color="auto" w:fill="FFFFFF"/>
                  <w:vAlign w:val="center"/>
                </w:tcPr>
                <w:p>
                  <w:pPr>
                    <w:widowControl/>
                    <w:jc w:val="center"/>
                    <w:rPr>
                      <w:rFonts w:hint="default"/>
                    </w:rPr>
                  </w:pPr>
                  <w:r>
                    <w:rPr>
                      <w:rFonts w:hint="default"/>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14" w:hRule="atLeast"/>
                <w:jc w:val="center"/>
              </w:trPr>
              <w:tc>
                <w:tcPr>
                  <w:tcW w:w="1821" w:type="dxa"/>
                  <w:vMerge w:val="continue"/>
                  <w:tcBorders>
                    <w:tl2br w:val="nil"/>
                    <w:tr2bl w:val="nil"/>
                  </w:tcBorders>
                  <w:shd w:val="clear" w:color="auto" w:fill="FFFFFF"/>
                  <w:vAlign w:val="center"/>
                </w:tcPr>
                <w:p>
                  <w:pPr>
                    <w:jc w:val="center"/>
                    <w:rPr>
                      <w:rFonts w:hint="default"/>
                    </w:rPr>
                  </w:pPr>
                </w:p>
              </w:tc>
              <w:tc>
                <w:tcPr>
                  <w:tcW w:w="2682" w:type="dxa"/>
                  <w:tcBorders>
                    <w:tl2br w:val="nil"/>
                    <w:tr2bl w:val="nil"/>
                  </w:tcBorders>
                  <w:shd w:val="clear" w:color="auto" w:fill="FFFFFF"/>
                  <w:vAlign w:val="center"/>
                </w:tcPr>
                <w:p>
                  <w:pPr>
                    <w:jc w:val="center"/>
                    <w:rPr>
                      <w:rFonts w:hint="default"/>
                    </w:rPr>
                  </w:pPr>
                  <w:r>
                    <w:rPr>
                      <w:rFonts w:hint="default"/>
                    </w:rPr>
                    <w:t>2020.07.25 12:20</w:t>
                  </w:r>
                </w:p>
              </w:tc>
              <w:tc>
                <w:tcPr>
                  <w:tcW w:w="1612" w:type="dxa"/>
                  <w:vMerge w:val="continue"/>
                  <w:tcBorders>
                    <w:tl2br w:val="nil"/>
                    <w:tr2bl w:val="nil"/>
                  </w:tcBorders>
                  <w:shd w:val="clear" w:color="auto" w:fill="FFFFFF"/>
                  <w:vAlign w:val="center"/>
                </w:tcPr>
                <w:p>
                  <w:pPr>
                    <w:jc w:val="center"/>
                    <w:rPr>
                      <w:rFonts w:hint="default"/>
                    </w:rPr>
                  </w:pPr>
                </w:p>
              </w:tc>
              <w:tc>
                <w:tcPr>
                  <w:tcW w:w="1981" w:type="dxa"/>
                  <w:tcBorders>
                    <w:tl2br w:val="nil"/>
                    <w:tr2bl w:val="nil"/>
                  </w:tcBorders>
                  <w:shd w:val="clear" w:color="auto" w:fill="FFFFFF"/>
                  <w:vAlign w:val="center"/>
                </w:tcPr>
                <w:p>
                  <w:pPr>
                    <w:jc w:val="center"/>
                    <w:rPr>
                      <w:rFonts w:hint="default"/>
                    </w:rPr>
                  </w:pPr>
                  <w:r>
                    <w:rPr>
                      <w:rFonts w:hint="default"/>
                    </w:rPr>
                    <w:t>0.97</w:t>
                  </w:r>
                </w:p>
              </w:tc>
              <w:tc>
                <w:tcPr>
                  <w:tcW w:w="1583" w:type="dxa"/>
                  <w:tcBorders>
                    <w:tl2br w:val="nil"/>
                    <w:tr2bl w:val="nil"/>
                  </w:tcBorders>
                  <w:shd w:val="clear" w:color="auto" w:fill="FFFFFF"/>
                  <w:vAlign w:val="center"/>
                </w:tcPr>
                <w:p>
                  <w:pPr>
                    <w:widowControl/>
                    <w:jc w:val="center"/>
                    <w:rPr>
                      <w:rFonts w:hint="default"/>
                    </w:rPr>
                  </w:pPr>
                  <w:r>
                    <w:rPr>
                      <w:rFonts w:hint="default"/>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14" w:hRule="atLeast"/>
                <w:jc w:val="center"/>
              </w:trPr>
              <w:tc>
                <w:tcPr>
                  <w:tcW w:w="1821" w:type="dxa"/>
                  <w:vMerge w:val="continue"/>
                  <w:tcBorders>
                    <w:tl2br w:val="nil"/>
                    <w:tr2bl w:val="nil"/>
                  </w:tcBorders>
                  <w:shd w:val="clear" w:color="auto" w:fill="FFFFFF"/>
                  <w:vAlign w:val="center"/>
                </w:tcPr>
                <w:p>
                  <w:pPr>
                    <w:jc w:val="center"/>
                    <w:rPr>
                      <w:rFonts w:hint="default"/>
                    </w:rPr>
                  </w:pPr>
                </w:p>
              </w:tc>
              <w:tc>
                <w:tcPr>
                  <w:tcW w:w="2682" w:type="dxa"/>
                  <w:tcBorders>
                    <w:tl2br w:val="nil"/>
                    <w:tr2bl w:val="nil"/>
                  </w:tcBorders>
                  <w:shd w:val="clear" w:color="auto" w:fill="FFFFFF"/>
                  <w:vAlign w:val="center"/>
                </w:tcPr>
                <w:p>
                  <w:pPr>
                    <w:jc w:val="center"/>
                    <w:rPr>
                      <w:rFonts w:hint="default"/>
                    </w:rPr>
                  </w:pPr>
                  <w:r>
                    <w:rPr>
                      <w:rFonts w:hint="default"/>
                    </w:rPr>
                    <w:t>2020.07.25 13:20</w:t>
                  </w:r>
                </w:p>
              </w:tc>
              <w:tc>
                <w:tcPr>
                  <w:tcW w:w="1612" w:type="dxa"/>
                  <w:vMerge w:val="continue"/>
                  <w:tcBorders>
                    <w:tl2br w:val="nil"/>
                    <w:tr2bl w:val="nil"/>
                  </w:tcBorders>
                  <w:shd w:val="clear" w:color="auto" w:fill="FFFFFF"/>
                  <w:vAlign w:val="center"/>
                </w:tcPr>
                <w:p>
                  <w:pPr>
                    <w:jc w:val="center"/>
                    <w:rPr>
                      <w:rFonts w:hint="default"/>
                    </w:rPr>
                  </w:pPr>
                </w:p>
              </w:tc>
              <w:tc>
                <w:tcPr>
                  <w:tcW w:w="1981" w:type="dxa"/>
                  <w:tcBorders>
                    <w:tl2br w:val="nil"/>
                    <w:tr2bl w:val="nil"/>
                  </w:tcBorders>
                  <w:shd w:val="clear" w:color="auto" w:fill="FFFFFF"/>
                  <w:vAlign w:val="center"/>
                </w:tcPr>
                <w:p>
                  <w:pPr>
                    <w:jc w:val="center"/>
                    <w:rPr>
                      <w:rFonts w:hint="default"/>
                    </w:rPr>
                  </w:pPr>
                  <w:r>
                    <w:rPr>
                      <w:rFonts w:hint="default"/>
                    </w:rPr>
                    <w:t>1.07</w:t>
                  </w:r>
                </w:p>
              </w:tc>
              <w:tc>
                <w:tcPr>
                  <w:tcW w:w="1583" w:type="dxa"/>
                  <w:tcBorders>
                    <w:tl2br w:val="nil"/>
                    <w:tr2bl w:val="nil"/>
                  </w:tcBorders>
                  <w:shd w:val="clear" w:color="auto" w:fill="FFFFFF"/>
                  <w:vAlign w:val="center"/>
                </w:tcPr>
                <w:p>
                  <w:pPr>
                    <w:widowControl/>
                    <w:jc w:val="center"/>
                    <w:rPr>
                      <w:rFonts w:hint="default"/>
                    </w:rPr>
                  </w:pPr>
                  <w:r>
                    <w:rPr>
                      <w:rFonts w:hint="default"/>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14" w:hRule="atLeast"/>
                <w:jc w:val="center"/>
              </w:trPr>
              <w:tc>
                <w:tcPr>
                  <w:tcW w:w="1821" w:type="dxa"/>
                  <w:vMerge w:val="continue"/>
                  <w:tcBorders>
                    <w:tl2br w:val="nil"/>
                    <w:tr2bl w:val="nil"/>
                  </w:tcBorders>
                  <w:shd w:val="clear" w:color="auto" w:fill="FFFFFF"/>
                  <w:vAlign w:val="center"/>
                </w:tcPr>
                <w:p>
                  <w:pPr>
                    <w:jc w:val="center"/>
                    <w:rPr>
                      <w:rFonts w:hint="default"/>
                    </w:rPr>
                  </w:pPr>
                </w:p>
              </w:tc>
              <w:tc>
                <w:tcPr>
                  <w:tcW w:w="2682" w:type="dxa"/>
                  <w:tcBorders>
                    <w:tl2br w:val="nil"/>
                    <w:tr2bl w:val="nil"/>
                  </w:tcBorders>
                  <w:shd w:val="clear" w:color="auto" w:fill="FFFFFF"/>
                  <w:vAlign w:val="center"/>
                </w:tcPr>
                <w:p>
                  <w:pPr>
                    <w:jc w:val="center"/>
                    <w:rPr>
                      <w:rFonts w:hint="default"/>
                    </w:rPr>
                  </w:pPr>
                  <w:r>
                    <w:rPr>
                      <w:rFonts w:hint="default"/>
                    </w:rPr>
                    <w:t>2020.07.26 11:15</w:t>
                  </w:r>
                </w:p>
              </w:tc>
              <w:tc>
                <w:tcPr>
                  <w:tcW w:w="1612" w:type="dxa"/>
                  <w:vMerge w:val="continue"/>
                  <w:tcBorders>
                    <w:tl2br w:val="nil"/>
                    <w:tr2bl w:val="nil"/>
                  </w:tcBorders>
                  <w:shd w:val="clear" w:color="auto" w:fill="FFFFFF"/>
                  <w:vAlign w:val="center"/>
                </w:tcPr>
                <w:p>
                  <w:pPr>
                    <w:jc w:val="center"/>
                    <w:rPr>
                      <w:rFonts w:hint="default"/>
                    </w:rPr>
                  </w:pPr>
                </w:p>
              </w:tc>
              <w:tc>
                <w:tcPr>
                  <w:tcW w:w="1981" w:type="dxa"/>
                  <w:tcBorders>
                    <w:tl2br w:val="nil"/>
                    <w:tr2bl w:val="nil"/>
                  </w:tcBorders>
                  <w:shd w:val="clear" w:color="auto" w:fill="FFFFFF"/>
                  <w:vAlign w:val="center"/>
                </w:tcPr>
                <w:p>
                  <w:pPr>
                    <w:jc w:val="center"/>
                    <w:rPr>
                      <w:rFonts w:hint="default"/>
                    </w:rPr>
                  </w:pPr>
                  <w:r>
                    <w:rPr>
                      <w:rFonts w:hint="default"/>
                    </w:rPr>
                    <w:t>1.16</w:t>
                  </w:r>
                </w:p>
              </w:tc>
              <w:tc>
                <w:tcPr>
                  <w:tcW w:w="1583" w:type="dxa"/>
                  <w:tcBorders>
                    <w:tl2br w:val="nil"/>
                    <w:tr2bl w:val="nil"/>
                  </w:tcBorders>
                  <w:shd w:val="clear" w:color="auto" w:fill="FFFFFF"/>
                  <w:vAlign w:val="center"/>
                </w:tcPr>
                <w:p>
                  <w:pPr>
                    <w:widowControl/>
                    <w:jc w:val="center"/>
                    <w:rPr>
                      <w:rFonts w:hint="default"/>
                    </w:rPr>
                  </w:pPr>
                  <w:r>
                    <w:rPr>
                      <w:rFonts w:hint="default"/>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14" w:hRule="atLeast"/>
                <w:jc w:val="center"/>
              </w:trPr>
              <w:tc>
                <w:tcPr>
                  <w:tcW w:w="1821" w:type="dxa"/>
                  <w:vMerge w:val="continue"/>
                  <w:tcBorders>
                    <w:tl2br w:val="nil"/>
                    <w:tr2bl w:val="nil"/>
                  </w:tcBorders>
                  <w:shd w:val="clear" w:color="auto" w:fill="FFFFFF"/>
                  <w:vAlign w:val="center"/>
                </w:tcPr>
                <w:p>
                  <w:pPr>
                    <w:jc w:val="center"/>
                    <w:rPr>
                      <w:rFonts w:hint="default"/>
                    </w:rPr>
                  </w:pPr>
                </w:p>
              </w:tc>
              <w:tc>
                <w:tcPr>
                  <w:tcW w:w="2682" w:type="dxa"/>
                  <w:tcBorders>
                    <w:tl2br w:val="nil"/>
                    <w:tr2bl w:val="nil"/>
                  </w:tcBorders>
                  <w:shd w:val="clear" w:color="auto" w:fill="FFFFFF"/>
                  <w:vAlign w:val="center"/>
                </w:tcPr>
                <w:p>
                  <w:pPr>
                    <w:jc w:val="center"/>
                    <w:rPr>
                      <w:rFonts w:hint="default"/>
                    </w:rPr>
                  </w:pPr>
                  <w:r>
                    <w:rPr>
                      <w:rFonts w:hint="default"/>
                    </w:rPr>
                    <w:t>2020.07.26 12:15</w:t>
                  </w:r>
                </w:p>
              </w:tc>
              <w:tc>
                <w:tcPr>
                  <w:tcW w:w="1612" w:type="dxa"/>
                  <w:vMerge w:val="continue"/>
                  <w:tcBorders>
                    <w:tl2br w:val="nil"/>
                    <w:tr2bl w:val="nil"/>
                  </w:tcBorders>
                  <w:shd w:val="clear" w:color="auto" w:fill="FFFFFF"/>
                  <w:vAlign w:val="center"/>
                </w:tcPr>
                <w:p>
                  <w:pPr>
                    <w:jc w:val="center"/>
                    <w:rPr>
                      <w:rFonts w:hint="default"/>
                    </w:rPr>
                  </w:pPr>
                </w:p>
              </w:tc>
              <w:tc>
                <w:tcPr>
                  <w:tcW w:w="1981" w:type="dxa"/>
                  <w:tcBorders>
                    <w:tl2br w:val="nil"/>
                    <w:tr2bl w:val="nil"/>
                  </w:tcBorders>
                  <w:shd w:val="clear" w:color="auto" w:fill="FFFFFF"/>
                  <w:vAlign w:val="center"/>
                </w:tcPr>
                <w:p>
                  <w:pPr>
                    <w:jc w:val="center"/>
                    <w:rPr>
                      <w:rFonts w:hint="default"/>
                    </w:rPr>
                  </w:pPr>
                  <w:r>
                    <w:rPr>
                      <w:rFonts w:hint="default"/>
                    </w:rPr>
                    <w:t>0.90</w:t>
                  </w:r>
                </w:p>
              </w:tc>
              <w:tc>
                <w:tcPr>
                  <w:tcW w:w="1583" w:type="dxa"/>
                  <w:tcBorders>
                    <w:tl2br w:val="nil"/>
                    <w:tr2bl w:val="nil"/>
                  </w:tcBorders>
                  <w:shd w:val="clear" w:color="auto" w:fill="FFFFFF"/>
                  <w:vAlign w:val="center"/>
                </w:tcPr>
                <w:p>
                  <w:pPr>
                    <w:widowControl/>
                    <w:jc w:val="center"/>
                    <w:rPr>
                      <w:rFonts w:hint="default"/>
                    </w:rPr>
                  </w:pPr>
                  <w:r>
                    <w:rPr>
                      <w:rFonts w:hint="default"/>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14" w:hRule="atLeast"/>
                <w:jc w:val="center"/>
              </w:trPr>
              <w:tc>
                <w:tcPr>
                  <w:tcW w:w="1821" w:type="dxa"/>
                  <w:vMerge w:val="continue"/>
                  <w:tcBorders>
                    <w:tl2br w:val="nil"/>
                    <w:tr2bl w:val="nil"/>
                  </w:tcBorders>
                  <w:shd w:val="clear" w:color="auto" w:fill="FFFFFF"/>
                  <w:vAlign w:val="center"/>
                </w:tcPr>
                <w:p>
                  <w:pPr>
                    <w:jc w:val="center"/>
                    <w:rPr>
                      <w:rFonts w:hint="default"/>
                    </w:rPr>
                  </w:pPr>
                </w:p>
              </w:tc>
              <w:tc>
                <w:tcPr>
                  <w:tcW w:w="2682" w:type="dxa"/>
                  <w:tcBorders>
                    <w:tl2br w:val="nil"/>
                    <w:tr2bl w:val="nil"/>
                  </w:tcBorders>
                  <w:shd w:val="clear" w:color="auto" w:fill="FFFFFF"/>
                  <w:vAlign w:val="center"/>
                </w:tcPr>
                <w:p>
                  <w:pPr>
                    <w:jc w:val="center"/>
                    <w:rPr>
                      <w:rFonts w:hint="default"/>
                    </w:rPr>
                  </w:pPr>
                  <w:r>
                    <w:rPr>
                      <w:rFonts w:hint="default"/>
                    </w:rPr>
                    <w:t>2020.07.26 13:15</w:t>
                  </w:r>
                </w:p>
              </w:tc>
              <w:tc>
                <w:tcPr>
                  <w:tcW w:w="1612" w:type="dxa"/>
                  <w:vMerge w:val="continue"/>
                  <w:tcBorders>
                    <w:tl2br w:val="nil"/>
                    <w:tr2bl w:val="nil"/>
                  </w:tcBorders>
                  <w:shd w:val="clear" w:color="auto" w:fill="FFFFFF"/>
                  <w:vAlign w:val="center"/>
                </w:tcPr>
                <w:p>
                  <w:pPr>
                    <w:jc w:val="center"/>
                    <w:rPr>
                      <w:rFonts w:hint="default"/>
                    </w:rPr>
                  </w:pPr>
                </w:p>
              </w:tc>
              <w:tc>
                <w:tcPr>
                  <w:tcW w:w="1981" w:type="dxa"/>
                  <w:tcBorders>
                    <w:tl2br w:val="nil"/>
                    <w:tr2bl w:val="nil"/>
                  </w:tcBorders>
                  <w:shd w:val="clear" w:color="auto" w:fill="FFFFFF"/>
                  <w:vAlign w:val="center"/>
                </w:tcPr>
                <w:p>
                  <w:pPr>
                    <w:jc w:val="center"/>
                    <w:rPr>
                      <w:rFonts w:hint="default"/>
                    </w:rPr>
                  </w:pPr>
                  <w:r>
                    <w:rPr>
                      <w:rFonts w:hint="default"/>
                    </w:rPr>
                    <w:t>1.08</w:t>
                  </w:r>
                </w:p>
              </w:tc>
              <w:tc>
                <w:tcPr>
                  <w:tcW w:w="1583" w:type="dxa"/>
                  <w:tcBorders>
                    <w:tl2br w:val="nil"/>
                    <w:tr2bl w:val="nil"/>
                  </w:tcBorders>
                  <w:shd w:val="clear" w:color="auto" w:fill="FFFFFF"/>
                  <w:vAlign w:val="center"/>
                </w:tcPr>
                <w:p>
                  <w:pPr>
                    <w:widowControl/>
                    <w:jc w:val="center"/>
                    <w:rPr>
                      <w:rFonts w:hint="default"/>
                    </w:rPr>
                  </w:pPr>
                  <w:r>
                    <w:rPr>
                      <w:rFonts w:hint="default"/>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14" w:hRule="atLeast"/>
                <w:jc w:val="center"/>
              </w:trPr>
              <w:tc>
                <w:tcPr>
                  <w:tcW w:w="1821" w:type="dxa"/>
                  <w:vMerge w:val="restart"/>
                  <w:tcBorders>
                    <w:tl2br w:val="nil"/>
                    <w:tr2bl w:val="nil"/>
                  </w:tcBorders>
                  <w:shd w:val="clear" w:color="auto" w:fill="FFFFFF"/>
                  <w:vAlign w:val="center"/>
                </w:tcPr>
                <w:p>
                  <w:pPr>
                    <w:jc w:val="center"/>
                    <w:rPr>
                      <w:rFonts w:hint="default"/>
                    </w:rPr>
                  </w:pPr>
                  <w:r>
                    <w:rPr>
                      <w:rFonts w:hint="default"/>
                    </w:rPr>
                    <w:t>3#下风向2</w:t>
                  </w:r>
                </w:p>
              </w:tc>
              <w:tc>
                <w:tcPr>
                  <w:tcW w:w="2682" w:type="dxa"/>
                  <w:tcBorders>
                    <w:tl2br w:val="nil"/>
                    <w:tr2bl w:val="nil"/>
                  </w:tcBorders>
                  <w:shd w:val="clear" w:color="auto" w:fill="FFFFFF"/>
                  <w:vAlign w:val="center"/>
                </w:tcPr>
                <w:p>
                  <w:pPr>
                    <w:jc w:val="center"/>
                    <w:rPr>
                      <w:rFonts w:hint="default"/>
                    </w:rPr>
                  </w:pPr>
                  <w:r>
                    <w:rPr>
                      <w:rFonts w:hint="default"/>
                    </w:rPr>
                    <w:t>2020.07.25 11:30</w:t>
                  </w:r>
                </w:p>
              </w:tc>
              <w:tc>
                <w:tcPr>
                  <w:tcW w:w="1612" w:type="dxa"/>
                  <w:vMerge w:val="restart"/>
                  <w:tcBorders>
                    <w:tl2br w:val="nil"/>
                    <w:tr2bl w:val="nil"/>
                  </w:tcBorders>
                  <w:shd w:val="clear" w:color="auto" w:fill="FFFFFF"/>
                  <w:vAlign w:val="center"/>
                </w:tcPr>
                <w:p>
                  <w:pPr>
                    <w:jc w:val="center"/>
                    <w:rPr>
                      <w:rFonts w:hint="default"/>
                    </w:rPr>
                  </w:pPr>
                  <w:r>
                    <w:rPr>
                      <w:rFonts w:hint="default"/>
                    </w:rPr>
                    <w:t>非甲烷总烃</w:t>
                  </w:r>
                </w:p>
                <w:p>
                  <w:pPr>
                    <w:jc w:val="center"/>
                    <w:rPr>
                      <w:rFonts w:hint="default"/>
                    </w:rPr>
                  </w:pPr>
                  <w:r>
                    <w:rPr>
                      <w:rFonts w:hint="default"/>
                    </w:rPr>
                    <w:t>（mg/m³）</w:t>
                  </w:r>
                </w:p>
              </w:tc>
              <w:tc>
                <w:tcPr>
                  <w:tcW w:w="1981" w:type="dxa"/>
                  <w:tcBorders>
                    <w:tl2br w:val="nil"/>
                    <w:tr2bl w:val="nil"/>
                  </w:tcBorders>
                  <w:shd w:val="clear" w:color="auto" w:fill="FFFFFF"/>
                  <w:vAlign w:val="center"/>
                </w:tcPr>
                <w:p>
                  <w:pPr>
                    <w:jc w:val="center"/>
                    <w:rPr>
                      <w:rFonts w:hint="default"/>
                    </w:rPr>
                  </w:pPr>
                  <w:r>
                    <w:rPr>
                      <w:rFonts w:hint="default"/>
                    </w:rPr>
                    <w:t>1.06</w:t>
                  </w:r>
                </w:p>
              </w:tc>
              <w:tc>
                <w:tcPr>
                  <w:tcW w:w="1583" w:type="dxa"/>
                  <w:tcBorders>
                    <w:tl2br w:val="nil"/>
                    <w:tr2bl w:val="nil"/>
                  </w:tcBorders>
                  <w:shd w:val="clear" w:color="auto" w:fill="FFFFFF"/>
                  <w:vAlign w:val="center"/>
                </w:tcPr>
                <w:p>
                  <w:pPr>
                    <w:widowControl/>
                    <w:jc w:val="center"/>
                    <w:rPr>
                      <w:rFonts w:hint="default"/>
                    </w:rPr>
                  </w:pPr>
                  <w:r>
                    <w:rPr>
                      <w:rFonts w:hint="default"/>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14" w:hRule="atLeast"/>
                <w:jc w:val="center"/>
              </w:trPr>
              <w:tc>
                <w:tcPr>
                  <w:tcW w:w="1821" w:type="dxa"/>
                  <w:vMerge w:val="continue"/>
                  <w:tcBorders>
                    <w:tl2br w:val="nil"/>
                    <w:tr2bl w:val="nil"/>
                  </w:tcBorders>
                  <w:shd w:val="clear" w:color="auto" w:fill="FFFFFF"/>
                  <w:vAlign w:val="center"/>
                </w:tcPr>
                <w:p>
                  <w:pPr>
                    <w:jc w:val="center"/>
                    <w:rPr>
                      <w:rFonts w:hint="default"/>
                    </w:rPr>
                  </w:pPr>
                </w:p>
              </w:tc>
              <w:tc>
                <w:tcPr>
                  <w:tcW w:w="2682" w:type="dxa"/>
                  <w:tcBorders>
                    <w:tl2br w:val="nil"/>
                    <w:tr2bl w:val="nil"/>
                  </w:tcBorders>
                  <w:shd w:val="clear" w:color="auto" w:fill="FFFFFF"/>
                  <w:vAlign w:val="center"/>
                </w:tcPr>
                <w:p>
                  <w:pPr>
                    <w:jc w:val="center"/>
                    <w:rPr>
                      <w:rFonts w:hint="default"/>
                    </w:rPr>
                  </w:pPr>
                  <w:r>
                    <w:rPr>
                      <w:rFonts w:hint="default"/>
                    </w:rPr>
                    <w:t>2020.07.25 12:30</w:t>
                  </w:r>
                </w:p>
              </w:tc>
              <w:tc>
                <w:tcPr>
                  <w:tcW w:w="1612" w:type="dxa"/>
                  <w:vMerge w:val="continue"/>
                  <w:tcBorders>
                    <w:tl2br w:val="nil"/>
                    <w:tr2bl w:val="nil"/>
                  </w:tcBorders>
                  <w:shd w:val="clear" w:color="auto" w:fill="FFFFFF"/>
                  <w:vAlign w:val="center"/>
                </w:tcPr>
                <w:p>
                  <w:pPr>
                    <w:jc w:val="center"/>
                    <w:rPr>
                      <w:rFonts w:hint="default"/>
                    </w:rPr>
                  </w:pPr>
                </w:p>
              </w:tc>
              <w:tc>
                <w:tcPr>
                  <w:tcW w:w="1981" w:type="dxa"/>
                  <w:tcBorders>
                    <w:tl2br w:val="nil"/>
                    <w:tr2bl w:val="nil"/>
                  </w:tcBorders>
                  <w:shd w:val="clear" w:color="auto" w:fill="FFFFFF"/>
                  <w:vAlign w:val="center"/>
                </w:tcPr>
                <w:p>
                  <w:pPr>
                    <w:jc w:val="center"/>
                    <w:rPr>
                      <w:rFonts w:hint="default"/>
                    </w:rPr>
                  </w:pPr>
                  <w:r>
                    <w:rPr>
                      <w:rFonts w:hint="default"/>
                    </w:rPr>
                    <w:t>1.29</w:t>
                  </w:r>
                </w:p>
              </w:tc>
              <w:tc>
                <w:tcPr>
                  <w:tcW w:w="1583" w:type="dxa"/>
                  <w:tcBorders>
                    <w:tl2br w:val="nil"/>
                    <w:tr2bl w:val="nil"/>
                  </w:tcBorders>
                  <w:shd w:val="clear" w:color="auto" w:fill="FFFFFF"/>
                  <w:vAlign w:val="center"/>
                </w:tcPr>
                <w:p>
                  <w:pPr>
                    <w:widowControl/>
                    <w:jc w:val="center"/>
                    <w:rPr>
                      <w:rFonts w:hint="default"/>
                    </w:rPr>
                  </w:pPr>
                  <w:r>
                    <w:rPr>
                      <w:rFonts w:hint="default"/>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14" w:hRule="atLeast"/>
                <w:jc w:val="center"/>
              </w:trPr>
              <w:tc>
                <w:tcPr>
                  <w:tcW w:w="1821" w:type="dxa"/>
                  <w:vMerge w:val="continue"/>
                  <w:tcBorders>
                    <w:tl2br w:val="nil"/>
                    <w:tr2bl w:val="nil"/>
                  </w:tcBorders>
                  <w:shd w:val="clear" w:color="auto" w:fill="FFFFFF"/>
                  <w:vAlign w:val="center"/>
                </w:tcPr>
                <w:p>
                  <w:pPr>
                    <w:jc w:val="center"/>
                    <w:rPr>
                      <w:rFonts w:hint="default"/>
                    </w:rPr>
                  </w:pPr>
                </w:p>
              </w:tc>
              <w:tc>
                <w:tcPr>
                  <w:tcW w:w="2682" w:type="dxa"/>
                  <w:tcBorders>
                    <w:tl2br w:val="nil"/>
                    <w:tr2bl w:val="nil"/>
                  </w:tcBorders>
                  <w:shd w:val="clear" w:color="auto" w:fill="FFFFFF"/>
                  <w:vAlign w:val="center"/>
                </w:tcPr>
                <w:p>
                  <w:pPr>
                    <w:jc w:val="center"/>
                    <w:rPr>
                      <w:rFonts w:hint="default"/>
                    </w:rPr>
                  </w:pPr>
                  <w:r>
                    <w:rPr>
                      <w:rFonts w:hint="default"/>
                    </w:rPr>
                    <w:t>2020.07.25 13:30</w:t>
                  </w:r>
                </w:p>
              </w:tc>
              <w:tc>
                <w:tcPr>
                  <w:tcW w:w="1612" w:type="dxa"/>
                  <w:vMerge w:val="continue"/>
                  <w:tcBorders>
                    <w:tl2br w:val="nil"/>
                    <w:tr2bl w:val="nil"/>
                  </w:tcBorders>
                  <w:shd w:val="clear" w:color="auto" w:fill="FFFFFF"/>
                  <w:vAlign w:val="center"/>
                </w:tcPr>
                <w:p>
                  <w:pPr>
                    <w:jc w:val="center"/>
                    <w:rPr>
                      <w:rFonts w:hint="default"/>
                    </w:rPr>
                  </w:pPr>
                </w:p>
              </w:tc>
              <w:tc>
                <w:tcPr>
                  <w:tcW w:w="1981" w:type="dxa"/>
                  <w:tcBorders>
                    <w:tl2br w:val="nil"/>
                    <w:tr2bl w:val="nil"/>
                  </w:tcBorders>
                  <w:shd w:val="clear" w:color="auto" w:fill="FFFFFF"/>
                  <w:vAlign w:val="center"/>
                </w:tcPr>
                <w:p>
                  <w:pPr>
                    <w:jc w:val="center"/>
                    <w:rPr>
                      <w:rFonts w:hint="default"/>
                    </w:rPr>
                  </w:pPr>
                  <w:r>
                    <w:rPr>
                      <w:rFonts w:hint="default"/>
                    </w:rPr>
                    <w:t>1.22</w:t>
                  </w:r>
                </w:p>
              </w:tc>
              <w:tc>
                <w:tcPr>
                  <w:tcW w:w="1583" w:type="dxa"/>
                  <w:tcBorders>
                    <w:tl2br w:val="nil"/>
                    <w:tr2bl w:val="nil"/>
                  </w:tcBorders>
                  <w:shd w:val="clear" w:color="auto" w:fill="FFFFFF"/>
                  <w:vAlign w:val="center"/>
                </w:tcPr>
                <w:p>
                  <w:pPr>
                    <w:widowControl/>
                    <w:jc w:val="center"/>
                    <w:rPr>
                      <w:rFonts w:hint="default"/>
                    </w:rPr>
                  </w:pPr>
                  <w:r>
                    <w:rPr>
                      <w:rFonts w:hint="default"/>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14" w:hRule="atLeast"/>
                <w:jc w:val="center"/>
              </w:trPr>
              <w:tc>
                <w:tcPr>
                  <w:tcW w:w="1821" w:type="dxa"/>
                  <w:vMerge w:val="continue"/>
                  <w:tcBorders>
                    <w:tl2br w:val="nil"/>
                    <w:tr2bl w:val="nil"/>
                  </w:tcBorders>
                  <w:shd w:val="clear" w:color="auto" w:fill="FFFFFF"/>
                  <w:vAlign w:val="center"/>
                </w:tcPr>
                <w:p>
                  <w:pPr>
                    <w:jc w:val="center"/>
                    <w:rPr>
                      <w:rFonts w:hint="default"/>
                    </w:rPr>
                  </w:pPr>
                </w:p>
              </w:tc>
              <w:tc>
                <w:tcPr>
                  <w:tcW w:w="2682" w:type="dxa"/>
                  <w:tcBorders>
                    <w:tl2br w:val="nil"/>
                    <w:tr2bl w:val="nil"/>
                  </w:tcBorders>
                  <w:shd w:val="clear" w:color="auto" w:fill="FFFFFF"/>
                  <w:vAlign w:val="center"/>
                </w:tcPr>
                <w:p>
                  <w:pPr>
                    <w:jc w:val="center"/>
                    <w:rPr>
                      <w:rFonts w:hint="default"/>
                    </w:rPr>
                  </w:pPr>
                  <w:r>
                    <w:rPr>
                      <w:rFonts w:hint="default"/>
                    </w:rPr>
                    <w:t>2020.07.26 11:25</w:t>
                  </w:r>
                </w:p>
              </w:tc>
              <w:tc>
                <w:tcPr>
                  <w:tcW w:w="1612" w:type="dxa"/>
                  <w:vMerge w:val="continue"/>
                  <w:tcBorders>
                    <w:tl2br w:val="nil"/>
                    <w:tr2bl w:val="nil"/>
                  </w:tcBorders>
                  <w:shd w:val="clear" w:color="auto" w:fill="FFFFFF"/>
                  <w:vAlign w:val="center"/>
                </w:tcPr>
                <w:p>
                  <w:pPr>
                    <w:jc w:val="center"/>
                    <w:rPr>
                      <w:rFonts w:hint="default"/>
                    </w:rPr>
                  </w:pPr>
                </w:p>
              </w:tc>
              <w:tc>
                <w:tcPr>
                  <w:tcW w:w="1981" w:type="dxa"/>
                  <w:tcBorders>
                    <w:tl2br w:val="nil"/>
                    <w:tr2bl w:val="nil"/>
                  </w:tcBorders>
                  <w:shd w:val="clear" w:color="auto" w:fill="FFFFFF"/>
                  <w:vAlign w:val="center"/>
                </w:tcPr>
                <w:p>
                  <w:pPr>
                    <w:jc w:val="center"/>
                    <w:rPr>
                      <w:rFonts w:hint="default"/>
                    </w:rPr>
                  </w:pPr>
                  <w:r>
                    <w:rPr>
                      <w:rFonts w:hint="default"/>
                    </w:rPr>
                    <w:t>1.21</w:t>
                  </w:r>
                </w:p>
              </w:tc>
              <w:tc>
                <w:tcPr>
                  <w:tcW w:w="1583" w:type="dxa"/>
                  <w:tcBorders>
                    <w:tl2br w:val="nil"/>
                    <w:tr2bl w:val="nil"/>
                  </w:tcBorders>
                  <w:shd w:val="clear" w:color="auto" w:fill="FFFFFF"/>
                  <w:vAlign w:val="center"/>
                </w:tcPr>
                <w:p>
                  <w:pPr>
                    <w:widowControl/>
                    <w:jc w:val="center"/>
                    <w:rPr>
                      <w:rFonts w:hint="default"/>
                    </w:rPr>
                  </w:pPr>
                  <w:r>
                    <w:rPr>
                      <w:rFonts w:hint="default"/>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14" w:hRule="atLeast"/>
                <w:jc w:val="center"/>
              </w:trPr>
              <w:tc>
                <w:tcPr>
                  <w:tcW w:w="1821" w:type="dxa"/>
                  <w:vMerge w:val="continue"/>
                  <w:tcBorders>
                    <w:tl2br w:val="nil"/>
                    <w:tr2bl w:val="nil"/>
                  </w:tcBorders>
                  <w:shd w:val="clear" w:color="auto" w:fill="FFFFFF"/>
                  <w:vAlign w:val="center"/>
                </w:tcPr>
                <w:p>
                  <w:pPr>
                    <w:jc w:val="center"/>
                    <w:rPr>
                      <w:rFonts w:hint="default"/>
                    </w:rPr>
                  </w:pPr>
                </w:p>
              </w:tc>
              <w:tc>
                <w:tcPr>
                  <w:tcW w:w="2682" w:type="dxa"/>
                  <w:tcBorders>
                    <w:tl2br w:val="nil"/>
                    <w:tr2bl w:val="nil"/>
                  </w:tcBorders>
                  <w:shd w:val="clear" w:color="auto" w:fill="FFFFFF"/>
                  <w:vAlign w:val="center"/>
                </w:tcPr>
                <w:p>
                  <w:pPr>
                    <w:jc w:val="center"/>
                    <w:rPr>
                      <w:rFonts w:hint="default"/>
                    </w:rPr>
                  </w:pPr>
                  <w:r>
                    <w:rPr>
                      <w:rFonts w:hint="default"/>
                    </w:rPr>
                    <w:t>2020.07.26 12:25</w:t>
                  </w:r>
                </w:p>
              </w:tc>
              <w:tc>
                <w:tcPr>
                  <w:tcW w:w="1612" w:type="dxa"/>
                  <w:vMerge w:val="continue"/>
                  <w:tcBorders>
                    <w:tl2br w:val="nil"/>
                    <w:tr2bl w:val="nil"/>
                  </w:tcBorders>
                  <w:shd w:val="clear" w:color="auto" w:fill="FFFFFF"/>
                  <w:vAlign w:val="center"/>
                </w:tcPr>
                <w:p>
                  <w:pPr>
                    <w:jc w:val="center"/>
                    <w:rPr>
                      <w:rFonts w:hint="default"/>
                    </w:rPr>
                  </w:pPr>
                </w:p>
              </w:tc>
              <w:tc>
                <w:tcPr>
                  <w:tcW w:w="1981" w:type="dxa"/>
                  <w:tcBorders>
                    <w:tl2br w:val="nil"/>
                    <w:tr2bl w:val="nil"/>
                  </w:tcBorders>
                  <w:shd w:val="clear" w:color="auto" w:fill="FFFFFF"/>
                  <w:vAlign w:val="center"/>
                </w:tcPr>
                <w:p>
                  <w:pPr>
                    <w:jc w:val="center"/>
                    <w:rPr>
                      <w:rFonts w:hint="default"/>
                    </w:rPr>
                  </w:pPr>
                  <w:r>
                    <w:rPr>
                      <w:rFonts w:hint="default"/>
                    </w:rPr>
                    <w:t>1.16</w:t>
                  </w:r>
                </w:p>
              </w:tc>
              <w:tc>
                <w:tcPr>
                  <w:tcW w:w="1583" w:type="dxa"/>
                  <w:tcBorders>
                    <w:tl2br w:val="nil"/>
                    <w:tr2bl w:val="nil"/>
                  </w:tcBorders>
                  <w:shd w:val="clear" w:color="auto" w:fill="FFFFFF"/>
                  <w:vAlign w:val="center"/>
                </w:tcPr>
                <w:p>
                  <w:pPr>
                    <w:widowControl/>
                    <w:jc w:val="center"/>
                    <w:rPr>
                      <w:rFonts w:hint="default"/>
                    </w:rPr>
                  </w:pPr>
                  <w:r>
                    <w:rPr>
                      <w:rFonts w:hint="default"/>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14" w:hRule="atLeast"/>
                <w:jc w:val="center"/>
              </w:trPr>
              <w:tc>
                <w:tcPr>
                  <w:tcW w:w="1821" w:type="dxa"/>
                  <w:vMerge w:val="continue"/>
                  <w:tcBorders>
                    <w:tl2br w:val="nil"/>
                    <w:tr2bl w:val="nil"/>
                  </w:tcBorders>
                  <w:shd w:val="clear" w:color="auto" w:fill="FFFFFF"/>
                  <w:vAlign w:val="center"/>
                </w:tcPr>
                <w:p>
                  <w:pPr>
                    <w:jc w:val="center"/>
                    <w:rPr>
                      <w:rFonts w:hint="default"/>
                    </w:rPr>
                  </w:pPr>
                </w:p>
              </w:tc>
              <w:tc>
                <w:tcPr>
                  <w:tcW w:w="2682" w:type="dxa"/>
                  <w:tcBorders>
                    <w:tl2br w:val="nil"/>
                    <w:tr2bl w:val="nil"/>
                  </w:tcBorders>
                  <w:shd w:val="clear" w:color="auto" w:fill="FFFFFF"/>
                  <w:vAlign w:val="center"/>
                </w:tcPr>
                <w:p>
                  <w:pPr>
                    <w:jc w:val="center"/>
                    <w:rPr>
                      <w:rFonts w:hint="default"/>
                    </w:rPr>
                  </w:pPr>
                  <w:r>
                    <w:rPr>
                      <w:rFonts w:hint="default"/>
                    </w:rPr>
                    <w:t>2020.07.26 13:25</w:t>
                  </w:r>
                </w:p>
              </w:tc>
              <w:tc>
                <w:tcPr>
                  <w:tcW w:w="1612" w:type="dxa"/>
                  <w:vMerge w:val="continue"/>
                  <w:tcBorders>
                    <w:tl2br w:val="nil"/>
                    <w:tr2bl w:val="nil"/>
                  </w:tcBorders>
                  <w:shd w:val="clear" w:color="auto" w:fill="FFFFFF"/>
                  <w:vAlign w:val="center"/>
                </w:tcPr>
                <w:p>
                  <w:pPr>
                    <w:jc w:val="center"/>
                    <w:rPr>
                      <w:rFonts w:hint="default"/>
                    </w:rPr>
                  </w:pPr>
                </w:p>
              </w:tc>
              <w:tc>
                <w:tcPr>
                  <w:tcW w:w="1981" w:type="dxa"/>
                  <w:tcBorders>
                    <w:tl2br w:val="nil"/>
                    <w:tr2bl w:val="nil"/>
                  </w:tcBorders>
                  <w:shd w:val="clear" w:color="auto" w:fill="FFFFFF"/>
                  <w:vAlign w:val="center"/>
                </w:tcPr>
                <w:p>
                  <w:pPr>
                    <w:jc w:val="center"/>
                    <w:rPr>
                      <w:rFonts w:hint="default"/>
                    </w:rPr>
                  </w:pPr>
                  <w:r>
                    <w:rPr>
                      <w:rFonts w:hint="default"/>
                    </w:rPr>
                    <w:t>1.21</w:t>
                  </w:r>
                </w:p>
              </w:tc>
              <w:tc>
                <w:tcPr>
                  <w:tcW w:w="1583" w:type="dxa"/>
                  <w:tcBorders>
                    <w:tl2br w:val="nil"/>
                    <w:tr2bl w:val="nil"/>
                  </w:tcBorders>
                  <w:shd w:val="clear" w:color="auto" w:fill="FFFFFF"/>
                  <w:vAlign w:val="center"/>
                </w:tcPr>
                <w:p>
                  <w:pPr>
                    <w:widowControl/>
                    <w:jc w:val="center"/>
                    <w:rPr>
                      <w:rFonts w:hint="default"/>
                    </w:rPr>
                  </w:pPr>
                  <w:r>
                    <w:rPr>
                      <w:rFonts w:hint="default"/>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1821" w:type="dxa"/>
                  <w:vMerge w:val="restart"/>
                  <w:tcBorders>
                    <w:tl2br w:val="nil"/>
                    <w:tr2bl w:val="nil"/>
                  </w:tcBorders>
                  <w:shd w:val="clear" w:color="auto" w:fill="FFFFFF"/>
                  <w:vAlign w:val="center"/>
                </w:tcPr>
                <w:p>
                  <w:pPr>
                    <w:jc w:val="center"/>
                    <w:rPr>
                      <w:rFonts w:hint="default"/>
                    </w:rPr>
                  </w:pPr>
                  <w:r>
                    <w:rPr>
                      <w:rFonts w:hint="default"/>
                    </w:rPr>
                    <w:t>4#下风向3</w:t>
                  </w:r>
                </w:p>
              </w:tc>
              <w:tc>
                <w:tcPr>
                  <w:tcW w:w="2682" w:type="dxa"/>
                  <w:tcBorders>
                    <w:tl2br w:val="nil"/>
                    <w:tr2bl w:val="nil"/>
                  </w:tcBorders>
                  <w:shd w:val="clear" w:color="auto" w:fill="FFFFFF"/>
                  <w:vAlign w:val="center"/>
                </w:tcPr>
                <w:p>
                  <w:pPr>
                    <w:jc w:val="center"/>
                    <w:rPr>
                      <w:rFonts w:hint="default"/>
                    </w:rPr>
                  </w:pPr>
                  <w:r>
                    <w:rPr>
                      <w:rFonts w:hint="default"/>
                    </w:rPr>
                    <w:t>2020.07.25 11:40</w:t>
                  </w:r>
                </w:p>
              </w:tc>
              <w:tc>
                <w:tcPr>
                  <w:tcW w:w="1612" w:type="dxa"/>
                  <w:vMerge w:val="restart"/>
                  <w:tcBorders>
                    <w:tl2br w:val="nil"/>
                    <w:tr2bl w:val="nil"/>
                  </w:tcBorders>
                  <w:shd w:val="clear" w:color="auto" w:fill="FFFFFF"/>
                  <w:vAlign w:val="center"/>
                </w:tcPr>
                <w:p>
                  <w:pPr>
                    <w:jc w:val="center"/>
                    <w:rPr>
                      <w:rFonts w:hint="default"/>
                    </w:rPr>
                  </w:pPr>
                  <w:r>
                    <w:rPr>
                      <w:rFonts w:hint="default"/>
                    </w:rPr>
                    <w:t>非甲烷总烃</w:t>
                  </w:r>
                </w:p>
                <w:p>
                  <w:pPr>
                    <w:jc w:val="center"/>
                    <w:rPr>
                      <w:rFonts w:hint="default"/>
                    </w:rPr>
                  </w:pPr>
                  <w:r>
                    <w:rPr>
                      <w:rFonts w:hint="default"/>
                    </w:rPr>
                    <w:t>（mg/m³）</w:t>
                  </w:r>
                </w:p>
              </w:tc>
              <w:tc>
                <w:tcPr>
                  <w:tcW w:w="1981" w:type="dxa"/>
                  <w:tcBorders>
                    <w:tl2br w:val="nil"/>
                    <w:tr2bl w:val="nil"/>
                  </w:tcBorders>
                  <w:shd w:val="clear" w:color="auto" w:fill="FFFFFF"/>
                  <w:vAlign w:val="center"/>
                </w:tcPr>
                <w:p>
                  <w:pPr>
                    <w:jc w:val="center"/>
                    <w:rPr>
                      <w:rFonts w:hint="default"/>
                    </w:rPr>
                  </w:pPr>
                  <w:r>
                    <w:rPr>
                      <w:rFonts w:hint="default"/>
                    </w:rPr>
                    <w:t>1.28</w:t>
                  </w:r>
                </w:p>
              </w:tc>
              <w:tc>
                <w:tcPr>
                  <w:tcW w:w="1583" w:type="dxa"/>
                  <w:tcBorders>
                    <w:tl2br w:val="nil"/>
                    <w:tr2bl w:val="nil"/>
                  </w:tcBorders>
                  <w:shd w:val="clear" w:color="auto" w:fill="FFFFFF"/>
                  <w:vAlign w:val="center"/>
                </w:tcPr>
                <w:p>
                  <w:pPr>
                    <w:widowControl/>
                    <w:jc w:val="center"/>
                    <w:rPr>
                      <w:rFonts w:hint="default"/>
                    </w:rPr>
                  </w:pPr>
                  <w:r>
                    <w:rPr>
                      <w:rFonts w:hint="default"/>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1821" w:type="dxa"/>
                  <w:vMerge w:val="continue"/>
                  <w:tcBorders>
                    <w:tl2br w:val="nil"/>
                    <w:tr2bl w:val="nil"/>
                  </w:tcBorders>
                  <w:shd w:val="clear" w:color="auto" w:fill="FFFFFF"/>
                  <w:vAlign w:val="center"/>
                </w:tcPr>
                <w:p>
                  <w:pPr>
                    <w:jc w:val="center"/>
                    <w:rPr>
                      <w:rFonts w:hint="default"/>
                    </w:rPr>
                  </w:pPr>
                </w:p>
              </w:tc>
              <w:tc>
                <w:tcPr>
                  <w:tcW w:w="2682" w:type="dxa"/>
                  <w:tcBorders>
                    <w:tl2br w:val="nil"/>
                    <w:tr2bl w:val="nil"/>
                  </w:tcBorders>
                  <w:shd w:val="clear" w:color="auto" w:fill="FFFFFF"/>
                  <w:vAlign w:val="center"/>
                </w:tcPr>
                <w:p>
                  <w:pPr>
                    <w:jc w:val="center"/>
                    <w:rPr>
                      <w:rFonts w:hint="default"/>
                    </w:rPr>
                  </w:pPr>
                  <w:r>
                    <w:rPr>
                      <w:rFonts w:hint="default"/>
                    </w:rPr>
                    <w:t>2020.07.25 12:40</w:t>
                  </w:r>
                </w:p>
              </w:tc>
              <w:tc>
                <w:tcPr>
                  <w:tcW w:w="1612" w:type="dxa"/>
                  <w:vMerge w:val="continue"/>
                  <w:tcBorders>
                    <w:tl2br w:val="nil"/>
                    <w:tr2bl w:val="nil"/>
                  </w:tcBorders>
                  <w:shd w:val="clear" w:color="auto" w:fill="FFFFFF"/>
                  <w:vAlign w:val="center"/>
                </w:tcPr>
                <w:p>
                  <w:pPr>
                    <w:jc w:val="center"/>
                    <w:rPr>
                      <w:rFonts w:hint="default"/>
                    </w:rPr>
                  </w:pPr>
                </w:p>
              </w:tc>
              <w:tc>
                <w:tcPr>
                  <w:tcW w:w="1981" w:type="dxa"/>
                  <w:tcBorders>
                    <w:tl2br w:val="nil"/>
                    <w:tr2bl w:val="nil"/>
                  </w:tcBorders>
                  <w:shd w:val="clear" w:color="auto" w:fill="FFFFFF"/>
                  <w:vAlign w:val="center"/>
                </w:tcPr>
                <w:p>
                  <w:pPr>
                    <w:jc w:val="center"/>
                    <w:rPr>
                      <w:rFonts w:hint="default"/>
                    </w:rPr>
                  </w:pPr>
                  <w:r>
                    <w:rPr>
                      <w:rFonts w:hint="default"/>
                    </w:rPr>
                    <w:t>1.46</w:t>
                  </w:r>
                </w:p>
              </w:tc>
              <w:tc>
                <w:tcPr>
                  <w:tcW w:w="1583" w:type="dxa"/>
                  <w:tcBorders>
                    <w:tl2br w:val="nil"/>
                    <w:tr2bl w:val="nil"/>
                  </w:tcBorders>
                  <w:shd w:val="clear" w:color="auto" w:fill="FFFFFF"/>
                  <w:vAlign w:val="center"/>
                </w:tcPr>
                <w:p>
                  <w:pPr>
                    <w:widowControl/>
                    <w:jc w:val="center"/>
                    <w:rPr>
                      <w:rFonts w:hint="default"/>
                    </w:rPr>
                  </w:pPr>
                  <w:r>
                    <w:rPr>
                      <w:rFonts w:hint="default"/>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1821" w:type="dxa"/>
                  <w:vMerge w:val="continue"/>
                  <w:tcBorders>
                    <w:tl2br w:val="nil"/>
                    <w:tr2bl w:val="nil"/>
                  </w:tcBorders>
                  <w:shd w:val="clear" w:color="auto" w:fill="FFFFFF"/>
                  <w:vAlign w:val="center"/>
                </w:tcPr>
                <w:p>
                  <w:pPr>
                    <w:jc w:val="center"/>
                    <w:rPr>
                      <w:rFonts w:hint="default"/>
                    </w:rPr>
                  </w:pPr>
                </w:p>
              </w:tc>
              <w:tc>
                <w:tcPr>
                  <w:tcW w:w="2682" w:type="dxa"/>
                  <w:tcBorders>
                    <w:tl2br w:val="nil"/>
                    <w:tr2bl w:val="nil"/>
                  </w:tcBorders>
                  <w:shd w:val="clear" w:color="auto" w:fill="FFFFFF"/>
                  <w:vAlign w:val="center"/>
                </w:tcPr>
                <w:p>
                  <w:pPr>
                    <w:jc w:val="center"/>
                    <w:rPr>
                      <w:rFonts w:hint="default"/>
                    </w:rPr>
                  </w:pPr>
                  <w:r>
                    <w:rPr>
                      <w:rFonts w:hint="default"/>
                    </w:rPr>
                    <w:t>2020.07.25 13:40</w:t>
                  </w:r>
                </w:p>
              </w:tc>
              <w:tc>
                <w:tcPr>
                  <w:tcW w:w="1612" w:type="dxa"/>
                  <w:vMerge w:val="continue"/>
                  <w:tcBorders>
                    <w:tl2br w:val="nil"/>
                    <w:tr2bl w:val="nil"/>
                  </w:tcBorders>
                  <w:shd w:val="clear" w:color="auto" w:fill="FFFFFF"/>
                  <w:vAlign w:val="center"/>
                </w:tcPr>
                <w:p>
                  <w:pPr>
                    <w:jc w:val="center"/>
                    <w:rPr>
                      <w:rFonts w:hint="default"/>
                    </w:rPr>
                  </w:pPr>
                </w:p>
              </w:tc>
              <w:tc>
                <w:tcPr>
                  <w:tcW w:w="1981" w:type="dxa"/>
                  <w:tcBorders>
                    <w:tl2br w:val="nil"/>
                    <w:tr2bl w:val="nil"/>
                  </w:tcBorders>
                  <w:shd w:val="clear" w:color="auto" w:fill="FFFFFF"/>
                  <w:vAlign w:val="center"/>
                </w:tcPr>
                <w:p>
                  <w:pPr>
                    <w:jc w:val="center"/>
                    <w:rPr>
                      <w:rFonts w:hint="default"/>
                    </w:rPr>
                  </w:pPr>
                  <w:r>
                    <w:rPr>
                      <w:rFonts w:hint="default"/>
                    </w:rPr>
                    <w:t>1.23</w:t>
                  </w:r>
                </w:p>
              </w:tc>
              <w:tc>
                <w:tcPr>
                  <w:tcW w:w="1583" w:type="dxa"/>
                  <w:tcBorders>
                    <w:tl2br w:val="nil"/>
                    <w:tr2bl w:val="nil"/>
                  </w:tcBorders>
                  <w:shd w:val="clear" w:color="auto" w:fill="FFFFFF"/>
                  <w:vAlign w:val="center"/>
                </w:tcPr>
                <w:p>
                  <w:pPr>
                    <w:widowControl/>
                    <w:jc w:val="center"/>
                    <w:rPr>
                      <w:rFonts w:hint="default"/>
                    </w:rPr>
                  </w:pPr>
                  <w:r>
                    <w:rPr>
                      <w:rFonts w:hint="default"/>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1821" w:type="dxa"/>
                  <w:vMerge w:val="continue"/>
                  <w:tcBorders>
                    <w:tl2br w:val="nil"/>
                    <w:tr2bl w:val="nil"/>
                  </w:tcBorders>
                  <w:shd w:val="clear" w:color="auto" w:fill="FFFFFF"/>
                  <w:vAlign w:val="center"/>
                </w:tcPr>
                <w:p>
                  <w:pPr>
                    <w:jc w:val="center"/>
                    <w:rPr>
                      <w:rFonts w:hint="default"/>
                    </w:rPr>
                  </w:pPr>
                </w:p>
              </w:tc>
              <w:tc>
                <w:tcPr>
                  <w:tcW w:w="2682" w:type="dxa"/>
                  <w:tcBorders>
                    <w:tl2br w:val="nil"/>
                    <w:tr2bl w:val="nil"/>
                  </w:tcBorders>
                  <w:shd w:val="clear" w:color="auto" w:fill="FFFFFF"/>
                  <w:vAlign w:val="center"/>
                </w:tcPr>
                <w:p>
                  <w:pPr>
                    <w:jc w:val="center"/>
                    <w:rPr>
                      <w:rFonts w:hint="default"/>
                    </w:rPr>
                  </w:pPr>
                  <w:r>
                    <w:rPr>
                      <w:rFonts w:hint="default"/>
                    </w:rPr>
                    <w:t>2020.07.26 11:35</w:t>
                  </w:r>
                </w:p>
              </w:tc>
              <w:tc>
                <w:tcPr>
                  <w:tcW w:w="1612" w:type="dxa"/>
                  <w:vMerge w:val="continue"/>
                  <w:tcBorders>
                    <w:tl2br w:val="nil"/>
                    <w:tr2bl w:val="nil"/>
                  </w:tcBorders>
                  <w:shd w:val="clear" w:color="auto" w:fill="FFFFFF"/>
                  <w:vAlign w:val="center"/>
                </w:tcPr>
                <w:p>
                  <w:pPr>
                    <w:jc w:val="center"/>
                    <w:rPr>
                      <w:rFonts w:hint="default"/>
                    </w:rPr>
                  </w:pPr>
                </w:p>
              </w:tc>
              <w:tc>
                <w:tcPr>
                  <w:tcW w:w="1981" w:type="dxa"/>
                  <w:tcBorders>
                    <w:tl2br w:val="nil"/>
                    <w:tr2bl w:val="nil"/>
                  </w:tcBorders>
                  <w:shd w:val="clear" w:color="auto" w:fill="FFFFFF"/>
                  <w:vAlign w:val="center"/>
                </w:tcPr>
                <w:p>
                  <w:pPr>
                    <w:jc w:val="center"/>
                    <w:rPr>
                      <w:rFonts w:hint="default"/>
                    </w:rPr>
                  </w:pPr>
                  <w:r>
                    <w:rPr>
                      <w:rFonts w:hint="default"/>
                    </w:rPr>
                    <w:t>1.57</w:t>
                  </w:r>
                </w:p>
              </w:tc>
              <w:tc>
                <w:tcPr>
                  <w:tcW w:w="1583" w:type="dxa"/>
                  <w:tcBorders>
                    <w:tl2br w:val="nil"/>
                    <w:tr2bl w:val="nil"/>
                  </w:tcBorders>
                  <w:shd w:val="clear" w:color="auto" w:fill="FFFFFF"/>
                  <w:vAlign w:val="center"/>
                </w:tcPr>
                <w:p>
                  <w:pPr>
                    <w:widowControl/>
                    <w:jc w:val="center"/>
                    <w:rPr>
                      <w:rFonts w:hint="default"/>
                    </w:rPr>
                  </w:pPr>
                  <w:r>
                    <w:rPr>
                      <w:rFonts w:hint="default"/>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1821" w:type="dxa"/>
                  <w:vMerge w:val="continue"/>
                  <w:tcBorders>
                    <w:tl2br w:val="nil"/>
                    <w:tr2bl w:val="nil"/>
                  </w:tcBorders>
                  <w:shd w:val="clear" w:color="auto" w:fill="FFFFFF"/>
                  <w:vAlign w:val="center"/>
                </w:tcPr>
                <w:p>
                  <w:pPr>
                    <w:jc w:val="center"/>
                    <w:rPr>
                      <w:rFonts w:hint="default"/>
                    </w:rPr>
                  </w:pPr>
                </w:p>
              </w:tc>
              <w:tc>
                <w:tcPr>
                  <w:tcW w:w="2682" w:type="dxa"/>
                  <w:tcBorders>
                    <w:tl2br w:val="nil"/>
                    <w:tr2bl w:val="nil"/>
                  </w:tcBorders>
                  <w:shd w:val="clear" w:color="auto" w:fill="FFFFFF"/>
                  <w:vAlign w:val="center"/>
                </w:tcPr>
                <w:p>
                  <w:pPr>
                    <w:jc w:val="center"/>
                    <w:rPr>
                      <w:rFonts w:hint="default"/>
                    </w:rPr>
                  </w:pPr>
                  <w:r>
                    <w:rPr>
                      <w:rFonts w:hint="default"/>
                    </w:rPr>
                    <w:t>2020.07.26 12:35</w:t>
                  </w:r>
                </w:p>
              </w:tc>
              <w:tc>
                <w:tcPr>
                  <w:tcW w:w="1612" w:type="dxa"/>
                  <w:vMerge w:val="continue"/>
                  <w:tcBorders>
                    <w:tl2br w:val="nil"/>
                    <w:tr2bl w:val="nil"/>
                  </w:tcBorders>
                  <w:shd w:val="clear" w:color="auto" w:fill="FFFFFF"/>
                  <w:vAlign w:val="center"/>
                </w:tcPr>
                <w:p>
                  <w:pPr>
                    <w:jc w:val="center"/>
                    <w:rPr>
                      <w:rFonts w:hint="default"/>
                    </w:rPr>
                  </w:pPr>
                </w:p>
              </w:tc>
              <w:tc>
                <w:tcPr>
                  <w:tcW w:w="1981" w:type="dxa"/>
                  <w:tcBorders>
                    <w:tl2br w:val="nil"/>
                    <w:tr2bl w:val="nil"/>
                  </w:tcBorders>
                  <w:shd w:val="clear" w:color="auto" w:fill="FFFFFF"/>
                  <w:vAlign w:val="center"/>
                </w:tcPr>
                <w:p>
                  <w:pPr>
                    <w:jc w:val="center"/>
                    <w:rPr>
                      <w:rFonts w:hint="default"/>
                    </w:rPr>
                  </w:pPr>
                  <w:r>
                    <w:rPr>
                      <w:rFonts w:hint="default"/>
                    </w:rPr>
                    <w:t>1.43</w:t>
                  </w:r>
                </w:p>
              </w:tc>
              <w:tc>
                <w:tcPr>
                  <w:tcW w:w="1583" w:type="dxa"/>
                  <w:tcBorders>
                    <w:tl2br w:val="nil"/>
                    <w:tr2bl w:val="nil"/>
                  </w:tcBorders>
                  <w:shd w:val="clear" w:color="auto" w:fill="FFFFFF"/>
                  <w:vAlign w:val="center"/>
                </w:tcPr>
                <w:p>
                  <w:pPr>
                    <w:widowControl/>
                    <w:jc w:val="center"/>
                    <w:rPr>
                      <w:rFonts w:hint="default"/>
                    </w:rPr>
                  </w:pPr>
                  <w:r>
                    <w:rPr>
                      <w:rFonts w:hint="default"/>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1821" w:type="dxa"/>
                  <w:vMerge w:val="continue"/>
                  <w:tcBorders>
                    <w:tl2br w:val="nil"/>
                    <w:tr2bl w:val="nil"/>
                  </w:tcBorders>
                  <w:shd w:val="clear" w:color="auto" w:fill="FFFFFF"/>
                  <w:vAlign w:val="center"/>
                </w:tcPr>
                <w:p>
                  <w:pPr>
                    <w:jc w:val="center"/>
                    <w:rPr>
                      <w:rFonts w:hint="default"/>
                    </w:rPr>
                  </w:pPr>
                </w:p>
              </w:tc>
              <w:tc>
                <w:tcPr>
                  <w:tcW w:w="2682" w:type="dxa"/>
                  <w:tcBorders>
                    <w:tl2br w:val="nil"/>
                    <w:tr2bl w:val="nil"/>
                  </w:tcBorders>
                  <w:shd w:val="clear" w:color="auto" w:fill="FFFFFF"/>
                  <w:vAlign w:val="center"/>
                </w:tcPr>
                <w:p>
                  <w:pPr>
                    <w:jc w:val="center"/>
                    <w:rPr>
                      <w:rFonts w:hint="default"/>
                    </w:rPr>
                  </w:pPr>
                  <w:r>
                    <w:rPr>
                      <w:rFonts w:hint="default"/>
                    </w:rPr>
                    <w:t>2020.07.26 13:35</w:t>
                  </w:r>
                </w:p>
              </w:tc>
              <w:tc>
                <w:tcPr>
                  <w:tcW w:w="1612" w:type="dxa"/>
                  <w:vMerge w:val="continue"/>
                  <w:tcBorders>
                    <w:tl2br w:val="nil"/>
                    <w:tr2bl w:val="nil"/>
                  </w:tcBorders>
                  <w:shd w:val="clear" w:color="auto" w:fill="FFFFFF"/>
                  <w:vAlign w:val="center"/>
                </w:tcPr>
                <w:p>
                  <w:pPr>
                    <w:jc w:val="center"/>
                    <w:rPr>
                      <w:rFonts w:hint="default"/>
                    </w:rPr>
                  </w:pPr>
                </w:p>
              </w:tc>
              <w:tc>
                <w:tcPr>
                  <w:tcW w:w="1981" w:type="dxa"/>
                  <w:tcBorders>
                    <w:tl2br w:val="nil"/>
                    <w:tr2bl w:val="nil"/>
                  </w:tcBorders>
                  <w:shd w:val="clear" w:color="auto" w:fill="FFFFFF"/>
                  <w:vAlign w:val="center"/>
                </w:tcPr>
                <w:p>
                  <w:pPr>
                    <w:jc w:val="center"/>
                    <w:rPr>
                      <w:rFonts w:hint="default"/>
                    </w:rPr>
                  </w:pPr>
                  <w:r>
                    <w:rPr>
                      <w:rFonts w:hint="default"/>
                    </w:rPr>
                    <w:t>1.32</w:t>
                  </w:r>
                </w:p>
              </w:tc>
              <w:tc>
                <w:tcPr>
                  <w:tcW w:w="1583" w:type="dxa"/>
                  <w:tcBorders>
                    <w:tl2br w:val="nil"/>
                    <w:tr2bl w:val="nil"/>
                  </w:tcBorders>
                  <w:shd w:val="clear" w:color="auto" w:fill="FFFFFF"/>
                  <w:vAlign w:val="center"/>
                </w:tcPr>
                <w:p>
                  <w:pPr>
                    <w:widowControl/>
                    <w:jc w:val="center"/>
                    <w:rPr>
                      <w:rFonts w:hint="default"/>
                    </w:rPr>
                  </w:pPr>
                  <w:r>
                    <w:rPr>
                      <w:rFonts w:hint="default"/>
                    </w:rPr>
                    <w:t>达标</w:t>
                  </w:r>
                </w:p>
              </w:tc>
            </w:tr>
          </w:tbl>
          <w:p>
            <w:pPr>
              <w:keepNext w:val="0"/>
              <w:keepLines w:val="0"/>
              <w:suppressLineNumbers w:val="0"/>
              <w:autoSpaceDE w:val="0"/>
              <w:autoSpaceDN w:val="0"/>
              <w:bidi w:val="0"/>
              <w:spacing w:before="0" w:beforeAutospacing="0" w:after="0" w:afterAutospacing="0" w:line="360" w:lineRule="auto"/>
              <w:ind w:left="0" w:right="0" w:firstLine="420" w:firstLineChars="200"/>
              <w:rPr>
                <w:rFonts w:hint="default"/>
                <w:lang w:val="en-US" w:eastAsia="zh-CN"/>
              </w:rPr>
            </w:pPr>
            <w:r>
              <w:rPr>
                <w:rFonts w:hint="eastAsia"/>
                <w:lang w:val="en-US" w:eastAsia="zh-CN"/>
              </w:rPr>
              <w:t>无组织废气监测结果表明：2020年7月25日和2020年7月26日，芜湖永达科技有限公司上风向1、下风向1、下风向2，下风向3无组织废气中的非甲烷总烃浓度均满足《工业企业挥发性有机物排放控制标准》（DB13/2322—2016）中的标准限值，同时满足《挥发性有机物无组织排放控制标准》（GB 37822-2019）限值。</w:t>
            </w:r>
          </w:p>
          <w:p>
            <w:pPr>
              <w:keepNext w:val="0"/>
              <w:keepLines w:val="0"/>
              <w:suppressLineNumbers w:val="0"/>
              <w:autoSpaceDE w:val="0"/>
              <w:autoSpaceDN w:val="0"/>
              <w:bidi w:val="0"/>
              <w:spacing w:before="0" w:beforeAutospacing="0" w:after="0" w:afterAutospacing="0" w:line="360" w:lineRule="auto"/>
              <w:ind w:left="0" w:right="0" w:firstLine="420" w:firstLineChars="200"/>
              <w:rPr>
                <w:rFonts w:hint="eastAsia"/>
                <w:lang w:val="en-US" w:eastAsia="zh-CN"/>
              </w:rPr>
            </w:pPr>
            <w:r>
              <w:rPr>
                <w:rFonts w:hint="eastAsia"/>
                <w:lang w:val="en-US" w:eastAsia="zh-CN"/>
              </w:rPr>
              <w:t>验收监测期间气象条件</w:t>
            </w:r>
          </w:p>
          <w:tbl>
            <w:tblPr>
              <w:tblStyle w:val="32"/>
              <w:tblW w:w="9639" w:type="dxa"/>
              <w:jc w:val="center"/>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autofit"/>
              <w:tblCellMar>
                <w:top w:w="0" w:type="dxa"/>
                <w:left w:w="108" w:type="dxa"/>
                <w:bottom w:w="0" w:type="dxa"/>
                <w:right w:w="108" w:type="dxa"/>
              </w:tblCellMar>
            </w:tblPr>
            <w:tblGrid>
              <w:gridCol w:w="1276"/>
              <w:gridCol w:w="2003"/>
              <w:gridCol w:w="1574"/>
              <w:gridCol w:w="1577"/>
              <w:gridCol w:w="1892"/>
              <w:gridCol w:w="1317"/>
            </w:tblGrid>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445" w:hRule="atLeast"/>
                <w:jc w:val="center"/>
              </w:trPr>
              <w:tc>
                <w:tcPr>
                  <w:tcW w:w="1276" w:type="dxa"/>
                  <w:tcBorders>
                    <w:tl2br w:val="nil"/>
                    <w:tr2bl w:val="nil"/>
                  </w:tcBorders>
                  <w:shd w:val="clear" w:color="FFFFFF" w:fill="FFFFFF"/>
                  <w:vAlign w:val="center"/>
                </w:tcPr>
                <w:p>
                  <w:pPr>
                    <w:spacing w:line="276" w:lineRule="auto"/>
                    <w:ind w:right="-34" w:rightChars="-16"/>
                    <w:jc w:val="center"/>
                    <w:rPr>
                      <w:rFonts w:hint="default"/>
                    </w:rPr>
                  </w:pPr>
                  <w:r>
                    <w:rPr>
                      <w:rFonts w:hint="default"/>
                    </w:rPr>
                    <w:t>日期</w:t>
                  </w:r>
                </w:p>
              </w:tc>
              <w:tc>
                <w:tcPr>
                  <w:tcW w:w="2003" w:type="dxa"/>
                  <w:tcBorders>
                    <w:tl2br w:val="nil"/>
                    <w:tr2bl w:val="nil"/>
                  </w:tcBorders>
                  <w:shd w:val="clear" w:color="FFFFFF" w:fill="FFFFFF"/>
                  <w:vAlign w:val="center"/>
                </w:tcPr>
                <w:p>
                  <w:pPr>
                    <w:spacing w:line="276" w:lineRule="auto"/>
                    <w:ind w:right="-34" w:rightChars="-16"/>
                    <w:jc w:val="center"/>
                    <w:rPr>
                      <w:rFonts w:hint="default"/>
                    </w:rPr>
                  </w:pPr>
                  <w:r>
                    <w:rPr>
                      <w:rFonts w:hint="default"/>
                    </w:rPr>
                    <w:t>风向</w:t>
                  </w:r>
                </w:p>
              </w:tc>
              <w:tc>
                <w:tcPr>
                  <w:tcW w:w="1574" w:type="dxa"/>
                  <w:tcBorders>
                    <w:tl2br w:val="nil"/>
                    <w:tr2bl w:val="nil"/>
                  </w:tcBorders>
                  <w:shd w:val="clear" w:color="FFFFFF" w:fill="FFFFFF"/>
                  <w:vAlign w:val="center"/>
                </w:tcPr>
                <w:p>
                  <w:pPr>
                    <w:spacing w:line="276" w:lineRule="auto"/>
                    <w:ind w:right="-34" w:rightChars="-16"/>
                    <w:jc w:val="center"/>
                    <w:rPr>
                      <w:rFonts w:hint="default"/>
                    </w:rPr>
                  </w:pPr>
                  <w:r>
                    <w:rPr>
                      <w:rFonts w:hint="default"/>
                    </w:rPr>
                    <w:t>风速（m/s）</w:t>
                  </w:r>
                </w:p>
              </w:tc>
              <w:tc>
                <w:tcPr>
                  <w:tcW w:w="1577" w:type="dxa"/>
                  <w:tcBorders>
                    <w:tl2br w:val="nil"/>
                    <w:tr2bl w:val="nil"/>
                  </w:tcBorders>
                  <w:shd w:val="clear" w:color="FFFFFF" w:fill="FFFFFF"/>
                  <w:vAlign w:val="center"/>
                </w:tcPr>
                <w:p>
                  <w:pPr>
                    <w:spacing w:line="276" w:lineRule="auto"/>
                    <w:ind w:right="-34" w:rightChars="-16"/>
                    <w:jc w:val="center"/>
                    <w:rPr>
                      <w:rFonts w:hint="default"/>
                    </w:rPr>
                  </w:pPr>
                  <w:r>
                    <w:rPr>
                      <w:rFonts w:hint="default"/>
                    </w:rPr>
                    <w:t>气温（℃）</w:t>
                  </w:r>
                </w:p>
              </w:tc>
              <w:tc>
                <w:tcPr>
                  <w:tcW w:w="1892" w:type="dxa"/>
                  <w:tcBorders>
                    <w:tl2br w:val="nil"/>
                    <w:tr2bl w:val="nil"/>
                  </w:tcBorders>
                  <w:shd w:val="clear" w:color="FFFFFF" w:fill="FFFFFF"/>
                  <w:vAlign w:val="center"/>
                </w:tcPr>
                <w:p>
                  <w:pPr>
                    <w:spacing w:line="276" w:lineRule="auto"/>
                    <w:ind w:right="-34" w:rightChars="-16"/>
                    <w:jc w:val="center"/>
                    <w:rPr>
                      <w:rFonts w:hint="default"/>
                    </w:rPr>
                  </w:pPr>
                  <w:r>
                    <w:rPr>
                      <w:rFonts w:hint="default"/>
                    </w:rPr>
                    <w:t>气压（kPa）</w:t>
                  </w:r>
                </w:p>
              </w:tc>
              <w:tc>
                <w:tcPr>
                  <w:tcW w:w="1317" w:type="dxa"/>
                  <w:tcBorders>
                    <w:tl2br w:val="nil"/>
                    <w:tr2bl w:val="nil"/>
                  </w:tcBorders>
                  <w:shd w:val="clear" w:color="FFFFFF" w:fill="FFFFFF"/>
                  <w:vAlign w:val="center"/>
                </w:tcPr>
                <w:p>
                  <w:pPr>
                    <w:spacing w:line="276" w:lineRule="auto"/>
                    <w:ind w:right="-34" w:rightChars="-16"/>
                    <w:jc w:val="center"/>
                    <w:rPr>
                      <w:rFonts w:hint="default"/>
                    </w:rPr>
                  </w:pPr>
                  <w:r>
                    <w:rPr>
                      <w:rFonts w:hint="default"/>
                    </w:rPr>
                    <w:t>天气情况</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445" w:hRule="atLeast"/>
                <w:jc w:val="center"/>
              </w:trPr>
              <w:tc>
                <w:tcPr>
                  <w:tcW w:w="1276" w:type="dxa"/>
                  <w:tcBorders>
                    <w:tl2br w:val="nil"/>
                    <w:tr2bl w:val="nil"/>
                  </w:tcBorders>
                  <w:shd w:val="clear" w:color="FFFFFF" w:fill="FFFFFF"/>
                  <w:vAlign w:val="center"/>
                </w:tcPr>
                <w:p>
                  <w:pPr>
                    <w:spacing w:line="276" w:lineRule="auto"/>
                    <w:ind w:right="-34" w:rightChars="-16"/>
                    <w:jc w:val="center"/>
                    <w:rPr>
                      <w:rFonts w:hint="default"/>
                    </w:rPr>
                  </w:pPr>
                  <w:r>
                    <w:rPr>
                      <w:rFonts w:hint="default"/>
                    </w:rPr>
                    <w:t>2020.07.25</w:t>
                  </w:r>
                </w:p>
              </w:tc>
              <w:tc>
                <w:tcPr>
                  <w:tcW w:w="2003" w:type="dxa"/>
                  <w:tcBorders>
                    <w:tl2br w:val="nil"/>
                    <w:tr2bl w:val="nil"/>
                  </w:tcBorders>
                  <w:shd w:val="clear" w:color="FFFFFF" w:fill="FFFFFF"/>
                  <w:vAlign w:val="center"/>
                </w:tcPr>
                <w:p>
                  <w:pPr>
                    <w:spacing w:line="276" w:lineRule="auto"/>
                    <w:ind w:right="-34" w:rightChars="-16"/>
                    <w:jc w:val="center"/>
                    <w:rPr>
                      <w:rFonts w:hint="default"/>
                    </w:rPr>
                  </w:pPr>
                  <w:r>
                    <w:rPr>
                      <w:rFonts w:hint="default"/>
                    </w:rPr>
                    <w:t>东</w:t>
                  </w:r>
                </w:p>
              </w:tc>
              <w:tc>
                <w:tcPr>
                  <w:tcW w:w="1574" w:type="dxa"/>
                  <w:tcBorders>
                    <w:tl2br w:val="nil"/>
                    <w:tr2bl w:val="nil"/>
                  </w:tcBorders>
                  <w:shd w:val="clear" w:color="FFFFFF" w:fill="FFFFFF"/>
                  <w:vAlign w:val="center"/>
                </w:tcPr>
                <w:p>
                  <w:pPr>
                    <w:spacing w:line="276" w:lineRule="auto"/>
                    <w:ind w:right="-34" w:rightChars="-16"/>
                    <w:jc w:val="center"/>
                    <w:rPr>
                      <w:rFonts w:hint="default"/>
                    </w:rPr>
                  </w:pPr>
                  <w:r>
                    <w:rPr>
                      <w:rFonts w:hint="default"/>
                    </w:rPr>
                    <w:t>1.9</w:t>
                  </w:r>
                </w:p>
              </w:tc>
              <w:tc>
                <w:tcPr>
                  <w:tcW w:w="1577" w:type="dxa"/>
                  <w:tcBorders>
                    <w:tl2br w:val="nil"/>
                    <w:tr2bl w:val="nil"/>
                  </w:tcBorders>
                  <w:shd w:val="clear" w:color="FFFFFF" w:fill="FFFFFF"/>
                  <w:vAlign w:val="center"/>
                </w:tcPr>
                <w:p>
                  <w:pPr>
                    <w:spacing w:line="276" w:lineRule="auto"/>
                    <w:ind w:right="-34" w:rightChars="-16"/>
                    <w:jc w:val="center"/>
                    <w:rPr>
                      <w:rFonts w:hint="default"/>
                    </w:rPr>
                  </w:pPr>
                  <w:r>
                    <w:rPr>
                      <w:rFonts w:hint="default"/>
                    </w:rPr>
                    <w:t>22.1-22.5</w:t>
                  </w:r>
                </w:p>
              </w:tc>
              <w:tc>
                <w:tcPr>
                  <w:tcW w:w="1892" w:type="dxa"/>
                  <w:tcBorders>
                    <w:tl2br w:val="nil"/>
                    <w:tr2bl w:val="nil"/>
                  </w:tcBorders>
                  <w:shd w:val="clear" w:color="FFFFFF" w:fill="FFFFFF"/>
                  <w:vAlign w:val="center"/>
                </w:tcPr>
                <w:p>
                  <w:pPr>
                    <w:spacing w:line="276" w:lineRule="auto"/>
                    <w:ind w:right="-34" w:rightChars="-16"/>
                    <w:jc w:val="center"/>
                    <w:rPr>
                      <w:rFonts w:hint="default"/>
                    </w:rPr>
                  </w:pPr>
                  <w:r>
                    <w:rPr>
                      <w:rFonts w:hint="default"/>
                    </w:rPr>
                    <w:t>100.4-100.5</w:t>
                  </w:r>
                </w:p>
              </w:tc>
              <w:tc>
                <w:tcPr>
                  <w:tcW w:w="1317" w:type="dxa"/>
                  <w:tcBorders>
                    <w:tl2br w:val="nil"/>
                    <w:tr2bl w:val="nil"/>
                  </w:tcBorders>
                  <w:shd w:val="clear" w:color="FFFFFF" w:fill="FFFFFF"/>
                  <w:vAlign w:val="center"/>
                </w:tcPr>
                <w:p>
                  <w:pPr>
                    <w:spacing w:line="276" w:lineRule="auto"/>
                    <w:ind w:right="-34" w:rightChars="-16"/>
                    <w:jc w:val="center"/>
                    <w:rPr>
                      <w:rFonts w:hint="default"/>
                    </w:rPr>
                  </w:pPr>
                  <w:r>
                    <w:rPr>
                      <w:rFonts w:hint="default"/>
                    </w:rPr>
                    <w:t>阴</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445" w:hRule="atLeast"/>
                <w:jc w:val="center"/>
              </w:trPr>
              <w:tc>
                <w:tcPr>
                  <w:tcW w:w="1276" w:type="dxa"/>
                  <w:tcBorders>
                    <w:tl2br w:val="nil"/>
                    <w:tr2bl w:val="nil"/>
                  </w:tcBorders>
                  <w:shd w:val="clear" w:color="FFFFFF" w:fill="FFFFFF"/>
                  <w:vAlign w:val="center"/>
                </w:tcPr>
                <w:p>
                  <w:pPr>
                    <w:spacing w:line="276" w:lineRule="auto"/>
                    <w:ind w:right="-34" w:rightChars="-16"/>
                    <w:jc w:val="center"/>
                    <w:rPr>
                      <w:rFonts w:hint="default"/>
                    </w:rPr>
                  </w:pPr>
                  <w:r>
                    <w:rPr>
                      <w:rFonts w:hint="default"/>
                    </w:rPr>
                    <w:t>2020.07.26</w:t>
                  </w:r>
                </w:p>
              </w:tc>
              <w:tc>
                <w:tcPr>
                  <w:tcW w:w="2003" w:type="dxa"/>
                  <w:tcBorders>
                    <w:tl2br w:val="nil"/>
                    <w:tr2bl w:val="nil"/>
                  </w:tcBorders>
                  <w:shd w:val="clear" w:color="FFFFFF" w:fill="FFFFFF"/>
                  <w:vAlign w:val="center"/>
                </w:tcPr>
                <w:p>
                  <w:pPr>
                    <w:spacing w:line="276" w:lineRule="auto"/>
                    <w:ind w:right="-34" w:rightChars="-16"/>
                    <w:jc w:val="center"/>
                    <w:rPr>
                      <w:rFonts w:hint="default"/>
                    </w:rPr>
                  </w:pPr>
                  <w:r>
                    <w:rPr>
                      <w:rFonts w:hint="default"/>
                    </w:rPr>
                    <w:t>东</w:t>
                  </w:r>
                </w:p>
              </w:tc>
              <w:tc>
                <w:tcPr>
                  <w:tcW w:w="1574" w:type="dxa"/>
                  <w:tcBorders>
                    <w:tl2br w:val="nil"/>
                    <w:tr2bl w:val="nil"/>
                  </w:tcBorders>
                  <w:shd w:val="clear" w:color="FFFFFF" w:fill="FFFFFF"/>
                  <w:vAlign w:val="center"/>
                </w:tcPr>
                <w:p>
                  <w:pPr>
                    <w:spacing w:line="276" w:lineRule="auto"/>
                    <w:ind w:right="-34" w:rightChars="-16"/>
                    <w:jc w:val="center"/>
                    <w:rPr>
                      <w:rFonts w:hint="default"/>
                    </w:rPr>
                  </w:pPr>
                  <w:r>
                    <w:rPr>
                      <w:rFonts w:hint="default"/>
                    </w:rPr>
                    <w:t>2.1</w:t>
                  </w:r>
                </w:p>
              </w:tc>
              <w:tc>
                <w:tcPr>
                  <w:tcW w:w="1577" w:type="dxa"/>
                  <w:tcBorders>
                    <w:tl2br w:val="nil"/>
                    <w:tr2bl w:val="nil"/>
                  </w:tcBorders>
                  <w:shd w:val="clear" w:color="FFFFFF" w:fill="FFFFFF"/>
                  <w:vAlign w:val="center"/>
                </w:tcPr>
                <w:p>
                  <w:pPr>
                    <w:spacing w:line="276" w:lineRule="auto"/>
                    <w:ind w:right="-34" w:rightChars="-16"/>
                    <w:jc w:val="center"/>
                    <w:rPr>
                      <w:rFonts w:hint="default"/>
                    </w:rPr>
                  </w:pPr>
                  <w:r>
                    <w:rPr>
                      <w:rFonts w:hint="default"/>
                    </w:rPr>
                    <w:t>26.8-28.2</w:t>
                  </w:r>
                </w:p>
              </w:tc>
              <w:tc>
                <w:tcPr>
                  <w:tcW w:w="1892" w:type="dxa"/>
                  <w:tcBorders>
                    <w:tl2br w:val="nil"/>
                    <w:tr2bl w:val="nil"/>
                  </w:tcBorders>
                  <w:shd w:val="clear" w:color="FFFFFF" w:fill="FFFFFF"/>
                  <w:vAlign w:val="center"/>
                </w:tcPr>
                <w:p>
                  <w:pPr>
                    <w:spacing w:line="276" w:lineRule="auto"/>
                    <w:ind w:right="-34" w:rightChars="-16"/>
                    <w:jc w:val="center"/>
                    <w:rPr>
                      <w:rFonts w:hint="default"/>
                    </w:rPr>
                  </w:pPr>
                  <w:r>
                    <w:rPr>
                      <w:rFonts w:hint="default"/>
                    </w:rPr>
                    <w:t>100.2-100.6</w:t>
                  </w:r>
                </w:p>
              </w:tc>
              <w:tc>
                <w:tcPr>
                  <w:tcW w:w="1317" w:type="dxa"/>
                  <w:tcBorders>
                    <w:tl2br w:val="nil"/>
                    <w:tr2bl w:val="nil"/>
                  </w:tcBorders>
                  <w:shd w:val="clear" w:color="FFFFFF" w:fill="FFFFFF"/>
                  <w:vAlign w:val="center"/>
                </w:tcPr>
                <w:p>
                  <w:pPr>
                    <w:spacing w:line="276" w:lineRule="auto"/>
                    <w:ind w:right="-34" w:rightChars="-16"/>
                    <w:jc w:val="center"/>
                    <w:rPr>
                      <w:rFonts w:hint="default"/>
                    </w:rPr>
                  </w:pPr>
                  <w:r>
                    <w:rPr>
                      <w:rFonts w:hint="default"/>
                    </w:rPr>
                    <w:t>晴</w:t>
                  </w:r>
                </w:p>
              </w:tc>
            </w:tr>
          </w:tbl>
          <w:p>
            <w:pPr>
              <w:spacing w:line="360" w:lineRule="auto"/>
            </w:pPr>
            <w:r>
              <w:rPr>
                <w:rFonts w:hint="eastAsia"/>
              </w:rPr>
              <w:t>3、噪声监测结果</w:t>
            </w:r>
          </w:p>
          <w:p>
            <w:pPr>
              <w:widowControl/>
              <w:spacing w:line="360" w:lineRule="auto"/>
              <w:jc w:val="center"/>
            </w:pPr>
            <w:r>
              <w:rPr>
                <w:rFonts w:hint="eastAsia"/>
              </w:rPr>
              <w:t>表7</w:t>
            </w:r>
            <w:r>
              <w:t>-</w:t>
            </w:r>
            <w:r>
              <w:rPr>
                <w:rFonts w:hint="eastAsia"/>
                <w:lang w:val="en-US" w:eastAsia="zh-CN"/>
              </w:rPr>
              <w:t>7</w:t>
            </w:r>
            <w:r>
              <w:rPr>
                <w:rFonts w:hint="eastAsia"/>
              </w:rPr>
              <w:t xml:space="preserve">  噪声监测结果表</w:t>
            </w:r>
          </w:p>
          <w:tbl>
            <w:tblPr>
              <w:tblStyle w:val="33"/>
              <w:tblW w:w="9864"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004"/>
              <w:gridCol w:w="1208"/>
              <w:gridCol w:w="1541"/>
              <w:gridCol w:w="2391"/>
              <w:gridCol w:w="1544"/>
              <w:gridCol w:w="1122"/>
              <w:gridCol w:w="1054"/>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04" w:type="dxa"/>
                  <w:tcBorders>
                    <w:tl2br w:val="nil"/>
                    <w:tr2bl w:val="nil"/>
                  </w:tcBorders>
                  <w:vAlign w:val="center"/>
                </w:tcPr>
                <w:p>
                  <w:pPr>
                    <w:ind w:left="-4" w:leftChars="-2" w:right="-34" w:rightChars="-16" w:firstLine="2" w:firstLineChars="1"/>
                    <w:jc w:val="center"/>
                    <w:rPr>
                      <w:rFonts w:hint="default"/>
                    </w:rPr>
                  </w:pPr>
                  <w:r>
                    <w:rPr>
                      <w:rFonts w:hint="default"/>
                    </w:rPr>
                    <w:t>检测点位</w:t>
                  </w:r>
                </w:p>
              </w:tc>
              <w:tc>
                <w:tcPr>
                  <w:tcW w:w="1208" w:type="dxa"/>
                  <w:tcBorders>
                    <w:tl2br w:val="nil"/>
                    <w:tr2bl w:val="nil"/>
                  </w:tcBorders>
                  <w:vAlign w:val="center"/>
                </w:tcPr>
                <w:p>
                  <w:pPr>
                    <w:ind w:left="-4" w:leftChars="-2" w:right="-34" w:rightChars="-16" w:firstLine="2" w:firstLineChars="1"/>
                    <w:jc w:val="center"/>
                    <w:rPr>
                      <w:rFonts w:hint="default"/>
                    </w:rPr>
                  </w:pPr>
                  <w:r>
                    <w:rPr>
                      <w:rFonts w:hint="default"/>
                    </w:rPr>
                    <w:t>对应位置</w:t>
                  </w:r>
                </w:p>
              </w:tc>
              <w:tc>
                <w:tcPr>
                  <w:tcW w:w="1541" w:type="dxa"/>
                  <w:tcBorders>
                    <w:tl2br w:val="nil"/>
                    <w:tr2bl w:val="nil"/>
                  </w:tcBorders>
                  <w:vAlign w:val="center"/>
                </w:tcPr>
                <w:p>
                  <w:pPr>
                    <w:ind w:left="-4" w:leftChars="-2" w:right="-34" w:rightChars="-16" w:firstLine="2" w:firstLineChars="1"/>
                    <w:jc w:val="center"/>
                    <w:rPr>
                      <w:rFonts w:hint="default"/>
                    </w:rPr>
                  </w:pPr>
                  <w:r>
                    <w:rPr>
                      <w:rFonts w:hint="default"/>
                    </w:rPr>
                    <w:t>检测项目</w:t>
                  </w:r>
                </w:p>
              </w:tc>
              <w:tc>
                <w:tcPr>
                  <w:tcW w:w="2391" w:type="dxa"/>
                  <w:tcBorders>
                    <w:tl2br w:val="nil"/>
                    <w:tr2bl w:val="nil"/>
                  </w:tcBorders>
                  <w:vAlign w:val="center"/>
                </w:tcPr>
                <w:p>
                  <w:pPr>
                    <w:ind w:left="-4" w:leftChars="-2" w:right="-34" w:rightChars="-16" w:firstLine="2" w:firstLineChars="1"/>
                    <w:jc w:val="center"/>
                    <w:rPr>
                      <w:rFonts w:hint="default"/>
                    </w:rPr>
                  </w:pPr>
                  <w:r>
                    <w:rPr>
                      <w:rFonts w:hint="default"/>
                    </w:rPr>
                    <w:t>测量时间</w:t>
                  </w:r>
                </w:p>
              </w:tc>
              <w:tc>
                <w:tcPr>
                  <w:tcW w:w="1544" w:type="dxa"/>
                  <w:tcBorders>
                    <w:tl2br w:val="nil"/>
                    <w:tr2bl w:val="nil"/>
                  </w:tcBorders>
                  <w:vAlign w:val="center"/>
                </w:tcPr>
                <w:p>
                  <w:pPr>
                    <w:ind w:left="-4" w:leftChars="-2" w:right="-34" w:rightChars="-16" w:firstLine="2" w:firstLineChars="1"/>
                    <w:jc w:val="center"/>
                    <w:rPr>
                      <w:rFonts w:hint="default"/>
                    </w:rPr>
                  </w:pPr>
                  <w:r>
                    <w:rPr>
                      <w:rFonts w:hint="default"/>
                    </w:rPr>
                    <w:t>噪声检测结果dB(A)</w:t>
                  </w:r>
                </w:p>
              </w:tc>
              <w:tc>
                <w:tcPr>
                  <w:tcW w:w="1122" w:type="dxa"/>
                  <w:tcBorders>
                    <w:tl2br w:val="nil"/>
                    <w:tr2bl w:val="nil"/>
                  </w:tcBorders>
                  <w:vAlign w:val="center"/>
                </w:tcPr>
                <w:p>
                  <w:pPr>
                    <w:ind w:left="-4" w:leftChars="-2" w:right="-34" w:rightChars="-16" w:firstLine="2" w:firstLineChars="1"/>
                    <w:jc w:val="center"/>
                    <w:rPr>
                      <w:rFonts w:hint="default"/>
                    </w:rPr>
                  </w:pPr>
                  <w:r>
                    <w:rPr>
                      <w:rFonts w:hint="default"/>
                    </w:rPr>
                    <w:t>排放限值dB(A)</w:t>
                  </w:r>
                </w:p>
              </w:tc>
              <w:tc>
                <w:tcPr>
                  <w:tcW w:w="1054" w:type="dxa"/>
                  <w:tcBorders>
                    <w:tl2br w:val="nil"/>
                    <w:tr2bl w:val="nil"/>
                  </w:tcBorders>
                  <w:vAlign w:val="center"/>
                </w:tcPr>
                <w:p>
                  <w:pPr>
                    <w:ind w:left="-4" w:leftChars="-2" w:right="-34" w:rightChars="-16" w:firstLine="2" w:firstLineChars="1"/>
                    <w:jc w:val="center"/>
                    <w:rPr>
                      <w:rFonts w:hint="default"/>
                    </w:rPr>
                  </w:pPr>
                  <w:r>
                    <w:rPr>
                      <w:rFonts w:hint="default"/>
                    </w:rPr>
                    <w:t>达标情况</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04" w:type="dxa"/>
                  <w:vMerge w:val="restart"/>
                  <w:tcBorders>
                    <w:tl2br w:val="nil"/>
                    <w:tr2bl w:val="nil"/>
                  </w:tcBorders>
                  <w:vAlign w:val="center"/>
                </w:tcPr>
                <w:p>
                  <w:pPr>
                    <w:ind w:left="-4" w:leftChars="-2" w:right="-34" w:rightChars="-16" w:firstLine="2" w:firstLineChars="1"/>
                    <w:jc w:val="center"/>
                    <w:rPr>
                      <w:rFonts w:hint="default"/>
                    </w:rPr>
                  </w:pPr>
                  <w:r>
                    <w:rPr>
                      <w:rFonts w:hint="default"/>
                    </w:rPr>
                    <w:t>1#</w:t>
                  </w:r>
                </w:p>
              </w:tc>
              <w:tc>
                <w:tcPr>
                  <w:tcW w:w="1208" w:type="dxa"/>
                  <w:vMerge w:val="restart"/>
                  <w:tcBorders>
                    <w:tl2br w:val="nil"/>
                    <w:tr2bl w:val="nil"/>
                  </w:tcBorders>
                  <w:vAlign w:val="center"/>
                </w:tcPr>
                <w:p>
                  <w:pPr>
                    <w:widowControl/>
                    <w:jc w:val="center"/>
                    <w:rPr>
                      <w:rFonts w:hint="default"/>
                    </w:rPr>
                  </w:pPr>
                  <w:r>
                    <w:rPr>
                      <w:rFonts w:hint="default"/>
                    </w:rPr>
                    <w:t>厂界东</w:t>
                  </w:r>
                </w:p>
              </w:tc>
              <w:tc>
                <w:tcPr>
                  <w:tcW w:w="1541" w:type="dxa"/>
                  <w:vMerge w:val="restart"/>
                  <w:tcBorders>
                    <w:tl2br w:val="nil"/>
                    <w:tr2bl w:val="nil"/>
                  </w:tcBorders>
                  <w:vAlign w:val="center"/>
                </w:tcPr>
                <w:p>
                  <w:pPr>
                    <w:ind w:left="-4" w:leftChars="-2" w:right="-34" w:rightChars="-16" w:firstLine="2" w:firstLineChars="1"/>
                    <w:jc w:val="center"/>
                    <w:rPr>
                      <w:rFonts w:hint="default"/>
                    </w:rPr>
                  </w:pPr>
                  <w:r>
                    <w:rPr>
                      <w:rFonts w:hint="default"/>
                    </w:rPr>
                    <w:t>工业企业厂界环境噪声</w:t>
                  </w:r>
                </w:p>
              </w:tc>
              <w:tc>
                <w:tcPr>
                  <w:tcW w:w="2391" w:type="dxa"/>
                  <w:tcBorders>
                    <w:tl2br w:val="nil"/>
                    <w:tr2bl w:val="nil"/>
                  </w:tcBorders>
                  <w:vAlign w:val="center"/>
                </w:tcPr>
                <w:p>
                  <w:pPr>
                    <w:jc w:val="center"/>
                    <w:rPr>
                      <w:rFonts w:hint="default"/>
                    </w:rPr>
                  </w:pPr>
                  <w:r>
                    <w:rPr>
                      <w:rFonts w:hint="default"/>
                    </w:rPr>
                    <w:t>2020.07.25 11:40</w:t>
                  </w:r>
                </w:p>
              </w:tc>
              <w:tc>
                <w:tcPr>
                  <w:tcW w:w="1544" w:type="dxa"/>
                  <w:tcBorders>
                    <w:tl2br w:val="nil"/>
                    <w:tr2bl w:val="nil"/>
                  </w:tcBorders>
                  <w:vAlign w:val="center"/>
                </w:tcPr>
                <w:p>
                  <w:pPr>
                    <w:jc w:val="center"/>
                    <w:rPr>
                      <w:rFonts w:hint="default"/>
                    </w:rPr>
                  </w:pPr>
                  <w:r>
                    <w:rPr>
                      <w:rFonts w:hint="default"/>
                    </w:rPr>
                    <w:t>58.8</w:t>
                  </w:r>
                </w:p>
              </w:tc>
              <w:tc>
                <w:tcPr>
                  <w:tcW w:w="1122" w:type="dxa"/>
                  <w:tcBorders>
                    <w:tl2br w:val="nil"/>
                    <w:tr2bl w:val="nil"/>
                  </w:tcBorders>
                  <w:vAlign w:val="center"/>
                </w:tcPr>
                <w:p>
                  <w:pPr>
                    <w:jc w:val="center"/>
                    <w:rPr>
                      <w:rFonts w:hint="default"/>
                    </w:rPr>
                  </w:pPr>
                  <w:r>
                    <w:rPr>
                      <w:rFonts w:hint="eastAsia"/>
                      <w:lang w:val="en-US" w:eastAsia="zh-CN"/>
                    </w:rPr>
                    <w:t>≤</w:t>
                  </w:r>
                  <w:r>
                    <w:rPr>
                      <w:rFonts w:hint="default"/>
                    </w:rPr>
                    <w:t>65</w:t>
                  </w:r>
                </w:p>
              </w:tc>
              <w:tc>
                <w:tcPr>
                  <w:tcW w:w="1054" w:type="dxa"/>
                  <w:tcBorders>
                    <w:tl2br w:val="nil"/>
                    <w:tr2bl w:val="nil"/>
                  </w:tcBorders>
                  <w:vAlign w:val="center"/>
                </w:tcPr>
                <w:p>
                  <w:pPr>
                    <w:jc w:val="center"/>
                    <w:rPr>
                      <w:rFonts w:hint="default"/>
                    </w:rPr>
                  </w:pPr>
                  <w:r>
                    <w:rPr>
                      <w:rFonts w:hint="default"/>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04" w:type="dxa"/>
                  <w:vMerge w:val="continue"/>
                  <w:tcBorders>
                    <w:tl2br w:val="nil"/>
                    <w:tr2bl w:val="nil"/>
                  </w:tcBorders>
                  <w:vAlign w:val="center"/>
                </w:tcPr>
                <w:p>
                  <w:pPr>
                    <w:jc w:val="center"/>
                    <w:rPr>
                      <w:rFonts w:hint="default"/>
                    </w:rPr>
                  </w:pPr>
                </w:p>
              </w:tc>
              <w:tc>
                <w:tcPr>
                  <w:tcW w:w="1208" w:type="dxa"/>
                  <w:vMerge w:val="continue"/>
                  <w:tcBorders>
                    <w:tl2br w:val="nil"/>
                    <w:tr2bl w:val="nil"/>
                  </w:tcBorders>
                  <w:vAlign w:val="center"/>
                </w:tcPr>
                <w:p>
                  <w:pPr>
                    <w:jc w:val="center"/>
                    <w:rPr>
                      <w:rFonts w:hint="default"/>
                    </w:rPr>
                  </w:pPr>
                </w:p>
              </w:tc>
              <w:tc>
                <w:tcPr>
                  <w:tcW w:w="1541" w:type="dxa"/>
                  <w:vMerge w:val="continue"/>
                  <w:tcBorders>
                    <w:tl2br w:val="nil"/>
                    <w:tr2bl w:val="nil"/>
                  </w:tcBorders>
                  <w:vAlign w:val="center"/>
                </w:tcPr>
                <w:p>
                  <w:pPr>
                    <w:jc w:val="center"/>
                    <w:rPr>
                      <w:rFonts w:hint="default"/>
                    </w:rPr>
                  </w:pPr>
                </w:p>
              </w:tc>
              <w:tc>
                <w:tcPr>
                  <w:tcW w:w="2391" w:type="dxa"/>
                  <w:tcBorders>
                    <w:tl2br w:val="nil"/>
                    <w:tr2bl w:val="nil"/>
                  </w:tcBorders>
                  <w:vAlign w:val="center"/>
                </w:tcPr>
                <w:p>
                  <w:pPr>
                    <w:jc w:val="center"/>
                    <w:rPr>
                      <w:rFonts w:hint="default"/>
                    </w:rPr>
                  </w:pPr>
                  <w:r>
                    <w:rPr>
                      <w:rFonts w:hint="default"/>
                    </w:rPr>
                    <w:t>2020.07.25 22:31</w:t>
                  </w:r>
                </w:p>
              </w:tc>
              <w:tc>
                <w:tcPr>
                  <w:tcW w:w="1544" w:type="dxa"/>
                  <w:tcBorders>
                    <w:tl2br w:val="nil"/>
                    <w:tr2bl w:val="nil"/>
                  </w:tcBorders>
                  <w:vAlign w:val="center"/>
                </w:tcPr>
                <w:p>
                  <w:pPr>
                    <w:jc w:val="center"/>
                    <w:rPr>
                      <w:rFonts w:hint="default"/>
                    </w:rPr>
                  </w:pPr>
                  <w:r>
                    <w:rPr>
                      <w:rFonts w:hint="default"/>
                    </w:rPr>
                    <w:t>43.5</w:t>
                  </w:r>
                </w:p>
              </w:tc>
              <w:tc>
                <w:tcPr>
                  <w:tcW w:w="1122" w:type="dxa"/>
                  <w:tcBorders>
                    <w:tl2br w:val="nil"/>
                    <w:tr2bl w:val="nil"/>
                  </w:tcBorders>
                  <w:vAlign w:val="center"/>
                </w:tcPr>
                <w:p>
                  <w:pPr>
                    <w:jc w:val="center"/>
                    <w:rPr>
                      <w:rFonts w:hint="default"/>
                    </w:rPr>
                  </w:pPr>
                  <w:r>
                    <w:rPr>
                      <w:rFonts w:hint="eastAsia"/>
                      <w:lang w:val="en-US" w:eastAsia="zh-CN"/>
                    </w:rPr>
                    <w:t>≤</w:t>
                  </w:r>
                  <w:r>
                    <w:rPr>
                      <w:rFonts w:hint="default"/>
                    </w:rPr>
                    <w:t>55</w:t>
                  </w:r>
                </w:p>
              </w:tc>
              <w:tc>
                <w:tcPr>
                  <w:tcW w:w="1054" w:type="dxa"/>
                  <w:tcBorders>
                    <w:tl2br w:val="nil"/>
                    <w:tr2bl w:val="nil"/>
                  </w:tcBorders>
                  <w:vAlign w:val="center"/>
                </w:tcPr>
                <w:p>
                  <w:pPr>
                    <w:jc w:val="center"/>
                    <w:rPr>
                      <w:rFonts w:hint="default"/>
                    </w:rPr>
                  </w:pPr>
                  <w:r>
                    <w:rPr>
                      <w:rFonts w:hint="default"/>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04" w:type="dxa"/>
                  <w:vMerge w:val="continue"/>
                  <w:tcBorders>
                    <w:tl2br w:val="nil"/>
                    <w:tr2bl w:val="nil"/>
                  </w:tcBorders>
                  <w:vAlign w:val="center"/>
                </w:tcPr>
                <w:p>
                  <w:pPr>
                    <w:jc w:val="center"/>
                    <w:rPr>
                      <w:rFonts w:hint="default"/>
                    </w:rPr>
                  </w:pPr>
                </w:p>
              </w:tc>
              <w:tc>
                <w:tcPr>
                  <w:tcW w:w="1208" w:type="dxa"/>
                  <w:vMerge w:val="continue"/>
                  <w:tcBorders>
                    <w:tl2br w:val="nil"/>
                    <w:tr2bl w:val="nil"/>
                  </w:tcBorders>
                  <w:vAlign w:val="center"/>
                </w:tcPr>
                <w:p>
                  <w:pPr>
                    <w:jc w:val="center"/>
                    <w:rPr>
                      <w:rFonts w:hint="default"/>
                    </w:rPr>
                  </w:pPr>
                </w:p>
              </w:tc>
              <w:tc>
                <w:tcPr>
                  <w:tcW w:w="1541" w:type="dxa"/>
                  <w:vMerge w:val="continue"/>
                  <w:tcBorders>
                    <w:tl2br w:val="nil"/>
                    <w:tr2bl w:val="nil"/>
                  </w:tcBorders>
                  <w:vAlign w:val="center"/>
                </w:tcPr>
                <w:p>
                  <w:pPr>
                    <w:jc w:val="center"/>
                    <w:rPr>
                      <w:rFonts w:hint="default"/>
                    </w:rPr>
                  </w:pPr>
                </w:p>
              </w:tc>
              <w:tc>
                <w:tcPr>
                  <w:tcW w:w="2391" w:type="dxa"/>
                  <w:tcBorders>
                    <w:tl2br w:val="nil"/>
                    <w:tr2bl w:val="nil"/>
                  </w:tcBorders>
                  <w:vAlign w:val="center"/>
                </w:tcPr>
                <w:p>
                  <w:pPr>
                    <w:jc w:val="center"/>
                    <w:rPr>
                      <w:rFonts w:hint="default"/>
                    </w:rPr>
                  </w:pPr>
                  <w:r>
                    <w:rPr>
                      <w:rFonts w:hint="default"/>
                    </w:rPr>
                    <w:t>2020.07.26 11:40</w:t>
                  </w:r>
                </w:p>
              </w:tc>
              <w:tc>
                <w:tcPr>
                  <w:tcW w:w="1544" w:type="dxa"/>
                  <w:tcBorders>
                    <w:tl2br w:val="nil"/>
                    <w:tr2bl w:val="nil"/>
                  </w:tcBorders>
                  <w:vAlign w:val="center"/>
                </w:tcPr>
                <w:p>
                  <w:pPr>
                    <w:jc w:val="center"/>
                    <w:rPr>
                      <w:rFonts w:hint="default"/>
                    </w:rPr>
                  </w:pPr>
                  <w:r>
                    <w:rPr>
                      <w:rFonts w:hint="default"/>
                    </w:rPr>
                    <w:t>57.4</w:t>
                  </w:r>
                </w:p>
              </w:tc>
              <w:tc>
                <w:tcPr>
                  <w:tcW w:w="1122" w:type="dxa"/>
                  <w:tcBorders>
                    <w:tl2br w:val="nil"/>
                    <w:tr2bl w:val="nil"/>
                  </w:tcBorders>
                  <w:vAlign w:val="center"/>
                </w:tcPr>
                <w:p>
                  <w:pPr>
                    <w:jc w:val="center"/>
                    <w:rPr>
                      <w:rFonts w:hint="default"/>
                    </w:rPr>
                  </w:pPr>
                  <w:r>
                    <w:rPr>
                      <w:rFonts w:hint="eastAsia"/>
                      <w:lang w:val="en-US" w:eastAsia="zh-CN"/>
                    </w:rPr>
                    <w:t>≤</w:t>
                  </w:r>
                  <w:r>
                    <w:rPr>
                      <w:rFonts w:hint="default"/>
                    </w:rPr>
                    <w:t>65</w:t>
                  </w:r>
                </w:p>
              </w:tc>
              <w:tc>
                <w:tcPr>
                  <w:tcW w:w="1054" w:type="dxa"/>
                  <w:tcBorders>
                    <w:tl2br w:val="nil"/>
                    <w:tr2bl w:val="nil"/>
                  </w:tcBorders>
                  <w:vAlign w:val="center"/>
                </w:tcPr>
                <w:p>
                  <w:pPr>
                    <w:jc w:val="center"/>
                    <w:rPr>
                      <w:rFonts w:hint="default"/>
                    </w:rPr>
                  </w:pPr>
                  <w:r>
                    <w:rPr>
                      <w:rFonts w:hint="default"/>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04" w:type="dxa"/>
                  <w:vMerge w:val="continue"/>
                  <w:tcBorders>
                    <w:tl2br w:val="nil"/>
                    <w:tr2bl w:val="nil"/>
                  </w:tcBorders>
                  <w:vAlign w:val="center"/>
                </w:tcPr>
                <w:p>
                  <w:pPr>
                    <w:jc w:val="center"/>
                    <w:rPr>
                      <w:rFonts w:hint="default"/>
                    </w:rPr>
                  </w:pPr>
                </w:p>
              </w:tc>
              <w:tc>
                <w:tcPr>
                  <w:tcW w:w="1208" w:type="dxa"/>
                  <w:vMerge w:val="continue"/>
                  <w:tcBorders>
                    <w:tl2br w:val="nil"/>
                    <w:tr2bl w:val="nil"/>
                  </w:tcBorders>
                  <w:vAlign w:val="center"/>
                </w:tcPr>
                <w:p>
                  <w:pPr>
                    <w:jc w:val="center"/>
                    <w:rPr>
                      <w:rFonts w:hint="default"/>
                    </w:rPr>
                  </w:pPr>
                </w:p>
              </w:tc>
              <w:tc>
                <w:tcPr>
                  <w:tcW w:w="1541" w:type="dxa"/>
                  <w:vMerge w:val="continue"/>
                  <w:tcBorders>
                    <w:tl2br w:val="nil"/>
                    <w:tr2bl w:val="nil"/>
                  </w:tcBorders>
                  <w:vAlign w:val="center"/>
                </w:tcPr>
                <w:p>
                  <w:pPr>
                    <w:jc w:val="center"/>
                    <w:rPr>
                      <w:rFonts w:hint="default"/>
                    </w:rPr>
                  </w:pPr>
                </w:p>
              </w:tc>
              <w:tc>
                <w:tcPr>
                  <w:tcW w:w="2391" w:type="dxa"/>
                  <w:tcBorders>
                    <w:tl2br w:val="nil"/>
                    <w:tr2bl w:val="nil"/>
                  </w:tcBorders>
                  <w:vAlign w:val="center"/>
                </w:tcPr>
                <w:p>
                  <w:pPr>
                    <w:jc w:val="center"/>
                    <w:rPr>
                      <w:rFonts w:hint="default"/>
                    </w:rPr>
                  </w:pPr>
                  <w:r>
                    <w:rPr>
                      <w:rFonts w:hint="default"/>
                    </w:rPr>
                    <w:t>2020.07.26 22:32</w:t>
                  </w:r>
                </w:p>
              </w:tc>
              <w:tc>
                <w:tcPr>
                  <w:tcW w:w="1544" w:type="dxa"/>
                  <w:tcBorders>
                    <w:tl2br w:val="nil"/>
                    <w:tr2bl w:val="nil"/>
                  </w:tcBorders>
                  <w:vAlign w:val="center"/>
                </w:tcPr>
                <w:p>
                  <w:pPr>
                    <w:jc w:val="center"/>
                    <w:rPr>
                      <w:rFonts w:hint="default"/>
                    </w:rPr>
                  </w:pPr>
                  <w:r>
                    <w:rPr>
                      <w:rFonts w:hint="default"/>
                    </w:rPr>
                    <w:t>45.6</w:t>
                  </w:r>
                </w:p>
              </w:tc>
              <w:tc>
                <w:tcPr>
                  <w:tcW w:w="1122" w:type="dxa"/>
                  <w:tcBorders>
                    <w:tl2br w:val="nil"/>
                    <w:tr2bl w:val="nil"/>
                  </w:tcBorders>
                  <w:vAlign w:val="center"/>
                </w:tcPr>
                <w:p>
                  <w:pPr>
                    <w:jc w:val="center"/>
                    <w:rPr>
                      <w:rFonts w:hint="default"/>
                    </w:rPr>
                  </w:pPr>
                  <w:r>
                    <w:rPr>
                      <w:rFonts w:hint="eastAsia"/>
                      <w:lang w:val="en-US" w:eastAsia="zh-CN"/>
                    </w:rPr>
                    <w:t>≤</w:t>
                  </w:r>
                  <w:r>
                    <w:rPr>
                      <w:rFonts w:hint="default"/>
                    </w:rPr>
                    <w:t>55</w:t>
                  </w:r>
                </w:p>
              </w:tc>
              <w:tc>
                <w:tcPr>
                  <w:tcW w:w="1054" w:type="dxa"/>
                  <w:tcBorders>
                    <w:tl2br w:val="nil"/>
                    <w:tr2bl w:val="nil"/>
                  </w:tcBorders>
                  <w:vAlign w:val="center"/>
                </w:tcPr>
                <w:p>
                  <w:pPr>
                    <w:jc w:val="center"/>
                    <w:rPr>
                      <w:rFonts w:hint="default"/>
                    </w:rPr>
                  </w:pPr>
                  <w:r>
                    <w:rPr>
                      <w:rFonts w:hint="default"/>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04" w:type="dxa"/>
                  <w:vMerge w:val="restart"/>
                  <w:tcBorders>
                    <w:tl2br w:val="nil"/>
                    <w:tr2bl w:val="nil"/>
                  </w:tcBorders>
                  <w:vAlign w:val="center"/>
                </w:tcPr>
                <w:p>
                  <w:pPr>
                    <w:ind w:left="-4" w:leftChars="-2" w:right="-34" w:rightChars="-16" w:firstLine="2" w:firstLineChars="1"/>
                    <w:jc w:val="center"/>
                    <w:rPr>
                      <w:rFonts w:hint="default"/>
                    </w:rPr>
                  </w:pPr>
                  <w:r>
                    <w:rPr>
                      <w:rFonts w:hint="default"/>
                    </w:rPr>
                    <w:t>2#</w:t>
                  </w:r>
                </w:p>
              </w:tc>
              <w:tc>
                <w:tcPr>
                  <w:tcW w:w="1208" w:type="dxa"/>
                  <w:vMerge w:val="restart"/>
                  <w:tcBorders>
                    <w:tl2br w:val="nil"/>
                    <w:tr2bl w:val="nil"/>
                  </w:tcBorders>
                  <w:vAlign w:val="center"/>
                </w:tcPr>
                <w:p>
                  <w:pPr>
                    <w:widowControl/>
                    <w:jc w:val="center"/>
                    <w:rPr>
                      <w:rFonts w:hint="default"/>
                    </w:rPr>
                  </w:pPr>
                  <w:r>
                    <w:rPr>
                      <w:rFonts w:hint="default"/>
                    </w:rPr>
                    <w:t>厂界南</w:t>
                  </w:r>
                </w:p>
              </w:tc>
              <w:tc>
                <w:tcPr>
                  <w:tcW w:w="1541" w:type="dxa"/>
                  <w:vMerge w:val="restart"/>
                  <w:tcBorders>
                    <w:tl2br w:val="nil"/>
                    <w:tr2bl w:val="nil"/>
                  </w:tcBorders>
                  <w:vAlign w:val="center"/>
                </w:tcPr>
                <w:p>
                  <w:pPr>
                    <w:jc w:val="center"/>
                    <w:rPr>
                      <w:rFonts w:hint="default"/>
                    </w:rPr>
                  </w:pPr>
                  <w:r>
                    <w:rPr>
                      <w:rFonts w:hint="default"/>
                    </w:rPr>
                    <w:t>工业企业厂界环境噪声</w:t>
                  </w:r>
                </w:p>
              </w:tc>
              <w:tc>
                <w:tcPr>
                  <w:tcW w:w="2391" w:type="dxa"/>
                  <w:tcBorders>
                    <w:tl2br w:val="nil"/>
                    <w:tr2bl w:val="nil"/>
                  </w:tcBorders>
                  <w:vAlign w:val="center"/>
                </w:tcPr>
                <w:p>
                  <w:pPr>
                    <w:jc w:val="center"/>
                    <w:rPr>
                      <w:rFonts w:hint="default"/>
                    </w:rPr>
                  </w:pPr>
                  <w:r>
                    <w:rPr>
                      <w:rFonts w:hint="default"/>
                    </w:rPr>
                    <w:t>2020.07.25 11:45</w:t>
                  </w:r>
                </w:p>
              </w:tc>
              <w:tc>
                <w:tcPr>
                  <w:tcW w:w="1544" w:type="dxa"/>
                  <w:tcBorders>
                    <w:tl2br w:val="nil"/>
                    <w:tr2bl w:val="nil"/>
                  </w:tcBorders>
                  <w:vAlign w:val="center"/>
                </w:tcPr>
                <w:p>
                  <w:pPr>
                    <w:jc w:val="center"/>
                    <w:rPr>
                      <w:rFonts w:hint="default"/>
                    </w:rPr>
                  </w:pPr>
                  <w:r>
                    <w:rPr>
                      <w:rFonts w:hint="default"/>
                    </w:rPr>
                    <w:t>56.7</w:t>
                  </w:r>
                </w:p>
              </w:tc>
              <w:tc>
                <w:tcPr>
                  <w:tcW w:w="1122" w:type="dxa"/>
                  <w:tcBorders>
                    <w:tl2br w:val="nil"/>
                    <w:tr2bl w:val="nil"/>
                  </w:tcBorders>
                  <w:vAlign w:val="center"/>
                </w:tcPr>
                <w:p>
                  <w:pPr>
                    <w:jc w:val="center"/>
                    <w:rPr>
                      <w:rFonts w:hint="default"/>
                    </w:rPr>
                  </w:pPr>
                  <w:r>
                    <w:rPr>
                      <w:rFonts w:hint="eastAsia"/>
                      <w:lang w:val="en-US" w:eastAsia="zh-CN"/>
                    </w:rPr>
                    <w:t>≤</w:t>
                  </w:r>
                  <w:r>
                    <w:rPr>
                      <w:rFonts w:hint="default"/>
                    </w:rPr>
                    <w:t>65</w:t>
                  </w:r>
                </w:p>
              </w:tc>
              <w:tc>
                <w:tcPr>
                  <w:tcW w:w="1054" w:type="dxa"/>
                  <w:tcBorders>
                    <w:tl2br w:val="nil"/>
                    <w:tr2bl w:val="nil"/>
                  </w:tcBorders>
                  <w:vAlign w:val="center"/>
                </w:tcPr>
                <w:p>
                  <w:pPr>
                    <w:jc w:val="center"/>
                    <w:rPr>
                      <w:rFonts w:hint="default"/>
                    </w:rPr>
                  </w:pPr>
                  <w:r>
                    <w:rPr>
                      <w:rFonts w:hint="default"/>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04" w:type="dxa"/>
                  <w:vMerge w:val="continue"/>
                  <w:tcBorders>
                    <w:tl2br w:val="nil"/>
                    <w:tr2bl w:val="nil"/>
                  </w:tcBorders>
                  <w:vAlign w:val="center"/>
                </w:tcPr>
                <w:p>
                  <w:pPr>
                    <w:ind w:left="-4" w:leftChars="-2" w:right="-34" w:rightChars="-16" w:firstLine="2" w:firstLineChars="1"/>
                    <w:jc w:val="center"/>
                    <w:rPr>
                      <w:rFonts w:hint="default"/>
                    </w:rPr>
                  </w:pPr>
                </w:p>
              </w:tc>
              <w:tc>
                <w:tcPr>
                  <w:tcW w:w="1208" w:type="dxa"/>
                  <w:vMerge w:val="continue"/>
                  <w:tcBorders>
                    <w:tl2br w:val="nil"/>
                    <w:tr2bl w:val="nil"/>
                  </w:tcBorders>
                  <w:vAlign w:val="center"/>
                </w:tcPr>
                <w:p>
                  <w:pPr>
                    <w:widowControl/>
                    <w:jc w:val="center"/>
                    <w:rPr>
                      <w:rFonts w:hint="default"/>
                    </w:rPr>
                  </w:pPr>
                </w:p>
              </w:tc>
              <w:tc>
                <w:tcPr>
                  <w:tcW w:w="1541" w:type="dxa"/>
                  <w:vMerge w:val="continue"/>
                  <w:tcBorders>
                    <w:tl2br w:val="nil"/>
                    <w:tr2bl w:val="nil"/>
                  </w:tcBorders>
                  <w:vAlign w:val="center"/>
                </w:tcPr>
                <w:p>
                  <w:pPr>
                    <w:jc w:val="center"/>
                    <w:rPr>
                      <w:rFonts w:hint="default"/>
                    </w:rPr>
                  </w:pPr>
                </w:p>
              </w:tc>
              <w:tc>
                <w:tcPr>
                  <w:tcW w:w="2391" w:type="dxa"/>
                  <w:tcBorders>
                    <w:tl2br w:val="nil"/>
                    <w:tr2bl w:val="nil"/>
                  </w:tcBorders>
                  <w:vAlign w:val="center"/>
                </w:tcPr>
                <w:p>
                  <w:pPr>
                    <w:jc w:val="center"/>
                    <w:rPr>
                      <w:rFonts w:hint="default"/>
                    </w:rPr>
                  </w:pPr>
                  <w:r>
                    <w:rPr>
                      <w:rFonts w:hint="default"/>
                    </w:rPr>
                    <w:t>2020.07.25 22:36</w:t>
                  </w:r>
                </w:p>
              </w:tc>
              <w:tc>
                <w:tcPr>
                  <w:tcW w:w="1544" w:type="dxa"/>
                  <w:tcBorders>
                    <w:tl2br w:val="nil"/>
                    <w:tr2bl w:val="nil"/>
                  </w:tcBorders>
                  <w:vAlign w:val="center"/>
                </w:tcPr>
                <w:p>
                  <w:pPr>
                    <w:jc w:val="center"/>
                    <w:rPr>
                      <w:rFonts w:hint="default"/>
                    </w:rPr>
                  </w:pPr>
                  <w:r>
                    <w:rPr>
                      <w:rFonts w:hint="default"/>
                    </w:rPr>
                    <w:t>47.3</w:t>
                  </w:r>
                </w:p>
              </w:tc>
              <w:tc>
                <w:tcPr>
                  <w:tcW w:w="1122" w:type="dxa"/>
                  <w:tcBorders>
                    <w:tl2br w:val="nil"/>
                    <w:tr2bl w:val="nil"/>
                  </w:tcBorders>
                  <w:vAlign w:val="center"/>
                </w:tcPr>
                <w:p>
                  <w:pPr>
                    <w:jc w:val="center"/>
                    <w:rPr>
                      <w:rFonts w:hint="default"/>
                    </w:rPr>
                  </w:pPr>
                  <w:r>
                    <w:rPr>
                      <w:rFonts w:hint="eastAsia"/>
                      <w:lang w:val="en-US" w:eastAsia="zh-CN"/>
                    </w:rPr>
                    <w:t>≤</w:t>
                  </w:r>
                  <w:r>
                    <w:rPr>
                      <w:rFonts w:hint="default"/>
                    </w:rPr>
                    <w:t>55</w:t>
                  </w:r>
                </w:p>
              </w:tc>
              <w:tc>
                <w:tcPr>
                  <w:tcW w:w="1054" w:type="dxa"/>
                  <w:tcBorders>
                    <w:tl2br w:val="nil"/>
                    <w:tr2bl w:val="nil"/>
                  </w:tcBorders>
                  <w:vAlign w:val="center"/>
                </w:tcPr>
                <w:p>
                  <w:pPr>
                    <w:jc w:val="center"/>
                    <w:rPr>
                      <w:rFonts w:hint="default"/>
                    </w:rPr>
                  </w:pPr>
                  <w:r>
                    <w:rPr>
                      <w:rFonts w:hint="default"/>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04" w:type="dxa"/>
                  <w:vMerge w:val="continue"/>
                  <w:tcBorders>
                    <w:tl2br w:val="nil"/>
                    <w:tr2bl w:val="nil"/>
                  </w:tcBorders>
                  <w:vAlign w:val="center"/>
                </w:tcPr>
                <w:p>
                  <w:pPr>
                    <w:ind w:left="-4" w:leftChars="-2" w:right="-34" w:rightChars="-16" w:firstLine="2" w:firstLineChars="1"/>
                    <w:jc w:val="center"/>
                    <w:rPr>
                      <w:rFonts w:hint="default"/>
                    </w:rPr>
                  </w:pPr>
                </w:p>
              </w:tc>
              <w:tc>
                <w:tcPr>
                  <w:tcW w:w="1208" w:type="dxa"/>
                  <w:vMerge w:val="continue"/>
                  <w:tcBorders>
                    <w:tl2br w:val="nil"/>
                    <w:tr2bl w:val="nil"/>
                  </w:tcBorders>
                  <w:vAlign w:val="center"/>
                </w:tcPr>
                <w:p>
                  <w:pPr>
                    <w:widowControl/>
                    <w:jc w:val="center"/>
                    <w:rPr>
                      <w:rFonts w:hint="default"/>
                    </w:rPr>
                  </w:pPr>
                </w:p>
              </w:tc>
              <w:tc>
                <w:tcPr>
                  <w:tcW w:w="1541" w:type="dxa"/>
                  <w:vMerge w:val="continue"/>
                  <w:tcBorders>
                    <w:tl2br w:val="nil"/>
                    <w:tr2bl w:val="nil"/>
                  </w:tcBorders>
                  <w:vAlign w:val="center"/>
                </w:tcPr>
                <w:p>
                  <w:pPr>
                    <w:jc w:val="center"/>
                    <w:rPr>
                      <w:rFonts w:hint="default"/>
                    </w:rPr>
                  </w:pPr>
                </w:p>
              </w:tc>
              <w:tc>
                <w:tcPr>
                  <w:tcW w:w="2391" w:type="dxa"/>
                  <w:tcBorders>
                    <w:tl2br w:val="nil"/>
                    <w:tr2bl w:val="nil"/>
                  </w:tcBorders>
                  <w:vAlign w:val="center"/>
                </w:tcPr>
                <w:p>
                  <w:pPr>
                    <w:jc w:val="center"/>
                    <w:rPr>
                      <w:rFonts w:hint="default"/>
                    </w:rPr>
                  </w:pPr>
                  <w:r>
                    <w:rPr>
                      <w:rFonts w:hint="default"/>
                    </w:rPr>
                    <w:t>2020.07.26 11:44</w:t>
                  </w:r>
                </w:p>
              </w:tc>
              <w:tc>
                <w:tcPr>
                  <w:tcW w:w="1544" w:type="dxa"/>
                  <w:tcBorders>
                    <w:tl2br w:val="nil"/>
                    <w:tr2bl w:val="nil"/>
                  </w:tcBorders>
                  <w:vAlign w:val="center"/>
                </w:tcPr>
                <w:p>
                  <w:pPr>
                    <w:jc w:val="center"/>
                    <w:rPr>
                      <w:rFonts w:hint="default"/>
                    </w:rPr>
                  </w:pPr>
                  <w:r>
                    <w:rPr>
                      <w:rFonts w:hint="default"/>
                    </w:rPr>
                    <w:t>55.2</w:t>
                  </w:r>
                </w:p>
              </w:tc>
              <w:tc>
                <w:tcPr>
                  <w:tcW w:w="1122" w:type="dxa"/>
                  <w:tcBorders>
                    <w:tl2br w:val="nil"/>
                    <w:tr2bl w:val="nil"/>
                  </w:tcBorders>
                  <w:vAlign w:val="center"/>
                </w:tcPr>
                <w:p>
                  <w:pPr>
                    <w:jc w:val="center"/>
                    <w:rPr>
                      <w:rFonts w:hint="default"/>
                    </w:rPr>
                  </w:pPr>
                  <w:r>
                    <w:rPr>
                      <w:rFonts w:hint="eastAsia"/>
                      <w:lang w:val="en-US" w:eastAsia="zh-CN"/>
                    </w:rPr>
                    <w:t>≤</w:t>
                  </w:r>
                  <w:r>
                    <w:rPr>
                      <w:rFonts w:hint="default"/>
                    </w:rPr>
                    <w:t>65</w:t>
                  </w:r>
                </w:p>
              </w:tc>
              <w:tc>
                <w:tcPr>
                  <w:tcW w:w="1054" w:type="dxa"/>
                  <w:tcBorders>
                    <w:tl2br w:val="nil"/>
                    <w:tr2bl w:val="nil"/>
                  </w:tcBorders>
                  <w:vAlign w:val="center"/>
                </w:tcPr>
                <w:p>
                  <w:pPr>
                    <w:jc w:val="center"/>
                    <w:rPr>
                      <w:rFonts w:hint="default"/>
                    </w:rPr>
                  </w:pPr>
                  <w:r>
                    <w:rPr>
                      <w:rFonts w:hint="default"/>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04" w:type="dxa"/>
                  <w:vMerge w:val="continue"/>
                  <w:tcBorders>
                    <w:tl2br w:val="nil"/>
                    <w:tr2bl w:val="nil"/>
                  </w:tcBorders>
                  <w:vAlign w:val="center"/>
                </w:tcPr>
                <w:p>
                  <w:pPr>
                    <w:ind w:left="-4" w:leftChars="-2" w:right="-34" w:rightChars="-16" w:firstLine="2" w:firstLineChars="1"/>
                    <w:jc w:val="center"/>
                    <w:rPr>
                      <w:rFonts w:hint="default"/>
                    </w:rPr>
                  </w:pPr>
                </w:p>
              </w:tc>
              <w:tc>
                <w:tcPr>
                  <w:tcW w:w="1208" w:type="dxa"/>
                  <w:vMerge w:val="continue"/>
                  <w:tcBorders>
                    <w:tl2br w:val="nil"/>
                    <w:tr2bl w:val="nil"/>
                  </w:tcBorders>
                  <w:vAlign w:val="center"/>
                </w:tcPr>
                <w:p>
                  <w:pPr>
                    <w:widowControl/>
                    <w:jc w:val="center"/>
                    <w:rPr>
                      <w:rFonts w:hint="default"/>
                    </w:rPr>
                  </w:pPr>
                </w:p>
              </w:tc>
              <w:tc>
                <w:tcPr>
                  <w:tcW w:w="1541" w:type="dxa"/>
                  <w:vMerge w:val="continue"/>
                  <w:tcBorders>
                    <w:tl2br w:val="nil"/>
                    <w:tr2bl w:val="nil"/>
                  </w:tcBorders>
                  <w:vAlign w:val="center"/>
                </w:tcPr>
                <w:p>
                  <w:pPr>
                    <w:jc w:val="center"/>
                    <w:rPr>
                      <w:rFonts w:hint="default"/>
                    </w:rPr>
                  </w:pPr>
                </w:p>
              </w:tc>
              <w:tc>
                <w:tcPr>
                  <w:tcW w:w="2391" w:type="dxa"/>
                  <w:tcBorders>
                    <w:tl2br w:val="nil"/>
                    <w:tr2bl w:val="nil"/>
                  </w:tcBorders>
                  <w:vAlign w:val="center"/>
                </w:tcPr>
                <w:p>
                  <w:pPr>
                    <w:jc w:val="center"/>
                    <w:rPr>
                      <w:rFonts w:hint="default"/>
                    </w:rPr>
                  </w:pPr>
                  <w:r>
                    <w:rPr>
                      <w:rFonts w:hint="default"/>
                    </w:rPr>
                    <w:t>2020.07.26 22:37</w:t>
                  </w:r>
                </w:p>
              </w:tc>
              <w:tc>
                <w:tcPr>
                  <w:tcW w:w="1544" w:type="dxa"/>
                  <w:tcBorders>
                    <w:tl2br w:val="nil"/>
                    <w:tr2bl w:val="nil"/>
                  </w:tcBorders>
                  <w:vAlign w:val="center"/>
                </w:tcPr>
                <w:p>
                  <w:pPr>
                    <w:jc w:val="center"/>
                    <w:rPr>
                      <w:rFonts w:hint="default"/>
                    </w:rPr>
                  </w:pPr>
                  <w:r>
                    <w:rPr>
                      <w:rFonts w:hint="default"/>
                    </w:rPr>
                    <w:t>47.8</w:t>
                  </w:r>
                </w:p>
              </w:tc>
              <w:tc>
                <w:tcPr>
                  <w:tcW w:w="1122" w:type="dxa"/>
                  <w:tcBorders>
                    <w:tl2br w:val="nil"/>
                    <w:tr2bl w:val="nil"/>
                  </w:tcBorders>
                  <w:vAlign w:val="center"/>
                </w:tcPr>
                <w:p>
                  <w:pPr>
                    <w:jc w:val="center"/>
                    <w:rPr>
                      <w:rFonts w:hint="default"/>
                    </w:rPr>
                  </w:pPr>
                  <w:r>
                    <w:rPr>
                      <w:rFonts w:hint="eastAsia"/>
                      <w:lang w:val="en-US" w:eastAsia="zh-CN"/>
                    </w:rPr>
                    <w:t>≤</w:t>
                  </w:r>
                  <w:r>
                    <w:rPr>
                      <w:rFonts w:hint="default"/>
                    </w:rPr>
                    <w:t>55</w:t>
                  </w:r>
                </w:p>
              </w:tc>
              <w:tc>
                <w:tcPr>
                  <w:tcW w:w="1054" w:type="dxa"/>
                  <w:tcBorders>
                    <w:tl2br w:val="nil"/>
                    <w:tr2bl w:val="nil"/>
                  </w:tcBorders>
                  <w:vAlign w:val="center"/>
                </w:tcPr>
                <w:p>
                  <w:pPr>
                    <w:jc w:val="center"/>
                    <w:rPr>
                      <w:rFonts w:hint="default"/>
                    </w:rPr>
                  </w:pPr>
                  <w:r>
                    <w:rPr>
                      <w:rFonts w:hint="default"/>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04" w:type="dxa"/>
                  <w:vMerge w:val="restart"/>
                  <w:tcBorders>
                    <w:tl2br w:val="nil"/>
                    <w:tr2bl w:val="nil"/>
                  </w:tcBorders>
                  <w:vAlign w:val="center"/>
                </w:tcPr>
                <w:p>
                  <w:pPr>
                    <w:ind w:left="-4" w:leftChars="-2" w:right="-34" w:rightChars="-16" w:firstLine="2" w:firstLineChars="1"/>
                    <w:jc w:val="center"/>
                    <w:rPr>
                      <w:rFonts w:hint="default"/>
                    </w:rPr>
                  </w:pPr>
                  <w:r>
                    <w:rPr>
                      <w:rFonts w:hint="default"/>
                    </w:rPr>
                    <w:t>3#</w:t>
                  </w:r>
                </w:p>
              </w:tc>
              <w:tc>
                <w:tcPr>
                  <w:tcW w:w="1208" w:type="dxa"/>
                  <w:vMerge w:val="restart"/>
                  <w:tcBorders>
                    <w:tl2br w:val="nil"/>
                    <w:tr2bl w:val="nil"/>
                  </w:tcBorders>
                  <w:vAlign w:val="center"/>
                </w:tcPr>
                <w:p>
                  <w:pPr>
                    <w:widowControl/>
                    <w:jc w:val="center"/>
                    <w:rPr>
                      <w:rFonts w:hint="default"/>
                    </w:rPr>
                  </w:pPr>
                  <w:r>
                    <w:rPr>
                      <w:rFonts w:hint="default"/>
                    </w:rPr>
                    <w:t>厂界西</w:t>
                  </w:r>
                </w:p>
              </w:tc>
              <w:tc>
                <w:tcPr>
                  <w:tcW w:w="1541" w:type="dxa"/>
                  <w:vMerge w:val="restart"/>
                  <w:tcBorders>
                    <w:tl2br w:val="nil"/>
                    <w:tr2bl w:val="nil"/>
                  </w:tcBorders>
                  <w:vAlign w:val="center"/>
                </w:tcPr>
                <w:p>
                  <w:pPr>
                    <w:jc w:val="center"/>
                    <w:rPr>
                      <w:rFonts w:hint="default"/>
                    </w:rPr>
                  </w:pPr>
                  <w:r>
                    <w:rPr>
                      <w:rFonts w:hint="default"/>
                    </w:rPr>
                    <w:t>工业企业厂界环境噪声</w:t>
                  </w:r>
                </w:p>
              </w:tc>
              <w:tc>
                <w:tcPr>
                  <w:tcW w:w="2391" w:type="dxa"/>
                  <w:tcBorders>
                    <w:tl2br w:val="nil"/>
                    <w:tr2bl w:val="nil"/>
                  </w:tcBorders>
                  <w:vAlign w:val="center"/>
                </w:tcPr>
                <w:p>
                  <w:pPr>
                    <w:jc w:val="center"/>
                    <w:rPr>
                      <w:rFonts w:hint="default"/>
                    </w:rPr>
                  </w:pPr>
                  <w:r>
                    <w:rPr>
                      <w:rFonts w:hint="default"/>
                    </w:rPr>
                    <w:t>2020.07.25 11:50</w:t>
                  </w:r>
                </w:p>
              </w:tc>
              <w:tc>
                <w:tcPr>
                  <w:tcW w:w="1544" w:type="dxa"/>
                  <w:tcBorders>
                    <w:tl2br w:val="nil"/>
                    <w:tr2bl w:val="nil"/>
                  </w:tcBorders>
                  <w:vAlign w:val="center"/>
                </w:tcPr>
                <w:p>
                  <w:pPr>
                    <w:jc w:val="center"/>
                    <w:rPr>
                      <w:rFonts w:hint="default"/>
                    </w:rPr>
                  </w:pPr>
                  <w:r>
                    <w:rPr>
                      <w:rFonts w:hint="default"/>
                    </w:rPr>
                    <w:t>53.9</w:t>
                  </w:r>
                </w:p>
              </w:tc>
              <w:tc>
                <w:tcPr>
                  <w:tcW w:w="1122" w:type="dxa"/>
                  <w:tcBorders>
                    <w:tl2br w:val="nil"/>
                    <w:tr2bl w:val="nil"/>
                  </w:tcBorders>
                  <w:vAlign w:val="center"/>
                </w:tcPr>
                <w:p>
                  <w:pPr>
                    <w:jc w:val="center"/>
                    <w:rPr>
                      <w:rFonts w:hint="default"/>
                    </w:rPr>
                  </w:pPr>
                  <w:r>
                    <w:rPr>
                      <w:rFonts w:hint="eastAsia"/>
                      <w:lang w:val="en-US" w:eastAsia="zh-CN"/>
                    </w:rPr>
                    <w:t>≤</w:t>
                  </w:r>
                  <w:r>
                    <w:rPr>
                      <w:rFonts w:hint="default"/>
                    </w:rPr>
                    <w:t>65</w:t>
                  </w:r>
                </w:p>
              </w:tc>
              <w:tc>
                <w:tcPr>
                  <w:tcW w:w="1054" w:type="dxa"/>
                  <w:tcBorders>
                    <w:tl2br w:val="nil"/>
                    <w:tr2bl w:val="nil"/>
                  </w:tcBorders>
                  <w:vAlign w:val="center"/>
                </w:tcPr>
                <w:p>
                  <w:pPr>
                    <w:jc w:val="center"/>
                    <w:rPr>
                      <w:rFonts w:hint="default"/>
                    </w:rPr>
                  </w:pPr>
                  <w:r>
                    <w:rPr>
                      <w:rFonts w:hint="default"/>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04" w:type="dxa"/>
                  <w:vMerge w:val="continue"/>
                  <w:tcBorders>
                    <w:tl2br w:val="nil"/>
                    <w:tr2bl w:val="nil"/>
                  </w:tcBorders>
                  <w:vAlign w:val="center"/>
                </w:tcPr>
                <w:p>
                  <w:pPr>
                    <w:ind w:left="-4" w:leftChars="-2" w:right="-34" w:rightChars="-16" w:firstLine="2" w:firstLineChars="1"/>
                    <w:jc w:val="center"/>
                    <w:rPr>
                      <w:rFonts w:hint="default"/>
                    </w:rPr>
                  </w:pPr>
                </w:p>
              </w:tc>
              <w:tc>
                <w:tcPr>
                  <w:tcW w:w="1208" w:type="dxa"/>
                  <w:vMerge w:val="continue"/>
                  <w:tcBorders>
                    <w:tl2br w:val="nil"/>
                    <w:tr2bl w:val="nil"/>
                  </w:tcBorders>
                  <w:vAlign w:val="center"/>
                </w:tcPr>
                <w:p>
                  <w:pPr>
                    <w:widowControl/>
                    <w:jc w:val="center"/>
                    <w:rPr>
                      <w:rFonts w:hint="default"/>
                    </w:rPr>
                  </w:pPr>
                </w:p>
              </w:tc>
              <w:tc>
                <w:tcPr>
                  <w:tcW w:w="1541" w:type="dxa"/>
                  <w:vMerge w:val="continue"/>
                  <w:tcBorders>
                    <w:tl2br w:val="nil"/>
                    <w:tr2bl w:val="nil"/>
                  </w:tcBorders>
                  <w:vAlign w:val="center"/>
                </w:tcPr>
                <w:p>
                  <w:pPr>
                    <w:jc w:val="center"/>
                    <w:rPr>
                      <w:rFonts w:hint="default"/>
                    </w:rPr>
                  </w:pPr>
                </w:p>
              </w:tc>
              <w:tc>
                <w:tcPr>
                  <w:tcW w:w="2391" w:type="dxa"/>
                  <w:tcBorders>
                    <w:tl2br w:val="nil"/>
                    <w:tr2bl w:val="nil"/>
                  </w:tcBorders>
                  <w:vAlign w:val="center"/>
                </w:tcPr>
                <w:p>
                  <w:pPr>
                    <w:jc w:val="center"/>
                    <w:rPr>
                      <w:rFonts w:hint="default"/>
                    </w:rPr>
                  </w:pPr>
                  <w:r>
                    <w:rPr>
                      <w:rFonts w:hint="default"/>
                    </w:rPr>
                    <w:t>2020.07.25 22:41</w:t>
                  </w:r>
                </w:p>
              </w:tc>
              <w:tc>
                <w:tcPr>
                  <w:tcW w:w="1544" w:type="dxa"/>
                  <w:tcBorders>
                    <w:tl2br w:val="nil"/>
                    <w:tr2bl w:val="nil"/>
                  </w:tcBorders>
                  <w:vAlign w:val="center"/>
                </w:tcPr>
                <w:p>
                  <w:pPr>
                    <w:jc w:val="center"/>
                    <w:rPr>
                      <w:rFonts w:hint="default"/>
                    </w:rPr>
                  </w:pPr>
                  <w:r>
                    <w:rPr>
                      <w:rFonts w:hint="default"/>
                    </w:rPr>
                    <w:t>48.4</w:t>
                  </w:r>
                </w:p>
              </w:tc>
              <w:tc>
                <w:tcPr>
                  <w:tcW w:w="1122" w:type="dxa"/>
                  <w:tcBorders>
                    <w:tl2br w:val="nil"/>
                    <w:tr2bl w:val="nil"/>
                  </w:tcBorders>
                  <w:vAlign w:val="center"/>
                </w:tcPr>
                <w:p>
                  <w:pPr>
                    <w:jc w:val="center"/>
                    <w:rPr>
                      <w:rFonts w:hint="default"/>
                    </w:rPr>
                  </w:pPr>
                  <w:r>
                    <w:rPr>
                      <w:rFonts w:hint="eastAsia"/>
                      <w:lang w:val="en-US" w:eastAsia="zh-CN"/>
                    </w:rPr>
                    <w:t>≤</w:t>
                  </w:r>
                  <w:r>
                    <w:rPr>
                      <w:rFonts w:hint="default"/>
                    </w:rPr>
                    <w:t>55</w:t>
                  </w:r>
                </w:p>
              </w:tc>
              <w:tc>
                <w:tcPr>
                  <w:tcW w:w="1054" w:type="dxa"/>
                  <w:tcBorders>
                    <w:tl2br w:val="nil"/>
                    <w:tr2bl w:val="nil"/>
                  </w:tcBorders>
                  <w:vAlign w:val="center"/>
                </w:tcPr>
                <w:p>
                  <w:pPr>
                    <w:jc w:val="center"/>
                    <w:rPr>
                      <w:rFonts w:hint="default"/>
                    </w:rPr>
                  </w:pPr>
                  <w:r>
                    <w:rPr>
                      <w:rFonts w:hint="default"/>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04" w:type="dxa"/>
                  <w:vMerge w:val="continue"/>
                  <w:tcBorders>
                    <w:tl2br w:val="nil"/>
                    <w:tr2bl w:val="nil"/>
                  </w:tcBorders>
                  <w:vAlign w:val="center"/>
                </w:tcPr>
                <w:p>
                  <w:pPr>
                    <w:ind w:left="-4" w:leftChars="-2" w:right="-34" w:rightChars="-16" w:firstLine="2" w:firstLineChars="1"/>
                    <w:jc w:val="center"/>
                    <w:rPr>
                      <w:rFonts w:hint="default"/>
                    </w:rPr>
                  </w:pPr>
                </w:p>
              </w:tc>
              <w:tc>
                <w:tcPr>
                  <w:tcW w:w="1208" w:type="dxa"/>
                  <w:vMerge w:val="continue"/>
                  <w:tcBorders>
                    <w:tl2br w:val="nil"/>
                    <w:tr2bl w:val="nil"/>
                  </w:tcBorders>
                  <w:vAlign w:val="center"/>
                </w:tcPr>
                <w:p>
                  <w:pPr>
                    <w:widowControl/>
                    <w:jc w:val="center"/>
                    <w:rPr>
                      <w:rFonts w:hint="default"/>
                    </w:rPr>
                  </w:pPr>
                </w:p>
              </w:tc>
              <w:tc>
                <w:tcPr>
                  <w:tcW w:w="1541" w:type="dxa"/>
                  <w:vMerge w:val="continue"/>
                  <w:tcBorders>
                    <w:tl2br w:val="nil"/>
                    <w:tr2bl w:val="nil"/>
                  </w:tcBorders>
                  <w:vAlign w:val="center"/>
                </w:tcPr>
                <w:p>
                  <w:pPr>
                    <w:jc w:val="center"/>
                    <w:rPr>
                      <w:rFonts w:hint="default"/>
                    </w:rPr>
                  </w:pPr>
                </w:p>
              </w:tc>
              <w:tc>
                <w:tcPr>
                  <w:tcW w:w="2391" w:type="dxa"/>
                  <w:tcBorders>
                    <w:tl2br w:val="nil"/>
                    <w:tr2bl w:val="nil"/>
                  </w:tcBorders>
                  <w:vAlign w:val="center"/>
                </w:tcPr>
                <w:p>
                  <w:pPr>
                    <w:jc w:val="center"/>
                    <w:rPr>
                      <w:rFonts w:hint="default"/>
                    </w:rPr>
                  </w:pPr>
                  <w:r>
                    <w:rPr>
                      <w:rFonts w:hint="default"/>
                    </w:rPr>
                    <w:t>2020.07.26 11:48</w:t>
                  </w:r>
                </w:p>
              </w:tc>
              <w:tc>
                <w:tcPr>
                  <w:tcW w:w="1544" w:type="dxa"/>
                  <w:tcBorders>
                    <w:tl2br w:val="nil"/>
                    <w:tr2bl w:val="nil"/>
                  </w:tcBorders>
                  <w:vAlign w:val="center"/>
                </w:tcPr>
                <w:p>
                  <w:pPr>
                    <w:jc w:val="center"/>
                    <w:rPr>
                      <w:rFonts w:hint="default"/>
                    </w:rPr>
                  </w:pPr>
                  <w:r>
                    <w:rPr>
                      <w:rFonts w:hint="default"/>
                    </w:rPr>
                    <w:t>58.5</w:t>
                  </w:r>
                </w:p>
              </w:tc>
              <w:tc>
                <w:tcPr>
                  <w:tcW w:w="1122" w:type="dxa"/>
                  <w:tcBorders>
                    <w:tl2br w:val="nil"/>
                    <w:tr2bl w:val="nil"/>
                  </w:tcBorders>
                  <w:vAlign w:val="center"/>
                </w:tcPr>
                <w:p>
                  <w:pPr>
                    <w:jc w:val="center"/>
                    <w:rPr>
                      <w:rFonts w:hint="default"/>
                    </w:rPr>
                  </w:pPr>
                  <w:r>
                    <w:rPr>
                      <w:rFonts w:hint="eastAsia"/>
                      <w:lang w:val="en-US" w:eastAsia="zh-CN"/>
                    </w:rPr>
                    <w:t>≤</w:t>
                  </w:r>
                  <w:r>
                    <w:rPr>
                      <w:rFonts w:hint="default"/>
                    </w:rPr>
                    <w:t>65</w:t>
                  </w:r>
                </w:p>
              </w:tc>
              <w:tc>
                <w:tcPr>
                  <w:tcW w:w="1054" w:type="dxa"/>
                  <w:tcBorders>
                    <w:tl2br w:val="nil"/>
                    <w:tr2bl w:val="nil"/>
                  </w:tcBorders>
                  <w:vAlign w:val="center"/>
                </w:tcPr>
                <w:p>
                  <w:pPr>
                    <w:jc w:val="center"/>
                    <w:rPr>
                      <w:rFonts w:hint="default"/>
                    </w:rPr>
                  </w:pPr>
                  <w:r>
                    <w:rPr>
                      <w:rFonts w:hint="default"/>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04" w:type="dxa"/>
                  <w:vMerge w:val="continue"/>
                  <w:tcBorders>
                    <w:tl2br w:val="nil"/>
                    <w:tr2bl w:val="nil"/>
                  </w:tcBorders>
                  <w:vAlign w:val="center"/>
                </w:tcPr>
                <w:p>
                  <w:pPr>
                    <w:ind w:left="-4" w:leftChars="-2" w:right="-34" w:rightChars="-16" w:firstLine="2" w:firstLineChars="1"/>
                    <w:jc w:val="center"/>
                    <w:rPr>
                      <w:rFonts w:hint="default"/>
                    </w:rPr>
                  </w:pPr>
                </w:p>
              </w:tc>
              <w:tc>
                <w:tcPr>
                  <w:tcW w:w="1208" w:type="dxa"/>
                  <w:vMerge w:val="continue"/>
                  <w:tcBorders>
                    <w:tl2br w:val="nil"/>
                    <w:tr2bl w:val="nil"/>
                  </w:tcBorders>
                  <w:vAlign w:val="center"/>
                </w:tcPr>
                <w:p>
                  <w:pPr>
                    <w:widowControl/>
                    <w:jc w:val="center"/>
                    <w:rPr>
                      <w:rFonts w:hint="default"/>
                    </w:rPr>
                  </w:pPr>
                </w:p>
              </w:tc>
              <w:tc>
                <w:tcPr>
                  <w:tcW w:w="1541" w:type="dxa"/>
                  <w:vMerge w:val="continue"/>
                  <w:tcBorders>
                    <w:tl2br w:val="nil"/>
                    <w:tr2bl w:val="nil"/>
                  </w:tcBorders>
                  <w:vAlign w:val="center"/>
                </w:tcPr>
                <w:p>
                  <w:pPr>
                    <w:jc w:val="center"/>
                    <w:rPr>
                      <w:rFonts w:hint="default"/>
                    </w:rPr>
                  </w:pPr>
                </w:p>
              </w:tc>
              <w:tc>
                <w:tcPr>
                  <w:tcW w:w="2391" w:type="dxa"/>
                  <w:tcBorders>
                    <w:tl2br w:val="nil"/>
                    <w:tr2bl w:val="nil"/>
                  </w:tcBorders>
                  <w:vAlign w:val="center"/>
                </w:tcPr>
                <w:p>
                  <w:pPr>
                    <w:jc w:val="center"/>
                    <w:rPr>
                      <w:rFonts w:hint="default"/>
                    </w:rPr>
                  </w:pPr>
                  <w:r>
                    <w:rPr>
                      <w:rFonts w:hint="default"/>
                    </w:rPr>
                    <w:t>2020.07.26 22:41</w:t>
                  </w:r>
                </w:p>
              </w:tc>
              <w:tc>
                <w:tcPr>
                  <w:tcW w:w="1544" w:type="dxa"/>
                  <w:tcBorders>
                    <w:tl2br w:val="nil"/>
                    <w:tr2bl w:val="nil"/>
                  </w:tcBorders>
                  <w:vAlign w:val="center"/>
                </w:tcPr>
                <w:p>
                  <w:pPr>
                    <w:jc w:val="center"/>
                    <w:rPr>
                      <w:rFonts w:hint="default"/>
                    </w:rPr>
                  </w:pPr>
                  <w:r>
                    <w:rPr>
                      <w:rFonts w:hint="default"/>
                    </w:rPr>
                    <w:t>46.0</w:t>
                  </w:r>
                </w:p>
              </w:tc>
              <w:tc>
                <w:tcPr>
                  <w:tcW w:w="1122" w:type="dxa"/>
                  <w:tcBorders>
                    <w:tl2br w:val="nil"/>
                    <w:tr2bl w:val="nil"/>
                  </w:tcBorders>
                  <w:vAlign w:val="center"/>
                </w:tcPr>
                <w:p>
                  <w:pPr>
                    <w:jc w:val="center"/>
                    <w:rPr>
                      <w:rFonts w:hint="default"/>
                    </w:rPr>
                  </w:pPr>
                  <w:r>
                    <w:rPr>
                      <w:rFonts w:hint="eastAsia"/>
                      <w:lang w:val="en-US" w:eastAsia="zh-CN"/>
                    </w:rPr>
                    <w:t>≤</w:t>
                  </w:r>
                  <w:r>
                    <w:rPr>
                      <w:rFonts w:hint="default"/>
                    </w:rPr>
                    <w:t>55</w:t>
                  </w:r>
                </w:p>
              </w:tc>
              <w:tc>
                <w:tcPr>
                  <w:tcW w:w="1054" w:type="dxa"/>
                  <w:tcBorders>
                    <w:tl2br w:val="nil"/>
                    <w:tr2bl w:val="nil"/>
                  </w:tcBorders>
                  <w:vAlign w:val="center"/>
                </w:tcPr>
                <w:p>
                  <w:pPr>
                    <w:jc w:val="center"/>
                    <w:rPr>
                      <w:rFonts w:hint="default"/>
                    </w:rPr>
                  </w:pPr>
                  <w:r>
                    <w:rPr>
                      <w:rFonts w:hint="default"/>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04" w:type="dxa"/>
                  <w:vMerge w:val="restart"/>
                  <w:tcBorders>
                    <w:tl2br w:val="nil"/>
                    <w:tr2bl w:val="nil"/>
                  </w:tcBorders>
                  <w:vAlign w:val="center"/>
                </w:tcPr>
                <w:p>
                  <w:pPr>
                    <w:ind w:left="-4" w:leftChars="-2" w:right="-34" w:rightChars="-16" w:firstLine="2" w:firstLineChars="1"/>
                    <w:jc w:val="center"/>
                    <w:rPr>
                      <w:rFonts w:hint="default"/>
                    </w:rPr>
                  </w:pPr>
                  <w:r>
                    <w:rPr>
                      <w:rFonts w:hint="default"/>
                    </w:rPr>
                    <w:t>4#</w:t>
                  </w:r>
                </w:p>
              </w:tc>
              <w:tc>
                <w:tcPr>
                  <w:tcW w:w="1208" w:type="dxa"/>
                  <w:vMerge w:val="restart"/>
                  <w:tcBorders>
                    <w:tl2br w:val="nil"/>
                    <w:tr2bl w:val="nil"/>
                  </w:tcBorders>
                  <w:vAlign w:val="center"/>
                </w:tcPr>
                <w:p>
                  <w:pPr>
                    <w:widowControl/>
                    <w:jc w:val="center"/>
                    <w:rPr>
                      <w:rFonts w:hint="default"/>
                    </w:rPr>
                  </w:pPr>
                  <w:r>
                    <w:rPr>
                      <w:rFonts w:hint="default"/>
                    </w:rPr>
                    <w:t>厂界北</w:t>
                  </w:r>
                </w:p>
              </w:tc>
              <w:tc>
                <w:tcPr>
                  <w:tcW w:w="1541" w:type="dxa"/>
                  <w:vMerge w:val="restart"/>
                  <w:tcBorders>
                    <w:tl2br w:val="nil"/>
                    <w:tr2bl w:val="nil"/>
                  </w:tcBorders>
                  <w:vAlign w:val="center"/>
                </w:tcPr>
                <w:p>
                  <w:pPr>
                    <w:jc w:val="center"/>
                    <w:rPr>
                      <w:rFonts w:hint="default"/>
                    </w:rPr>
                  </w:pPr>
                  <w:r>
                    <w:rPr>
                      <w:rFonts w:hint="default"/>
                    </w:rPr>
                    <w:t>工业企业厂界环境噪声</w:t>
                  </w:r>
                </w:p>
              </w:tc>
              <w:tc>
                <w:tcPr>
                  <w:tcW w:w="2391" w:type="dxa"/>
                  <w:tcBorders>
                    <w:tl2br w:val="nil"/>
                    <w:tr2bl w:val="nil"/>
                  </w:tcBorders>
                  <w:vAlign w:val="center"/>
                </w:tcPr>
                <w:p>
                  <w:pPr>
                    <w:jc w:val="center"/>
                    <w:rPr>
                      <w:rFonts w:hint="default"/>
                    </w:rPr>
                  </w:pPr>
                  <w:r>
                    <w:rPr>
                      <w:rFonts w:hint="default"/>
                    </w:rPr>
                    <w:t>2020.07.25 11:56</w:t>
                  </w:r>
                </w:p>
              </w:tc>
              <w:tc>
                <w:tcPr>
                  <w:tcW w:w="1544" w:type="dxa"/>
                  <w:tcBorders>
                    <w:tl2br w:val="nil"/>
                    <w:tr2bl w:val="nil"/>
                  </w:tcBorders>
                  <w:vAlign w:val="center"/>
                </w:tcPr>
                <w:p>
                  <w:pPr>
                    <w:jc w:val="center"/>
                    <w:rPr>
                      <w:rFonts w:hint="default"/>
                    </w:rPr>
                  </w:pPr>
                  <w:r>
                    <w:rPr>
                      <w:rFonts w:hint="default"/>
                    </w:rPr>
                    <w:t>57.2</w:t>
                  </w:r>
                </w:p>
              </w:tc>
              <w:tc>
                <w:tcPr>
                  <w:tcW w:w="1122" w:type="dxa"/>
                  <w:tcBorders>
                    <w:tl2br w:val="nil"/>
                    <w:tr2bl w:val="nil"/>
                  </w:tcBorders>
                  <w:vAlign w:val="center"/>
                </w:tcPr>
                <w:p>
                  <w:pPr>
                    <w:jc w:val="center"/>
                    <w:rPr>
                      <w:rFonts w:hint="default"/>
                    </w:rPr>
                  </w:pPr>
                  <w:r>
                    <w:rPr>
                      <w:rFonts w:hint="eastAsia"/>
                      <w:lang w:val="en-US" w:eastAsia="zh-CN"/>
                    </w:rPr>
                    <w:t>≤</w:t>
                  </w:r>
                  <w:r>
                    <w:rPr>
                      <w:rFonts w:hint="default"/>
                    </w:rPr>
                    <w:t>65</w:t>
                  </w:r>
                </w:p>
              </w:tc>
              <w:tc>
                <w:tcPr>
                  <w:tcW w:w="1054" w:type="dxa"/>
                  <w:tcBorders>
                    <w:tl2br w:val="nil"/>
                    <w:tr2bl w:val="nil"/>
                  </w:tcBorders>
                  <w:vAlign w:val="center"/>
                </w:tcPr>
                <w:p>
                  <w:pPr>
                    <w:jc w:val="center"/>
                    <w:rPr>
                      <w:rFonts w:hint="default"/>
                    </w:rPr>
                  </w:pPr>
                  <w:r>
                    <w:rPr>
                      <w:rFonts w:hint="default"/>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04" w:type="dxa"/>
                  <w:vMerge w:val="continue"/>
                  <w:tcBorders>
                    <w:tl2br w:val="nil"/>
                    <w:tr2bl w:val="nil"/>
                  </w:tcBorders>
                  <w:vAlign w:val="center"/>
                </w:tcPr>
                <w:p>
                  <w:pPr>
                    <w:ind w:left="-4" w:leftChars="-2" w:right="-34" w:rightChars="-16" w:firstLine="2" w:firstLineChars="1"/>
                    <w:jc w:val="center"/>
                    <w:rPr>
                      <w:rFonts w:hint="default"/>
                    </w:rPr>
                  </w:pPr>
                </w:p>
              </w:tc>
              <w:tc>
                <w:tcPr>
                  <w:tcW w:w="1208" w:type="dxa"/>
                  <w:vMerge w:val="continue"/>
                  <w:tcBorders>
                    <w:tl2br w:val="nil"/>
                    <w:tr2bl w:val="nil"/>
                  </w:tcBorders>
                  <w:vAlign w:val="center"/>
                </w:tcPr>
                <w:p>
                  <w:pPr>
                    <w:widowControl/>
                    <w:jc w:val="center"/>
                    <w:rPr>
                      <w:rFonts w:hint="default"/>
                    </w:rPr>
                  </w:pPr>
                </w:p>
              </w:tc>
              <w:tc>
                <w:tcPr>
                  <w:tcW w:w="1541" w:type="dxa"/>
                  <w:vMerge w:val="continue"/>
                  <w:tcBorders>
                    <w:tl2br w:val="nil"/>
                    <w:tr2bl w:val="nil"/>
                  </w:tcBorders>
                  <w:vAlign w:val="center"/>
                </w:tcPr>
                <w:p>
                  <w:pPr>
                    <w:jc w:val="center"/>
                    <w:rPr>
                      <w:rFonts w:hint="default"/>
                    </w:rPr>
                  </w:pPr>
                </w:p>
              </w:tc>
              <w:tc>
                <w:tcPr>
                  <w:tcW w:w="2391" w:type="dxa"/>
                  <w:tcBorders>
                    <w:tl2br w:val="nil"/>
                    <w:tr2bl w:val="nil"/>
                  </w:tcBorders>
                  <w:vAlign w:val="center"/>
                </w:tcPr>
                <w:p>
                  <w:pPr>
                    <w:jc w:val="center"/>
                    <w:rPr>
                      <w:rFonts w:hint="default"/>
                    </w:rPr>
                  </w:pPr>
                  <w:r>
                    <w:rPr>
                      <w:rFonts w:hint="default"/>
                    </w:rPr>
                    <w:t>2020.07.25 22:47</w:t>
                  </w:r>
                </w:p>
              </w:tc>
              <w:tc>
                <w:tcPr>
                  <w:tcW w:w="1544" w:type="dxa"/>
                  <w:tcBorders>
                    <w:tl2br w:val="nil"/>
                    <w:tr2bl w:val="nil"/>
                  </w:tcBorders>
                  <w:vAlign w:val="center"/>
                </w:tcPr>
                <w:p>
                  <w:pPr>
                    <w:jc w:val="center"/>
                    <w:rPr>
                      <w:rFonts w:hint="default"/>
                    </w:rPr>
                  </w:pPr>
                  <w:r>
                    <w:rPr>
                      <w:rFonts w:hint="default"/>
                    </w:rPr>
                    <w:t>44.1</w:t>
                  </w:r>
                </w:p>
              </w:tc>
              <w:tc>
                <w:tcPr>
                  <w:tcW w:w="1122" w:type="dxa"/>
                  <w:tcBorders>
                    <w:tl2br w:val="nil"/>
                    <w:tr2bl w:val="nil"/>
                  </w:tcBorders>
                  <w:vAlign w:val="center"/>
                </w:tcPr>
                <w:p>
                  <w:pPr>
                    <w:jc w:val="center"/>
                    <w:rPr>
                      <w:rFonts w:hint="default"/>
                    </w:rPr>
                  </w:pPr>
                  <w:r>
                    <w:rPr>
                      <w:rFonts w:hint="eastAsia"/>
                      <w:lang w:val="en-US" w:eastAsia="zh-CN"/>
                    </w:rPr>
                    <w:t>≤</w:t>
                  </w:r>
                  <w:r>
                    <w:rPr>
                      <w:rFonts w:hint="default"/>
                    </w:rPr>
                    <w:t>55</w:t>
                  </w:r>
                </w:p>
              </w:tc>
              <w:tc>
                <w:tcPr>
                  <w:tcW w:w="1054" w:type="dxa"/>
                  <w:tcBorders>
                    <w:tl2br w:val="nil"/>
                    <w:tr2bl w:val="nil"/>
                  </w:tcBorders>
                  <w:vAlign w:val="center"/>
                </w:tcPr>
                <w:p>
                  <w:pPr>
                    <w:jc w:val="center"/>
                    <w:rPr>
                      <w:rFonts w:hint="default"/>
                    </w:rPr>
                  </w:pPr>
                  <w:r>
                    <w:rPr>
                      <w:rFonts w:hint="default"/>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04" w:type="dxa"/>
                  <w:vMerge w:val="continue"/>
                  <w:tcBorders>
                    <w:tl2br w:val="nil"/>
                    <w:tr2bl w:val="nil"/>
                  </w:tcBorders>
                  <w:vAlign w:val="center"/>
                </w:tcPr>
                <w:p>
                  <w:pPr>
                    <w:ind w:left="-4" w:leftChars="-2" w:right="-34" w:rightChars="-16" w:firstLine="2" w:firstLineChars="1"/>
                    <w:jc w:val="center"/>
                    <w:rPr>
                      <w:rFonts w:hint="default"/>
                    </w:rPr>
                  </w:pPr>
                </w:p>
              </w:tc>
              <w:tc>
                <w:tcPr>
                  <w:tcW w:w="1208" w:type="dxa"/>
                  <w:vMerge w:val="continue"/>
                  <w:tcBorders>
                    <w:tl2br w:val="nil"/>
                    <w:tr2bl w:val="nil"/>
                  </w:tcBorders>
                  <w:vAlign w:val="center"/>
                </w:tcPr>
                <w:p>
                  <w:pPr>
                    <w:widowControl/>
                    <w:jc w:val="center"/>
                    <w:rPr>
                      <w:rFonts w:hint="default"/>
                    </w:rPr>
                  </w:pPr>
                </w:p>
              </w:tc>
              <w:tc>
                <w:tcPr>
                  <w:tcW w:w="1541" w:type="dxa"/>
                  <w:vMerge w:val="continue"/>
                  <w:tcBorders>
                    <w:tl2br w:val="nil"/>
                    <w:tr2bl w:val="nil"/>
                  </w:tcBorders>
                  <w:vAlign w:val="center"/>
                </w:tcPr>
                <w:p>
                  <w:pPr>
                    <w:jc w:val="center"/>
                    <w:rPr>
                      <w:rFonts w:hint="default"/>
                    </w:rPr>
                  </w:pPr>
                </w:p>
              </w:tc>
              <w:tc>
                <w:tcPr>
                  <w:tcW w:w="2391" w:type="dxa"/>
                  <w:tcBorders>
                    <w:tl2br w:val="nil"/>
                    <w:tr2bl w:val="nil"/>
                  </w:tcBorders>
                  <w:vAlign w:val="center"/>
                </w:tcPr>
                <w:p>
                  <w:pPr>
                    <w:jc w:val="center"/>
                    <w:rPr>
                      <w:rFonts w:hint="default"/>
                    </w:rPr>
                  </w:pPr>
                  <w:r>
                    <w:rPr>
                      <w:rFonts w:hint="default"/>
                    </w:rPr>
                    <w:t>2020.07.26 11:54</w:t>
                  </w:r>
                </w:p>
              </w:tc>
              <w:tc>
                <w:tcPr>
                  <w:tcW w:w="1544" w:type="dxa"/>
                  <w:tcBorders>
                    <w:tl2br w:val="nil"/>
                    <w:tr2bl w:val="nil"/>
                  </w:tcBorders>
                  <w:vAlign w:val="center"/>
                </w:tcPr>
                <w:p>
                  <w:pPr>
                    <w:jc w:val="center"/>
                    <w:rPr>
                      <w:rFonts w:hint="default"/>
                    </w:rPr>
                  </w:pPr>
                  <w:r>
                    <w:rPr>
                      <w:rFonts w:hint="default"/>
                    </w:rPr>
                    <w:t>58.1</w:t>
                  </w:r>
                </w:p>
              </w:tc>
              <w:tc>
                <w:tcPr>
                  <w:tcW w:w="1122" w:type="dxa"/>
                  <w:tcBorders>
                    <w:tl2br w:val="nil"/>
                    <w:tr2bl w:val="nil"/>
                  </w:tcBorders>
                  <w:vAlign w:val="center"/>
                </w:tcPr>
                <w:p>
                  <w:pPr>
                    <w:jc w:val="center"/>
                    <w:rPr>
                      <w:rFonts w:hint="default"/>
                    </w:rPr>
                  </w:pPr>
                  <w:r>
                    <w:rPr>
                      <w:rFonts w:hint="eastAsia"/>
                      <w:lang w:val="en-US" w:eastAsia="zh-CN"/>
                    </w:rPr>
                    <w:t>≤</w:t>
                  </w:r>
                  <w:r>
                    <w:rPr>
                      <w:rFonts w:hint="default"/>
                    </w:rPr>
                    <w:t>65</w:t>
                  </w:r>
                </w:p>
              </w:tc>
              <w:tc>
                <w:tcPr>
                  <w:tcW w:w="1054" w:type="dxa"/>
                  <w:tcBorders>
                    <w:tl2br w:val="nil"/>
                    <w:tr2bl w:val="nil"/>
                  </w:tcBorders>
                  <w:vAlign w:val="center"/>
                </w:tcPr>
                <w:p>
                  <w:pPr>
                    <w:jc w:val="center"/>
                    <w:rPr>
                      <w:rFonts w:hint="default"/>
                    </w:rPr>
                  </w:pPr>
                  <w:r>
                    <w:rPr>
                      <w:rFonts w:hint="default"/>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04" w:type="dxa"/>
                  <w:vMerge w:val="continue"/>
                  <w:tcBorders>
                    <w:tl2br w:val="nil"/>
                    <w:tr2bl w:val="nil"/>
                  </w:tcBorders>
                  <w:vAlign w:val="center"/>
                </w:tcPr>
                <w:p>
                  <w:pPr>
                    <w:ind w:left="-4" w:leftChars="-2" w:right="-34" w:rightChars="-16" w:firstLine="2" w:firstLineChars="1"/>
                    <w:jc w:val="center"/>
                    <w:rPr>
                      <w:rFonts w:hint="default"/>
                    </w:rPr>
                  </w:pPr>
                </w:p>
              </w:tc>
              <w:tc>
                <w:tcPr>
                  <w:tcW w:w="1208" w:type="dxa"/>
                  <w:vMerge w:val="continue"/>
                  <w:tcBorders>
                    <w:tl2br w:val="nil"/>
                    <w:tr2bl w:val="nil"/>
                  </w:tcBorders>
                  <w:vAlign w:val="center"/>
                </w:tcPr>
                <w:p>
                  <w:pPr>
                    <w:widowControl/>
                    <w:jc w:val="center"/>
                    <w:rPr>
                      <w:rFonts w:hint="default"/>
                    </w:rPr>
                  </w:pPr>
                </w:p>
              </w:tc>
              <w:tc>
                <w:tcPr>
                  <w:tcW w:w="1541" w:type="dxa"/>
                  <w:vMerge w:val="continue"/>
                  <w:tcBorders>
                    <w:tl2br w:val="nil"/>
                    <w:tr2bl w:val="nil"/>
                  </w:tcBorders>
                  <w:vAlign w:val="center"/>
                </w:tcPr>
                <w:p>
                  <w:pPr>
                    <w:jc w:val="center"/>
                    <w:rPr>
                      <w:rFonts w:hint="default"/>
                    </w:rPr>
                  </w:pPr>
                </w:p>
              </w:tc>
              <w:tc>
                <w:tcPr>
                  <w:tcW w:w="2391" w:type="dxa"/>
                  <w:tcBorders>
                    <w:tl2br w:val="nil"/>
                    <w:tr2bl w:val="nil"/>
                  </w:tcBorders>
                  <w:vAlign w:val="center"/>
                </w:tcPr>
                <w:p>
                  <w:pPr>
                    <w:jc w:val="center"/>
                    <w:rPr>
                      <w:rFonts w:hint="default"/>
                    </w:rPr>
                  </w:pPr>
                  <w:r>
                    <w:rPr>
                      <w:rFonts w:hint="default"/>
                    </w:rPr>
                    <w:t>2020.07.26 22:46</w:t>
                  </w:r>
                </w:p>
              </w:tc>
              <w:tc>
                <w:tcPr>
                  <w:tcW w:w="1544" w:type="dxa"/>
                  <w:tcBorders>
                    <w:tl2br w:val="nil"/>
                    <w:tr2bl w:val="nil"/>
                  </w:tcBorders>
                  <w:vAlign w:val="center"/>
                </w:tcPr>
                <w:p>
                  <w:pPr>
                    <w:jc w:val="center"/>
                    <w:rPr>
                      <w:rFonts w:hint="default"/>
                    </w:rPr>
                  </w:pPr>
                  <w:r>
                    <w:rPr>
                      <w:rFonts w:hint="default"/>
                    </w:rPr>
                    <w:t>44.0</w:t>
                  </w:r>
                </w:p>
              </w:tc>
              <w:tc>
                <w:tcPr>
                  <w:tcW w:w="1122" w:type="dxa"/>
                  <w:tcBorders>
                    <w:tl2br w:val="nil"/>
                    <w:tr2bl w:val="nil"/>
                  </w:tcBorders>
                  <w:vAlign w:val="center"/>
                </w:tcPr>
                <w:p>
                  <w:pPr>
                    <w:jc w:val="center"/>
                    <w:rPr>
                      <w:rFonts w:hint="default"/>
                    </w:rPr>
                  </w:pPr>
                  <w:r>
                    <w:rPr>
                      <w:rFonts w:hint="eastAsia"/>
                      <w:lang w:val="en-US" w:eastAsia="zh-CN"/>
                    </w:rPr>
                    <w:t>≤</w:t>
                  </w:r>
                  <w:r>
                    <w:rPr>
                      <w:rFonts w:hint="default"/>
                    </w:rPr>
                    <w:t>55</w:t>
                  </w:r>
                </w:p>
              </w:tc>
              <w:tc>
                <w:tcPr>
                  <w:tcW w:w="1054" w:type="dxa"/>
                  <w:tcBorders>
                    <w:tl2br w:val="nil"/>
                    <w:tr2bl w:val="nil"/>
                  </w:tcBorders>
                  <w:vAlign w:val="center"/>
                </w:tcPr>
                <w:p>
                  <w:pPr>
                    <w:jc w:val="center"/>
                    <w:rPr>
                      <w:rFonts w:hint="default"/>
                    </w:rPr>
                  </w:pPr>
                  <w:r>
                    <w:rPr>
                      <w:rFonts w:hint="default"/>
                    </w:rPr>
                    <w:t>达标</w:t>
                  </w:r>
                </w:p>
              </w:tc>
            </w:tr>
          </w:tbl>
          <w:p>
            <w:pPr>
              <w:keepNext w:val="0"/>
              <w:keepLines w:val="0"/>
              <w:suppressLineNumbers w:val="0"/>
              <w:autoSpaceDE w:val="0"/>
              <w:autoSpaceDN w:val="0"/>
              <w:bidi w:val="0"/>
              <w:spacing w:before="0" w:beforeAutospacing="0" w:after="0" w:afterAutospacing="0" w:line="360" w:lineRule="auto"/>
              <w:ind w:left="0" w:right="0" w:firstLine="420" w:firstLineChars="200"/>
            </w:pPr>
            <w:r>
              <w:rPr>
                <w:rFonts w:hint="eastAsia"/>
                <w:lang w:val="en-US" w:eastAsia="zh-CN"/>
              </w:rPr>
              <w:t>噪声监测结果表明：2020年7月25日和2020年7月26日，芜湖永达科技有限公司厂界东、厂界南、厂界西、厂界北昼间和夜间噪声均满足《工业企业厂界环境噪声排放标准》（GB12348-2008）中3类标准。</w:t>
            </w:r>
          </w:p>
          <w:p>
            <w:pPr>
              <w:spacing w:line="360" w:lineRule="auto"/>
            </w:pPr>
            <w:r>
              <w:rPr>
                <w:rFonts w:hint="eastAsia"/>
              </w:rPr>
              <w:t>4、污染物排放总量控制与分析</w:t>
            </w:r>
          </w:p>
          <w:p>
            <w:pPr>
              <w:spacing w:line="360" w:lineRule="auto"/>
            </w:pPr>
            <w:r>
              <w:t>4.</w:t>
            </w:r>
            <w:r>
              <w:rPr>
                <w:rFonts w:hint="eastAsia"/>
              </w:rPr>
              <w:t>1总量控制指标</w:t>
            </w:r>
          </w:p>
          <w:p>
            <w:pPr>
              <w:widowControl w:val="0"/>
              <w:spacing w:line="360" w:lineRule="auto"/>
              <w:ind w:firstLine="210" w:firstLineChars="100"/>
              <w:jc w:val="both"/>
              <w:rPr>
                <w:rFonts w:hint="default"/>
                <w:lang w:val="en-US" w:eastAsia="zh-CN"/>
              </w:rPr>
            </w:pPr>
            <w:r>
              <w:rPr>
                <w:rFonts w:hint="default"/>
                <w:lang w:val="en-US" w:eastAsia="zh-CN"/>
              </w:rPr>
              <w:t>“十三五”规划期间我国纳入约束性考核的污染物：COD、NH</w:t>
            </w:r>
            <w:r>
              <w:rPr>
                <w:rFonts w:hint="default"/>
                <w:vertAlign w:val="subscript"/>
                <w:lang w:val="en-US" w:eastAsia="zh-CN"/>
              </w:rPr>
              <w:t>3</w:t>
            </w:r>
            <w:r>
              <w:rPr>
                <w:rFonts w:hint="default"/>
                <w:lang w:val="en-US" w:eastAsia="zh-CN"/>
              </w:rPr>
              <w:t>-N、SO2、NOx、烟（粉）尘、VOC</w:t>
            </w:r>
            <w:r>
              <w:rPr>
                <w:rFonts w:hint="default"/>
                <w:vertAlign w:val="subscript"/>
                <w:lang w:val="en-US" w:eastAsia="zh-CN"/>
              </w:rPr>
              <w:t>S</w:t>
            </w:r>
            <w:r>
              <w:rPr>
                <w:rFonts w:hint="default"/>
                <w:lang w:val="en-US" w:eastAsia="zh-CN"/>
              </w:rPr>
              <w:t>共6种主要污染物实行排放总量控制计划管理。根据环评建议，本项目总量控制指标为COD 0.0430t/a，NH</w:t>
            </w:r>
            <w:r>
              <w:rPr>
                <w:rFonts w:hint="default"/>
                <w:vertAlign w:val="subscript"/>
                <w:lang w:val="en-US" w:eastAsia="zh-CN"/>
              </w:rPr>
              <w:t>3</w:t>
            </w:r>
            <w:r>
              <w:rPr>
                <w:rFonts w:hint="default"/>
                <w:lang w:val="en-US" w:eastAsia="zh-CN"/>
              </w:rPr>
              <w:t>-N 0.0043t/a</w:t>
            </w:r>
            <w:r>
              <w:rPr>
                <w:rFonts w:hint="eastAsia"/>
                <w:lang w:val="en-US" w:eastAsia="zh-CN"/>
              </w:rPr>
              <w:t>；</w:t>
            </w:r>
            <w:r>
              <w:rPr>
                <w:rFonts w:hint="default"/>
                <w:lang w:val="en-US" w:eastAsia="zh-CN"/>
              </w:rPr>
              <w:t>VOCs（以非甲烷总烃计）</w:t>
            </w:r>
            <w:r>
              <w:rPr>
                <w:rFonts w:hint="eastAsia"/>
                <w:lang w:val="en-US" w:eastAsia="zh-CN"/>
              </w:rPr>
              <w:t>1.82</w:t>
            </w:r>
            <w:r>
              <w:rPr>
                <w:rFonts w:hint="default"/>
                <w:lang w:val="en-US" w:eastAsia="zh-CN"/>
              </w:rPr>
              <w:t>t/a。</w:t>
            </w:r>
          </w:p>
          <w:p>
            <w:pPr>
              <w:widowControl w:val="0"/>
              <w:spacing w:line="360" w:lineRule="auto"/>
              <w:jc w:val="both"/>
              <w:rPr>
                <w:rFonts w:hint="default"/>
                <w:lang w:val="en-US" w:eastAsia="zh-CN"/>
              </w:rPr>
            </w:pPr>
            <w:r>
              <w:rPr>
                <w:rFonts w:hint="default"/>
                <w:lang w:val="en-US" w:eastAsia="zh-CN"/>
              </w:rPr>
              <w:t>4.2 废水排污总量核算：</w:t>
            </w:r>
          </w:p>
          <w:p>
            <w:pPr>
              <w:spacing w:line="360" w:lineRule="auto"/>
              <w:ind w:firstLine="420" w:firstLineChars="200"/>
              <w:rPr>
                <w:rFonts w:hint="default"/>
              </w:rPr>
            </w:pPr>
            <w:r>
              <w:rPr>
                <w:rFonts w:hint="eastAsia"/>
                <w:lang w:val="en-US" w:eastAsia="zh-CN"/>
              </w:rPr>
              <w:t>因</w:t>
            </w:r>
            <w:r>
              <w:rPr>
                <w:rFonts w:hint="default"/>
                <w:lang w:val="en-US" w:eastAsia="zh-CN"/>
              </w:rPr>
              <w:t>项目产生的废水经化粪池预处理后由市政污水管网进入朱家桥污水处理厂集中处理，其COD、氨氮排放总量纳入到污水处理厂总量控制指标内，</w:t>
            </w:r>
            <w:r>
              <w:rPr>
                <w:rFonts w:hint="eastAsia"/>
                <w:lang w:val="en-US" w:eastAsia="zh-CN"/>
              </w:rPr>
              <w:t>项目产能未增加，产生废水量未增加，</w:t>
            </w:r>
            <w:r>
              <w:rPr>
                <w:rFonts w:hint="default"/>
                <w:lang w:val="en-US" w:eastAsia="zh-CN"/>
              </w:rPr>
              <w:t>故</w:t>
            </w:r>
            <w:r>
              <w:rPr>
                <w:rFonts w:hint="eastAsia"/>
                <w:lang w:val="en-US" w:eastAsia="zh-CN"/>
              </w:rPr>
              <w:t>未核算本项目</w:t>
            </w:r>
            <w:r>
              <w:rPr>
                <w:rFonts w:hint="default"/>
                <w:lang w:val="en-US" w:eastAsia="zh-CN"/>
              </w:rPr>
              <w:t>总量控制指标</w:t>
            </w:r>
            <w:r>
              <w:rPr>
                <w:rFonts w:hint="eastAsia"/>
                <w:lang w:val="en-US" w:eastAsia="zh-CN"/>
              </w:rPr>
              <w:t>。</w:t>
            </w:r>
          </w:p>
          <w:p>
            <w:pPr>
              <w:spacing w:line="360" w:lineRule="auto"/>
              <w:rPr>
                <w:rFonts w:hint="eastAsia"/>
                <w:lang w:val="en-US" w:eastAsia="zh-CN"/>
              </w:rPr>
            </w:pPr>
            <w:r>
              <w:rPr>
                <w:rFonts w:hint="default"/>
              </w:rPr>
              <w:t>4.3废气排污总量核算：</w:t>
            </w:r>
          </w:p>
          <w:p>
            <w:pPr>
              <w:tabs>
                <w:tab w:val="left" w:pos="1260"/>
              </w:tabs>
              <w:spacing w:line="360" w:lineRule="auto"/>
              <w:ind w:firstLine="420" w:firstLineChars="200"/>
              <w:rPr>
                <w:rFonts w:hint="default"/>
              </w:rPr>
            </w:pPr>
            <w:r>
              <w:rPr>
                <w:rFonts w:hint="eastAsia"/>
                <w:lang w:val="en-US" w:eastAsia="zh-CN"/>
              </w:rPr>
              <w:t>项目脱模废气</w:t>
            </w:r>
            <w:r>
              <w:rPr>
                <w:rFonts w:hint="default"/>
                <w:lang w:val="en-US" w:eastAsia="zh-CN"/>
              </w:rPr>
              <w:t>排气</w:t>
            </w:r>
            <w:r>
              <w:rPr>
                <w:rFonts w:hint="default"/>
              </w:rPr>
              <w:t>筒年</w:t>
            </w:r>
            <w:r>
              <w:rPr>
                <w:rFonts w:hint="default"/>
                <w:lang w:val="en-US" w:eastAsia="zh-CN"/>
              </w:rPr>
              <w:t>工作约</w:t>
            </w:r>
            <w:r>
              <w:rPr>
                <w:rFonts w:hint="eastAsia"/>
                <w:lang w:val="en-US" w:eastAsia="zh-CN"/>
              </w:rPr>
              <w:t>4800</w:t>
            </w:r>
            <w:r>
              <w:rPr>
                <w:rFonts w:hint="default"/>
              </w:rPr>
              <w:t>小时；</w:t>
            </w:r>
            <w:r>
              <w:rPr>
                <w:rFonts w:hint="default"/>
                <w:lang w:val="en-US" w:eastAsia="zh-CN"/>
              </w:rPr>
              <w:t>项目</w:t>
            </w:r>
            <w:r>
              <w:rPr>
                <w:rFonts w:hint="default"/>
              </w:rPr>
              <w:t>VOCs（以非甲烷总烃计）实际排放量为</w:t>
            </w:r>
            <w:r>
              <w:rPr>
                <w:rFonts w:hint="eastAsia"/>
                <w:lang w:val="en-US" w:eastAsia="zh-CN"/>
              </w:rPr>
              <w:t>0.241</w:t>
            </w:r>
            <w:r>
              <w:rPr>
                <w:rFonts w:hint="default"/>
              </w:rPr>
              <w:t>t/a。符合环评控制要求，详见下表</w:t>
            </w:r>
          </w:p>
          <w:tbl>
            <w:tblPr>
              <w:tblStyle w:val="32"/>
              <w:tblW w:w="0" w:type="auto"/>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2132"/>
              <w:gridCol w:w="1655"/>
              <w:gridCol w:w="1168"/>
              <w:gridCol w:w="1168"/>
              <w:gridCol w:w="1192"/>
              <w:gridCol w:w="1524"/>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39" w:hRule="atLeast"/>
                <w:tblHeader/>
                <w:jc w:val="center"/>
              </w:trPr>
              <w:tc>
                <w:tcPr>
                  <w:tcW w:w="2132" w:type="dxa"/>
                  <w:vMerge w:val="restart"/>
                  <w:shd w:val="clear" w:color="auto" w:fill="auto"/>
                  <w:vAlign w:val="center"/>
                </w:tcPr>
                <w:p>
                  <w:pPr>
                    <w:spacing w:line="276" w:lineRule="auto"/>
                    <w:jc w:val="center"/>
                    <w:rPr>
                      <w:rFonts w:hint="default"/>
                    </w:rPr>
                  </w:pPr>
                  <w:r>
                    <w:rPr>
                      <w:rFonts w:hint="default"/>
                    </w:rPr>
                    <w:t>采样点位</w:t>
                  </w:r>
                </w:p>
              </w:tc>
              <w:tc>
                <w:tcPr>
                  <w:tcW w:w="1655" w:type="dxa"/>
                  <w:vMerge w:val="restart"/>
                  <w:shd w:val="clear" w:color="auto" w:fill="auto"/>
                  <w:vAlign w:val="center"/>
                </w:tcPr>
                <w:p>
                  <w:pPr>
                    <w:spacing w:line="276" w:lineRule="auto"/>
                    <w:jc w:val="center"/>
                    <w:rPr>
                      <w:rFonts w:hint="default"/>
                    </w:rPr>
                  </w:pPr>
                  <w:r>
                    <w:rPr>
                      <w:rFonts w:hint="default"/>
                    </w:rPr>
                    <w:t>监测项目</w:t>
                  </w:r>
                </w:p>
              </w:tc>
              <w:tc>
                <w:tcPr>
                  <w:tcW w:w="3528" w:type="dxa"/>
                  <w:gridSpan w:val="3"/>
                  <w:shd w:val="clear" w:color="auto" w:fill="auto"/>
                  <w:vAlign w:val="center"/>
                </w:tcPr>
                <w:p>
                  <w:pPr>
                    <w:spacing w:line="276" w:lineRule="auto"/>
                    <w:jc w:val="center"/>
                    <w:rPr>
                      <w:rFonts w:hint="default"/>
                    </w:rPr>
                  </w:pPr>
                  <w:r>
                    <w:rPr>
                      <w:rFonts w:hint="default"/>
                    </w:rPr>
                    <w:t>排放速率（kg/h）</w:t>
                  </w:r>
                </w:p>
              </w:tc>
              <w:tc>
                <w:tcPr>
                  <w:tcW w:w="1524" w:type="dxa"/>
                  <w:vMerge w:val="restart"/>
                  <w:shd w:val="clear" w:color="auto" w:fill="auto"/>
                  <w:vAlign w:val="center"/>
                </w:tcPr>
                <w:p>
                  <w:pPr>
                    <w:spacing w:line="276" w:lineRule="auto"/>
                    <w:jc w:val="center"/>
                    <w:rPr>
                      <w:rFonts w:hint="default"/>
                    </w:rPr>
                  </w:pPr>
                  <w:r>
                    <w:rPr>
                      <w:rFonts w:hint="default"/>
                    </w:rPr>
                    <w:t>实际年排放量（</w:t>
                  </w:r>
                  <w:r>
                    <w:rPr>
                      <w:rFonts w:hint="eastAsia"/>
                      <w:lang w:val="en-US" w:eastAsia="zh-CN"/>
                    </w:rPr>
                    <w:t>t</w:t>
                  </w:r>
                  <w:r>
                    <w:rPr>
                      <w:rFonts w:hint="default"/>
                    </w:rPr>
                    <w:t>/a）</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01" w:hRule="atLeast"/>
                <w:jc w:val="center"/>
              </w:trPr>
              <w:tc>
                <w:tcPr>
                  <w:tcW w:w="2132" w:type="dxa"/>
                  <w:vMerge w:val="continue"/>
                  <w:shd w:val="clear" w:color="auto" w:fill="auto"/>
                  <w:vAlign w:val="center"/>
                </w:tcPr>
                <w:p>
                  <w:pPr>
                    <w:spacing w:line="276" w:lineRule="auto"/>
                    <w:jc w:val="center"/>
                    <w:rPr>
                      <w:rFonts w:hint="default"/>
                    </w:rPr>
                  </w:pPr>
                </w:p>
              </w:tc>
              <w:tc>
                <w:tcPr>
                  <w:tcW w:w="1655" w:type="dxa"/>
                  <w:vMerge w:val="continue"/>
                  <w:shd w:val="clear" w:color="auto" w:fill="auto"/>
                  <w:vAlign w:val="center"/>
                </w:tcPr>
                <w:p>
                  <w:pPr>
                    <w:spacing w:line="276" w:lineRule="auto"/>
                    <w:jc w:val="center"/>
                    <w:rPr>
                      <w:rFonts w:hint="default"/>
                    </w:rPr>
                  </w:pPr>
                </w:p>
              </w:tc>
              <w:tc>
                <w:tcPr>
                  <w:tcW w:w="1168" w:type="dxa"/>
                  <w:shd w:val="clear" w:color="auto" w:fill="auto"/>
                  <w:vAlign w:val="center"/>
                </w:tcPr>
                <w:p>
                  <w:pPr>
                    <w:spacing w:line="276" w:lineRule="auto"/>
                    <w:jc w:val="center"/>
                    <w:rPr>
                      <w:rFonts w:hint="default"/>
                    </w:rPr>
                  </w:pPr>
                  <w:r>
                    <w:rPr>
                      <w:rFonts w:hint="default"/>
                    </w:rPr>
                    <w:t>第一天</w:t>
                  </w:r>
                </w:p>
              </w:tc>
              <w:tc>
                <w:tcPr>
                  <w:tcW w:w="1168" w:type="dxa"/>
                  <w:shd w:val="clear" w:color="auto" w:fill="auto"/>
                  <w:vAlign w:val="center"/>
                </w:tcPr>
                <w:p>
                  <w:pPr>
                    <w:spacing w:line="276" w:lineRule="auto"/>
                    <w:jc w:val="center"/>
                    <w:rPr>
                      <w:rFonts w:hint="default"/>
                    </w:rPr>
                  </w:pPr>
                  <w:r>
                    <w:rPr>
                      <w:rFonts w:hint="default"/>
                    </w:rPr>
                    <w:t>第二天</w:t>
                  </w:r>
                </w:p>
              </w:tc>
              <w:tc>
                <w:tcPr>
                  <w:tcW w:w="1192" w:type="dxa"/>
                  <w:shd w:val="clear" w:color="auto" w:fill="auto"/>
                  <w:vAlign w:val="center"/>
                </w:tcPr>
                <w:p>
                  <w:pPr>
                    <w:spacing w:line="276" w:lineRule="auto"/>
                    <w:jc w:val="center"/>
                    <w:rPr>
                      <w:rFonts w:hint="default"/>
                    </w:rPr>
                  </w:pPr>
                  <w:r>
                    <w:rPr>
                      <w:rFonts w:hint="default"/>
                    </w:rPr>
                    <w:t>两天均值</w:t>
                  </w:r>
                </w:p>
              </w:tc>
              <w:tc>
                <w:tcPr>
                  <w:tcW w:w="1524" w:type="dxa"/>
                  <w:vMerge w:val="continue"/>
                  <w:shd w:val="clear" w:color="auto" w:fill="auto"/>
                  <w:vAlign w:val="center"/>
                </w:tcPr>
                <w:p>
                  <w:pPr>
                    <w:spacing w:line="276" w:lineRule="auto"/>
                    <w:jc w:val="center"/>
                    <w:rPr>
                      <w:rFonts w:hint="default"/>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49" w:hRule="atLeast"/>
                <w:jc w:val="center"/>
              </w:trPr>
              <w:tc>
                <w:tcPr>
                  <w:tcW w:w="2132" w:type="dxa"/>
                  <w:shd w:val="clear" w:color="auto" w:fill="auto"/>
                  <w:vAlign w:val="center"/>
                </w:tcPr>
                <w:p>
                  <w:pPr>
                    <w:spacing w:line="276" w:lineRule="auto"/>
                    <w:jc w:val="center"/>
                    <w:rPr>
                      <w:rFonts w:hint="default"/>
                      <w:lang w:val="en-US" w:eastAsia="zh-CN"/>
                    </w:rPr>
                  </w:pPr>
                  <w:r>
                    <w:rPr>
                      <w:rFonts w:hint="eastAsia"/>
                      <w:lang w:val="en-US" w:eastAsia="zh-CN"/>
                    </w:rPr>
                    <w:t>脱模排气</w:t>
                  </w:r>
                  <w:r>
                    <w:rPr>
                      <w:rFonts w:hint="default"/>
                      <w:lang w:val="en-US" w:eastAsia="zh-CN"/>
                    </w:rPr>
                    <w:t>筒出口</w:t>
                  </w:r>
                </w:p>
              </w:tc>
              <w:tc>
                <w:tcPr>
                  <w:tcW w:w="1655" w:type="dxa"/>
                  <w:shd w:val="clear" w:color="auto" w:fill="auto"/>
                  <w:vAlign w:val="center"/>
                </w:tcPr>
                <w:p>
                  <w:pPr>
                    <w:spacing w:line="276" w:lineRule="auto"/>
                    <w:jc w:val="center"/>
                    <w:rPr>
                      <w:rFonts w:hint="default"/>
                    </w:rPr>
                  </w:pPr>
                  <w:r>
                    <w:rPr>
                      <w:rFonts w:hint="default"/>
                    </w:rPr>
                    <w:t>非甲烷总烃</w:t>
                  </w:r>
                </w:p>
              </w:tc>
              <w:tc>
                <w:tcPr>
                  <w:tcW w:w="1168" w:type="dxa"/>
                  <w:shd w:val="clear" w:color="auto" w:fill="auto"/>
                  <w:vAlign w:val="center"/>
                </w:tcPr>
                <w:p>
                  <w:pPr>
                    <w:spacing w:line="276" w:lineRule="auto"/>
                    <w:jc w:val="center"/>
                    <w:rPr>
                      <w:rFonts w:hint="default"/>
                      <w:lang w:val="en-US" w:eastAsia="zh-CN"/>
                    </w:rPr>
                  </w:pPr>
                  <w:r>
                    <w:rPr>
                      <w:rFonts w:hint="eastAsia"/>
                      <w:lang w:val="en-US" w:eastAsia="zh-CN"/>
                    </w:rPr>
                    <w:t>0.0514</w:t>
                  </w:r>
                </w:p>
              </w:tc>
              <w:tc>
                <w:tcPr>
                  <w:tcW w:w="1168" w:type="dxa"/>
                  <w:shd w:val="clear" w:color="auto" w:fill="auto"/>
                  <w:vAlign w:val="center"/>
                </w:tcPr>
                <w:p>
                  <w:pPr>
                    <w:spacing w:line="276" w:lineRule="auto"/>
                    <w:jc w:val="center"/>
                    <w:rPr>
                      <w:rFonts w:hint="default"/>
                      <w:lang w:val="en-US" w:eastAsia="zh-CN"/>
                    </w:rPr>
                  </w:pPr>
                  <w:r>
                    <w:rPr>
                      <w:rFonts w:hint="eastAsia"/>
                      <w:lang w:val="en-US" w:eastAsia="zh-CN"/>
                    </w:rPr>
                    <w:t>0.0489</w:t>
                  </w:r>
                </w:p>
              </w:tc>
              <w:tc>
                <w:tcPr>
                  <w:tcW w:w="1192" w:type="dxa"/>
                  <w:shd w:val="clear" w:color="auto" w:fill="auto"/>
                  <w:vAlign w:val="center"/>
                </w:tcPr>
                <w:p>
                  <w:pPr>
                    <w:spacing w:line="276" w:lineRule="auto"/>
                    <w:jc w:val="center"/>
                    <w:rPr>
                      <w:rFonts w:hint="default"/>
                      <w:lang w:val="en-US" w:eastAsia="zh-CN"/>
                    </w:rPr>
                  </w:pPr>
                  <w:r>
                    <w:rPr>
                      <w:rFonts w:hint="eastAsia"/>
                      <w:lang w:val="en-US" w:eastAsia="zh-CN"/>
                    </w:rPr>
                    <w:t>0.0502</w:t>
                  </w:r>
                </w:p>
              </w:tc>
              <w:tc>
                <w:tcPr>
                  <w:tcW w:w="1524" w:type="dxa"/>
                  <w:shd w:val="clear" w:color="auto" w:fill="auto"/>
                  <w:vAlign w:val="center"/>
                </w:tcPr>
                <w:p>
                  <w:pPr>
                    <w:spacing w:line="276" w:lineRule="auto"/>
                    <w:jc w:val="center"/>
                    <w:rPr>
                      <w:rFonts w:hint="default"/>
                      <w:lang w:val="en-US" w:eastAsia="zh-CN"/>
                    </w:rPr>
                  </w:pPr>
                  <w:r>
                    <w:rPr>
                      <w:rFonts w:hint="eastAsia"/>
                      <w:lang w:val="en-US" w:eastAsia="zh-CN"/>
                    </w:rPr>
                    <w:t>0.241</w:t>
                  </w:r>
                </w:p>
              </w:tc>
            </w:tr>
          </w:tbl>
          <w:p>
            <w:pPr>
              <w:spacing w:line="360" w:lineRule="auto"/>
              <w:rPr>
                <w:rFonts w:hint="eastAsia"/>
              </w:rPr>
            </w:pPr>
            <w:r>
              <w:rPr>
                <w:rFonts w:hint="eastAsia"/>
              </w:rPr>
              <w:t>注：本表排放速率为三次测量平均值</w:t>
            </w:r>
          </w:p>
          <w:p>
            <w:pPr>
              <w:pStyle w:val="2"/>
              <w:spacing w:line="360" w:lineRule="auto"/>
              <w:ind w:firstLine="420" w:firstLineChars="200"/>
              <w:rPr>
                <w:rFonts w:hint="default" w:eastAsia="宋体"/>
                <w:lang w:val="en-US" w:eastAsia="zh-CN"/>
              </w:rPr>
            </w:pPr>
            <w:r>
              <w:rPr>
                <w:rFonts w:hint="eastAsia" w:ascii="Times New Roman" w:hAnsi="Times New Roman" w:eastAsia="宋体" w:cs="Times New Roman"/>
                <w:kern w:val="2"/>
                <w:sz w:val="21"/>
                <w:szCs w:val="24"/>
                <w:lang w:val="en-US" w:eastAsia="zh-CN" w:bidi="ar-SA"/>
              </w:rPr>
              <w:t>项目新增的1台3050T压铸设备和原有无组织排放的1250T压铸设备共用一套新建有机废气处理设备，1250T压铸单元废气由无组织排放变为有组织排放，淘汰的一台400T压铸单元不再产生废气，新增的压铸单元未增加产能，项目技改后的有机废气实际排放量较原项目有所减少。</w:t>
            </w:r>
          </w:p>
        </w:tc>
      </w:tr>
    </w:tbl>
    <w:p>
      <w:pPr>
        <w:rPr>
          <w:b/>
          <w:sz w:val="28"/>
          <w:szCs w:val="28"/>
        </w:rPr>
      </w:pPr>
    </w:p>
    <w:p>
      <w:pPr>
        <w:rPr>
          <w:b/>
          <w:sz w:val="28"/>
          <w:szCs w:val="28"/>
        </w:rPr>
        <w:sectPr>
          <w:pgSz w:w="11906" w:h="16838"/>
          <w:pgMar w:top="1588" w:right="1418" w:bottom="1418" w:left="1418" w:header="851" w:footer="992" w:gutter="0"/>
          <w:pgBorders>
            <w:top w:val="none" w:sz="0" w:space="0"/>
            <w:left w:val="none" w:sz="0" w:space="0"/>
            <w:bottom w:val="none" w:sz="0" w:space="0"/>
            <w:right w:val="none" w:sz="0" w:space="0"/>
          </w:pgBorders>
          <w:cols w:space="425" w:num="1"/>
          <w:docGrid w:type="lines" w:linePitch="312" w:charSpace="0"/>
        </w:sectPr>
      </w:pPr>
    </w:p>
    <w:p>
      <w:pPr>
        <w:rPr>
          <w:b/>
          <w:sz w:val="28"/>
          <w:szCs w:val="28"/>
          <w:highlight w:val="none"/>
        </w:rPr>
      </w:pPr>
      <w:r>
        <w:rPr>
          <w:rFonts w:hint="eastAsia"/>
          <w:b/>
          <w:sz w:val="28"/>
          <w:szCs w:val="28"/>
          <w:highlight w:val="none"/>
        </w:rPr>
        <w:t>表八</w:t>
      </w:r>
    </w:p>
    <w:tbl>
      <w:tblPr>
        <w:tblStyle w:val="33"/>
        <w:tblW w:w="9503"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10117"/>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2862" w:hRule="atLeast"/>
          <w:jc w:val="center"/>
        </w:trPr>
        <w:tc>
          <w:tcPr>
            <w:tcW w:w="9503" w:type="dxa"/>
            <w:vAlign w:val="center"/>
          </w:tcPr>
          <w:p>
            <w:pPr>
              <w:pStyle w:val="22"/>
              <w:jc w:val="both"/>
              <w:rPr>
                <w:rFonts w:ascii="宋体" w:hAnsi="宋体"/>
                <w:b/>
                <w:sz w:val="28"/>
                <w:szCs w:val="28"/>
                <w:highlight w:val="none"/>
                <w:lang w:eastAsia="zh-CN"/>
              </w:rPr>
            </w:pPr>
            <w:bookmarkStart w:id="9" w:name="_Toc8304035"/>
            <w:r>
              <w:rPr>
                <w:rFonts w:ascii="宋体" w:hAnsi="宋体"/>
                <w:b/>
                <w:sz w:val="28"/>
                <w:szCs w:val="28"/>
                <w:highlight w:val="none"/>
                <w:lang w:eastAsia="zh-CN"/>
              </w:rPr>
              <w:t>环评报告表及批复要求落实情况</w:t>
            </w:r>
            <w:bookmarkEnd w:id="9"/>
            <w:r>
              <w:rPr>
                <w:rFonts w:hint="eastAsia" w:ascii="宋体" w:hAnsi="宋体"/>
                <w:b/>
                <w:sz w:val="28"/>
                <w:szCs w:val="28"/>
                <w:highlight w:val="none"/>
                <w:lang w:eastAsia="zh-CN"/>
              </w:rPr>
              <w:t>：</w:t>
            </w:r>
          </w:p>
          <w:tbl>
            <w:tblPr>
              <w:tblStyle w:val="32"/>
              <w:tblW w:w="9901" w:type="dxa"/>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930"/>
              <w:gridCol w:w="4053"/>
              <w:gridCol w:w="4918"/>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930" w:type="dxa"/>
                  <w:shd w:val="clear" w:color="auto" w:fill="auto"/>
                  <w:vAlign w:val="center"/>
                </w:tcPr>
                <w:p>
                  <w:pPr>
                    <w:spacing w:line="276" w:lineRule="auto"/>
                    <w:jc w:val="center"/>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rPr>
                    <w:t>序号</w:t>
                  </w:r>
                </w:p>
              </w:tc>
              <w:tc>
                <w:tcPr>
                  <w:tcW w:w="4053" w:type="dxa"/>
                  <w:shd w:val="clear" w:color="auto" w:fill="auto"/>
                  <w:vAlign w:val="center"/>
                </w:tcPr>
                <w:p>
                  <w:pPr>
                    <w:spacing w:line="276" w:lineRule="auto"/>
                    <w:jc w:val="center"/>
                    <w:rPr>
                      <w:rFonts w:hint="default" w:ascii="Times New Roman" w:hAnsi="Times New Roman" w:cs="Times New Roman"/>
                      <w:sz w:val="21"/>
                      <w:szCs w:val="21"/>
                      <w:highlight w:val="yellow"/>
                    </w:rPr>
                  </w:pPr>
                  <w:r>
                    <w:rPr>
                      <w:rFonts w:hint="default" w:ascii="Times New Roman" w:hAnsi="Times New Roman" w:cs="Times New Roman"/>
                      <w:sz w:val="21"/>
                      <w:szCs w:val="21"/>
                      <w:highlight w:val="none"/>
                    </w:rPr>
                    <w:t>报告表及批复要求</w:t>
                  </w:r>
                </w:p>
              </w:tc>
              <w:tc>
                <w:tcPr>
                  <w:tcW w:w="4918" w:type="dxa"/>
                  <w:shd w:val="clear" w:color="auto" w:fill="auto"/>
                  <w:vAlign w:val="center"/>
                </w:tcPr>
                <w:p>
                  <w:pPr>
                    <w:spacing w:line="276" w:lineRule="auto"/>
                    <w:jc w:val="center"/>
                    <w:rPr>
                      <w:rFonts w:hint="default" w:ascii="Times New Roman" w:hAnsi="Times New Roman" w:cs="Times New Roman"/>
                      <w:sz w:val="21"/>
                      <w:szCs w:val="21"/>
                      <w:highlight w:val="yellow"/>
                    </w:rPr>
                  </w:pPr>
                  <w:r>
                    <w:rPr>
                      <w:rFonts w:hint="default" w:ascii="Times New Roman" w:hAnsi="Times New Roman" w:cs="Times New Roman"/>
                      <w:sz w:val="21"/>
                      <w:szCs w:val="21"/>
                      <w:highlight w:val="none"/>
                    </w:rPr>
                    <w:t>实际落实情况</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930" w:type="dxa"/>
                  <w:shd w:val="clear" w:color="auto" w:fill="auto"/>
                  <w:vAlign w:val="center"/>
                </w:tcPr>
                <w:p>
                  <w:pPr>
                    <w:spacing w:line="276" w:lineRule="auto"/>
                    <w:jc w:val="center"/>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rPr>
                    <w:t>1</w:t>
                  </w:r>
                </w:p>
              </w:tc>
              <w:tc>
                <w:tcPr>
                  <w:tcW w:w="4053" w:type="dxa"/>
                  <w:shd w:val="clear" w:color="auto" w:fill="auto"/>
                  <w:vAlign w:val="center"/>
                </w:tcPr>
                <w:p>
                  <w:pPr>
                    <w:spacing w:line="276" w:lineRule="auto"/>
                    <w:ind w:firstLine="436" w:firstLineChars="208"/>
                    <w:jc w:val="left"/>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rPr>
                    <w:t>该项目选址</w:t>
                  </w:r>
                  <w:r>
                    <w:rPr>
                      <w:rFonts w:hint="default" w:ascii="Times New Roman" w:hAnsi="Times New Roman" w:cs="Times New Roman"/>
                      <w:sz w:val="21"/>
                      <w:szCs w:val="21"/>
                      <w:highlight w:val="none"/>
                      <w:lang w:eastAsia="zh-CN"/>
                    </w:rPr>
                    <w:t>安徽省芜湖市鸠江经济技术开发区</w:t>
                  </w:r>
                  <w:r>
                    <w:rPr>
                      <w:rFonts w:hint="default" w:ascii="Times New Roman" w:hAnsi="Times New Roman" w:cs="Times New Roman"/>
                      <w:sz w:val="21"/>
                      <w:szCs w:val="21"/>
                      <w:highlight w:val="none"/>
                    </w:rPr>
                    <w:t>，主要从事</w:t>
                  </w:r>
                  <w:r>
                    <w:rPr>
                      <w:rFonts w:hint="default" w:ascii="Times New Roman" w:hAnsi="Times New Roman" w:cs="Times New Roman"/>
                      <w:sz w:val="21"/>
                      <w:szCs w:val="21"/>
                      <w:highlight w:val="none"/>
                      <w:lang w:val="en-US" w:eastAsia="zh-CN"/>
                    </w:rPr>
                    <w:t>压铸缸体的生产加工</w:t>
                  </w:r>
                  <w:r>
                    <w:rPr>
                      <w:rFonts w:hint="default" w:ascii="Times New Roman" w:hAnsi="Times New Roman" w:cs="Times New Roman"/>
                      <w:sz w:val="21"/>
                      <w:szCs w:val="21"/>
                      <w:highlight w:val="none"/>
                    </w:rPr>
                    <w:t>。项目投产后可实现年产</w:t>
                  </w:r>
                  <w:r>
                    <w:rPr>
                      <w:rFonts w:hint="default" w:ascii="Times New Roman" w:hAnsi="Times New Roman" w:cs="Times New Roman"/>
                      <w:sz w:val="21"/>
                      <w:szCs w:val="21"/>
                      <w:highlight w:val="none"/>
                      <w:lang w:val="en-US" w:eastAsia="zh-CN"/>
                    </w:rPr>
                    <w:t>28万件缸体</w:t>
                  </w:r>
                  <w:r>
                    <w:rPr>
                      <w:rFonts w:hint="default" w:ascii="Times New Roman" w:hAnsi="Times New Roman" w:cs="Times New Roman"/>
                      <w:sz w:val="21"/>
                      <w:szCs w:val="21"/>
                      <w:highlight w:val="none"/>
                    </w:rPr>
                    <w:t>的生产规模。</w:t>
                  </w:r>
                </w:p>
              </w:tc>
              <w:tc>
                <w:tcPr>
                  <w:tcW w:w="4918" w:type="dxa"/>
                  <w:shd w:val="clear" w:color="auto" w:fill="auto"/>
                  <w:vAlign w:val="center"/>
                </w:tcPr>
                <w:p>
                  <w:pPr>
                    <w:numPr>
                      <w:ilvl w:val="0"/>
                      <w:numId w:val="1"/>
                    </w:numPr>
                    <w:spacing w:line="276" w:lineRule="auto"/>
                    <w:jc w:val="left"/>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rPr>
                    <w:t>该项目选址</w:t>
                  </w:r>
                  <w:r>
                    <w:rPr>
                      <w:rFonts w:hint="default" w:ascii="Times New Roman" w:hAnsi="Times New Roman" w:cs="Times New Roman"/>
                      <w:sz w:val="21"/>
                      <w:szCs w:val="21"/>
                      <w:highlight w:val="none"/>
                      <w:lang w:eastAsia="zh-CN"/>
                    </w:rPr>
                    <w:t>安徽省芜湖市经济技术开发区长江北路250号芜湖永达科技有限公司内</w:t>
                  </w:r>
                  <w:r>
                    <w:rPr>
                      <w:rFonts w:hint="default" w:ascii="Times New Roman" w:hAnsi="Times New Roman" w:cs="Times New Roman"/>
                      <w:sz w:val="21"/>
                      <w:szCs w:val="21"/>
                      <w:highlight w:val="none"/>
                    </w:rPr>
                    <w:t>进行</w:t>
                  </w:r>
                  <w:r>
                    <w:rPr>
                      <w:rFonts w:hint="default" w:ascii="Times New Roman" w:hAnsi="Times New Roman" w:cs="Times New Roman"/>
                      <w:sz w:val="21"/>
                      <w:szCs w:val="21"/>
                      <w:highlight w:val="none"/>
                      <w:lang w:val="en-US" w:eastAsia="zh-CN"/>
                    </w:rPr>
                    <w:t>缸体</w:t>
                  </w:r>
                  <w:r>
                    <w:rPr>
                      <w:rFonts w:hint="default" w:ascii="Times New Roman" w:hAnsi="Times New Roman" w:cs="Times New Roman"/>
                      <w:sz w:val="21"/>
                      <w:szCs w:val="21"/>
                      <w:highlight w:val="none"/>
                    </w:rPr>
                    <w:t>的生产</w:t>
                  </w:r>
                  <w:r>
                    <w:rPr>
                      <w:rFonts w:hint="default" w:ascii="Times New Roman" w:hAnsi="Times New Roman" w:cs="Times New Roman"/>
                      <w:sz w:val="21"/>
                      <w:szCs w:val="21"/>
                      <w:highlight w:val="none"/>
                      <w:lang w:val="en-US" w:eastAsia="zh-CN"/>
                    </w:rPr>
                    <w:t>加工</w:t>
                  </w:r>
                  <w:r>
                    <w:rPr>
                      <w:rFonts w:hint="default" w:ascii="Times New Roman" w:hAnsi="Times New Roman" w:cs="Times New Roman"/>
                      <w:sz w:val="21"/>
                      <w:szCs w:val="21"/>
                      <w:highlight w:val="none"/>
                    </w:rPr>
                    <w:t>。</w:t>
                  </w:r>
                </w:p>
                <w:p>
                  <w:pPr>
                    <w:numPr>
                      <w:ilvl w:val="0"/>
                      <w:numId w:val="1"/>
                    </w:numPr>
                    <w:spacing w:line="276" w:lineRule="auto"/>
                    <w:jc w:val="left"/>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rPr>
                    <w:t>该项目实际生产能力已达到</w:t>
                  </w:r>
                  <w:r>
                    <w:rPr>
                      <w:rFonts w:hint="default" w:ascii="Times New Roman" w:hAnsi="Times New Roman" w:cs="Times New Roman"/>
                      <w:sz w:val="21"/>
                      <w:szCs w:val="21"/>
                      <w:highlight w:val="none"/>
                      <w:lang w:val="en-US" w:eastAsia="zh-CN"/>
                    </w:rPr>
                    <w:t>年产14万件缸体</w:t>
                  </w:r>
                  <w:r>
                    <w:rPr>
                      <w:rFonts w:hint="default" w:ascii="Times New Roman" w:hAnsi="Times New Roman" w:cs="Times New Roman"/>
                      <w:sz w:val="21"/>
                      <w:szCs w:val="21"/>
                      <w:highlight w:val="none"/>
                    </w:rPr>
                    <w:t xml:space="preserve">。 </w:t>
                  </w:r>
                </w:p>
                <w:p>
                  <w:pPr>
                    <w:numPr>
                      <w:ilvl w:val="0"/>
                      <w:numId w:val="1"/>
                    </w:numPr>
                    <w:spacing w:line="276" w:lineRule="auto"/>
                    <w:jc w:val="left"/>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rPr>
                    <w:t>该项目性质、平面布局及工艺均与环评</w:t>
                  </w:r>
                  <w:r>
                    <w:rPr>
                      <w:rFonts w:hint="default" w:ascii="Times New Roman" w:hAnsi="Times New Roman" w:cs="Times New Roman"/>
                      <w:sz w:val="21"/>
                      <w:szCs w:val="21"/>
                      <w:highlight w:val="none"/>
                      <w:lang w:val="en-US" w:eastAsia="zh-CN"/>
                    </w:rPr>
                    <w:t>基本</w:t>
                  </w:r>
                  <w:r>
                    <w:rPr>
                      <w:rFonts w:hint="default" w:ascii="Times New Roman" w:hAnsi="Times New Roman" w:cs="Times New Roman"/>
                      <w:sz w:val="21"/>
                      <w:szCs w:val="21"/>
                      <w:highlight w:val="none"/>
                    </w:rPr>
                    <w:t>相符。</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930" w:type="dxa"/>
                  <w:shd w:val="clear" w:color="auto" w:fill="auto"/>
                  <w:vAlign w:val="center"/>
                </w:tcPr>
                <w:p>
                  <w:pPr>
                    <w:spacing w:line="276" w:lineRule="auto"/>
                    <w:jc w:val="center"/>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rPr>
                    <w:t>2</w:t>
                  </w:r>
                </w:p>
              </w:tc>
              <w:tc>
                <w:tcPr>
                  <w:tcW w:w="4053" w:type="dxa"/>
                  <w:shd w:val="clear" w:color="auto" w:fill="auto"/>
                  <w:vAlign w:val="center"/>
                </w:tcPr>
                <w:p>
                  <w:pPr>
                    <w:spacing w:line="276" w:lineRule="auto"/>
                    <w:ind w:firstLine="420" w:firstLineChars="200"/>
                    <w:jc w:val="left"/>
                    <w:rPr>
                      <w:rFonts w:hint="default" w:ascii="Times New Roman" w:hAnsi="Times New Roman" w:cs="Times New Roman"/>
                      <w:sz w:val="21"/>
                      <w:szCs w:val="21"/>
                      <w:highlight w:val="none"/>
                      <w:lang w:val="en-US" w:eastAsia="zh-CN"/>
                    </w:rPr>
                  </w:pPr>
                  <w:r>
                    <w:rPr>
                      <w:rFonts w:hint="default" w:ascii="Times New Roman" w:hAnsi="Times New Roman" w:cs="Times New Roman"/>
                      <w:sz w:val="21"/>
                      <w:szCs w:val="21"/>
                      <w:highlight w:val="none"/>
                      <w:lang w:val="en-US" w:eastAsia="zh-CN"/>
                    </w:rPr>
                    <w:t>加强水污染防治，落实雨污分流制度。淬火冷却水和气密封废水循环使用不外排。脱模废水经厂区污水处理设施治理后，与经处理后生活污水一并外排、执行纳管协议及《污水综合排放标准》(GB 8978-</w:t>
                  </w:r>
                </w:p>
                <w:p>
                  <w:pPr>
                    <w:spacing w:line="276" w:lineRule="auto"/>
                    <w:jc w:val="left"/>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lang w:val="en-US" w:eastAsia="zh-CN"/>
                    </w:rPr>
                    <w:t>1996)相应标准限值。</w:t>
                  </w:r>
                </w:p>
              </w:tc>
              <w:tc>
                <w:tcPr>
                  <w:tcW w:w="4918" w:type="dxa"/>
                  <w:shd w:val="clear" w:color="auto" w:fill="auto"/>
                  <w:vAlign w:val="center"/>
                </w:tcPr>
                <w:p>
                  <w:pPr>
                    <w:numPr>
                      <w:ilvl w:val="0"/>
                      <w:numId w:val="2"/>
                    </w:numPr>
                    <w:spacing w:line="276" w:lineRule="auto"/>
                    <w:jc w:val="left"/>
                    <w:rPr>
                      <w:rFonts w:hint="default"/>
                    </w:rPr>
                  </w:pPr>
                  <w:r>
                    <w:rPr>
                      <w:rFonts w:hint="default"/>
                      <w:lang w:val="en-US" w:eastAsia="zh-CN"/>
                    </w:rPr>
                    <w:t>本次技改项目用水主要为脱模剂用水、热处理中的淬火冷却水、气密封水检用水。本项目员工无变动，所以不新增生活污水</w:t>
                  </w:r>
                  <w:r>
                    <w:rPr>
                      <w:rFonts w:hint="default"/>
                    </w:rPr>
                    <w:t>。</w:t>
                  </w:r>
                </w:p>
                <w:p>
                  <w:pPr>
                    <w:numPr>
                      <w:ilvl w:val="0"/>
                      <w:numId w:val="2"/>
                    </w:numPr>
                    <w:spacing w:line="276" w:lineRule="auto"/>
                    <w:jc w:val="left"/>
                    <w:rPr>
                      <w:rFonts w:hint="default"/>
                    </w:rPr>
                  </w:pPr>
                  <w:r>
                    <w:rPr>
                      <w:rFonts w:hint="default"/>
                      <w:lang w:val="en-US" w:eastAsia="zh-CN"/>
                    </w:rPr>
                    <w:t>脱模废水进入厂区污水处理站处理，废水达到标准要求后，接入市政污水管网，最终排入朱家桥污水处理厂处理后排入长江；淬火冷却水循环使用，定期补充不外排；气密封水检用水进入厂区污水处理站处理后由市政污水管网排入朱家桥污水处理厂；生活废水经隔油池、化粪池预处理后排入市政污水管网。</w:t>
                  </w:r>
                </w:p>
                <w:p>
                  <w:pPr>
                    <w:numPr>
                      <w:ilvl w:val="0"/>
                      <w:numId w:val="2"/>
                    </w:numPr>
                    <w:spacing w:line="276" w:lineRule="auto"/>
                    <w:jc w:val="left"/>
                    <w:rPr>
                      <w:rFonts w:hint="default"/>
                    </w:rPr>
                  </w:pPr>
                  <w:r>
                    <w:rPr>
                      <w:rFonts w:hint="default"/>
                      <w:lang w:val="en-US" w:eastAsia="zh-CN"/>
                    </w:rPr>
                    <w:t>2020年7月25日和2020年7月26日，芜湖永达科技有限公司废水总排口的pH值及化学需氧量、生化需氧量、悬浮物、动植物油浓度均满足《污水综合排放标准》（GB8978-1996）中三级标准要求。</w:t>
                  </w:r>
                  <w:r>
                    <w:rPr>
                      <w:rFonts w:hint="default" w:ascii="Times New Roman" w:hAnsi="Times New Roman" w:cs="Times New Roman"/>
                      <w:color w:val="000000"/>
                      <w:sz w:val="21"/>
                      <w:szCs w:val="21"/>
                      <w:highlight w:val="none"/>
                      <w:lang w:val="en-US" w:eastAsia="zh-CN"/>
                    </w:rPr>
                    <w:t>2020年</w:t>
                  </w:r>
                  <w:r>
                    <w:rPr>
                      <w:rFonts w:hint="eastAsia" w:cs="Times New Roman"/>
                      <w:color w:val="000000"/>
                      <w:sz w:val="21"/>
                      <w:szCs w:val="21"/>
                      <w:highlight w:val="none"/>
                      <w:lang w:val="en-US" w:eastAsia="zh-CN"/>
                    </w:rPr>
                    <w:t>8</w:t>
                  </w:r>
                  <w:r>
                    <w:rPr>
                      <w:rFonts w:hint="default" w:ascii="Times New Roman" w:hAnsi="Times New Roman" w:cs="Times New Roman"/>
                      <w:color w:val="000000"/>
                      <w:sz w:val="21"/>
                      <w:szCs w:val="21"/>
                      <w:highlight w:val="none"/>
                      <w:lang w:val="en-US" w:eastAsia="zh-CN"/>
                    </w:rPr>
                    <w:t>月2</w:t>
                  </w:r>
                  <w:r>
                    <w:rPr>
                      <w:rFonts w:hint="eastAsia" w:cs="Times New Roman"/>
                      <w:color w:val="000000"/>
                      <w:sz w:val="21"/>
                      <w:szCs w:val="21"/>
                      <w:highlight w:val="none"/>
                      <w:lang w:val="en-US" w:eastAsia="zh-CN"/>
                    </w:rPr>
                    <w:t>3</w:t>
                  </w:r>
                  <w:r>
                    <w:rPr>
                      <w:rFonts w:hint="default" w:ascii="Times New Roman" w:hAnsi="Times New Roman" w:cs="Times New Roman"/>
                      <w:color w:val="000000"/>
                      <w:sz w:val="21"/>
                      <w:szCs w:val="21"/>
                      <w:highlight w:val="none"/>
                      <w:lang w:val="en-US" w:eastAsia="zh-CN"/>
                    </w:rPr>
                    <w:t>日和2020年</w:t>
                  </w:r>
                  <w:r>
                    <w:rPr>
                      <w:rFonts w:hint="eastAsia" w:cs="Times New Roman"/>
                      <w:color w:val="000000"/>
                      <w:sz w:val="21"/>
                      <w:szCs w:val="21"/>
                      <w:highlight w:val="none"/>
                      <w:lang w:val="en-US" w:eastAsia="zh-CN"/>
                    </w:rPr>
                    <w:t>8</w:t>
                  </w:r>
                  <w:r>
                    <w:rPr>
                      <w:rFonts w:hint="default" w:ascii="Times New Roman" w:hAnsi="Times New Roman" w:cs="Times New Roman"/>
                      <w:color w:val="000000"/>
                      <w:sz w:val="21"/>
                      <w:szCs w:val="21"/>
                      <w:highlight w:val="none"/>
                      <w:lang w:val="en-US" w:eastAsia="zh-CN"/>
                    </w:rPr>
                    <w:t>月2</w:t>
                  </w:r>
                  <w:r>
                    <w:rPr>
                      <w:rFonts w:hint="eastAsia" w:cs="Times New Roman"/>
                      <w:color w:val="000000"/>
                      <w:sz w:val="21"/>
                      <w:szCs w:val="21"/>
                      <w:highlight w:val="none"/>
                      <w:lang w:val="en-US" w:eastAsia="zh-CN"/>
                    </w:rPr>
                    <w:t>4</w:t>
                  </w:r>
                  <w:r>
                    <w:rPr>
                      <w:rFonts w:hint="default" w:ascii="Times New Roman" w:hAnsi="Times New Roman" w:cs="Times New Roman"/>
                      <w:color w:val="000000"/>
                      <w:sz w:val="21"/>
                      <w:szCs w:val="21"/>
                      <w:highlight w:val="none"/>
                      <w:lang w:val="en-US" w:eastAsia="zh-CN"/>
                    </w:rPr>
                    <w:t>日，芜湖永达科技有限公司废水总排口的pH值及化学需氧量、生化需氧量、悬浮物、动植物油</w:t>
                  </w:r>
                  <w:r>
                    <w:rPr>
                      <w:rFonts w:hint="eastAsia" w:cs="Times New Roman"/>
                      <w:color w:val="000000"/>
                      <w:sz w:val="21"/>
                      <w:szCs w:val="21"/>
                      <w:highlight w:val="none"/>
                      <w:lang w:val="en-US" w:eastAsia="zh-CN"/>
                    </w:rPr>
                    <w:t>、石油类</w:t>
                  </w:r>
                  <w:r>
                    <w:rPr>
                      <w:rFonts w:hint="default" w:ascii="Times New Roman" w:hAnsi="Times New Roman" w:cs="Times New Roman"/>
                      <w:color w:val="000000"/>
                      <w:sz w:val="21"/>
                      <w:szCs w:val="21"/>
                      <w:highlight w:val="none"/>
                      <w:lang w:val="en-US" w:eastAsia="zh-CN"/>
                    </w:rPr>
                    <w:t>浓度均满足《污水综合排放标准》（GB8978-1996）中三级标准要求。</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930" w:type="dxa"/>
                  <w:shd w:val="clear" w:color="auto" w:fill="auto"/>
                  <w:vAlign w:val="center"/>
                </w:tcPr>
                <w:p>
                  <w:pPr>
                    <w:spacing w:line="276" w:lineRule="auto"/>
                    <w:jc w:val="center"/>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rPr>
                    <w:t>3</w:t>
                  </w:r>
                </w:p>
              </w:tc>
              <w:tc>
                <w:tcPr>
                  <w:tcW w:w="4053" w:type="dxa"/>
                  <w:shd w:val="clear" w:color="auto" w:fill="auto"/>
                  <w:vAlign w:val="center"/>
                </w:tcPr>
                <w:p>
                  <w:pPr>
                    <w:spacing w:line="276" w:lineRule="auto"/>
                    <w:ind w:firstLine="420" w:firstLineChars="200"/>
                    <w:rPr>
                      <w:rFonts w:hint="default" w:ascii="Times New Roman" w:hAnsi="Times New Roman" w:cs="Times New Roman"/>
                      <w:color w:val="000000"/>
                      <w:sz w:val="21"/>
                      <w:szCs w:val="21"/>
                      <w:highlight w:val="none"/>
                    </w:rPr>
                  </w:pPr>
                  <w:r>
                    <w:rPr>
                      <w:rFonts w:hint="default" w:ascii="Times New Roman" w:hAnsi="Times New Roman" w:cs="Times New Roman"/>
                      <w:color w:val="000000"/>
                      <w:sz w:val="21"/>
                      <w:szCs w:val="21"/>
                      <w:highlight w:val="none"/>
                      <w:lang w:val="en-US" w:eastAsia="zh-CN"/>
                    </w:rPr>
                    <w:t>加强大气污染防治。切实落实长三角地区、省、市相关大气污染防治行动计划实施方案以及国家和地方政府制定的冬防措施、重大活动保障措施、重污染天气应急措施、污染物特别排放限值等各项环境管理要求。压铸脱模环节有机废气应经有效收集治理，治理后废气和无组织废气外排满足河北省《工业企业挥发性有机物排放控制标准》(DB13/2322-2016)相关排放限值。</w:t>
                  </w:r>
                </w:p>
              </w:tc>
              <w:tc>
                <w:tcPr>
                  <w:tcW w:w="4918" w:type="dxa"/>
                  <w:shd w:val="clear" w:color="auto" w:fill="auto"/>
                  <w:vAlign w:val="center"/>
                </w:tcPr>
                <w:p>
                  <w:pPr>
                    <w:numPr>
                      <w:ilvl w:val="0"/>
                      <w:numId w:val="3"/>
                    </w:numPr>
                    <w:spacing w:line="276" w:lineRule="auto"/>
                    <w:jc w:val="left"/>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lang w:val="en-US" w:eastAsia="zh-CN"/>
                    </w:rPr>
                    <w:t>技改项目废气主要是压铸设备使用的脱模剂受热蒸发产生的有机废气（以非甲烷总烃计）。</w:t>
                  </w:r>
                </w:p>
                <w:p>
                  <w:pPr>
                    <w:numPr>
                      <w:ilvl w:val="0"/>
                      <w:numId w:val="3"/>
                    </w:numPr>
                    <w:spacing w:line="276" w:lineRule="auto"/>
                    <w:jc w:val="left"/>
                    <w:rPr>
                      <w:rFonts w:hint="default" w:ascii="Times New Roman" w:hAnsi="Times New Roman" w:cs="Times New Roman"/>
                      <w:sz w:val="21"/>
                      <w:szCs w:val="21"/>
                      <w:highlight w:val="none"/>
                    </w:rPr>
                  </w:pPr>
                  <w:r>
                    <w:rPr>
                      <w:rFonts w:hint="default" w:ascii="Times New Roman" w:hAnsi="Times New Roman" w:cs="Times New Roman"/>
                      <w:kern w:val="0"/>
                      <w:sz w:val="21"/>
                      <w:szCs w:val="21"/>
                      <w:highlight w:val="none"/>
                      <w:lang w:val="en-US" w:eastAsia="zh-CN"/>
                    </w:rPr>
                    <w:t>压铸工位半封闭并在上方设置集气罩，脱模时打开抽风机，收集压铸废气，引入“静电除雾+等离子光氧装置+活性炭吸附”装置处理后，最终通过15米高的2#排气筒排放。</w:t>
                  </w:r>
                </w:p>
                <w:p>
                  <w:pPr>
                    <w:numPr>
                      <w:ilvl w:val="0"/>
                      <w:numId w:val="3"/>
                    </w:numPr>
                    <w:spacing w:line="276" w:lineRule="auto"/>
                    <w:jc w:val="left"/>
                    <w:rPr>
                      <w:rFonts w:hint="default" w:ascii="Times New Roman" w:hAnsi="Times New Roman" w:cs="Times New Roman"/>
                      <w:sz w:val="21"/>
                      <w:szCs w:val="21"/>
                      <w:highlight w:val="none"/>
                    </w:rPr>
                  </w:pPr>
                  <w:r>
                    <w:rPr>
                      <w:rFonts w:hint="default" w:ascii="Times New Roman" w:hAnsi="Times New Roman" w:cs="Times New Roman"/>
                      <w:color w:val="000000"/>
                      <w:sz w:val="21"/>
                      <w:szCs w:val="21"/>
                      <w:highlight w:val="none"/>
                    </w:rPr>
                    <w:t>有组织废气：</w:t>
                  </w:r>
                  <w:r>
                    <w:rPr>
                      <w:rFonts w:hint="default" w:ascii="Times New Roman" w:hAnsi="Times New Roman" w:cs="Times New Roman"/>
                      <w:color w:val="000000"/>
                      <w:sz w:val="21"/>
                      <w:szCs w:val="21"/>
                      <w:highlight w:val="none"/>
                      <w:lang w:val="en-US" w:eastAsia="zh-CN"/>
                    </w:rPr>
                    <w:t>2020年7月25日和2020年7月26日</w:t>
                  </w:r>
                  <w:r>
                    <w:rPr>
                      <w:rFonts w:hint="eastAsia" w:cs="Times New Roman"/>
                      <w:color w:val="000000"/>
                      <w:sz w:val="21"/>
                      <w:szCs w:val="21"/>
                      <w:highlight w:val="none"/>
                      <w:lang w:val="en-US" w:eastAsia="zh-CN"/>
                    </w:rPr>
                    <w:t>，2020年8月23日和2020年8月24日</w:t>
                  </w:r>
                  <w:r>
                    <w:rPr>
                      <w:rFonts w:hint="default" w:ascii="Times New Roman" w:hAnsi="Times New Roman" w:cs="Times New Roman"/>
                      <w:color w:val="000000"/>
                      <w:sz w:val="21"/>
                      <w:szCs w:val="21"/>
                      <w:highlight w:val="none"/>
                      <w:lang w:val="en-US" w:eastAsia="zh-CN"/>
                    </w:rPr>
                    <w:t>，芜湖永达科技有限公司脱模废气排气筒出口中非甲烷总烃排放浓度均满足《工业企业挥发性有机物排放控制标准》（DB13/2322—2016）中的限值。</w:t>
                  </w:r>
                </w:p>
                <w:p>
                  <w:pPr>
                    <w:numPr>
                      <w:ilvl w:val="0"/>
                      <w:numId w:val="3"/>
                    </w:numPr>
                    <w:spacing w:line="276" w:lineRule="auto"/>
                    <w:jc w:val="left"/>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rPr>
                    <w:t>无组织废气：</w:t>
                  </w:r>
                  <w:r>
                    <w:rPr>
                      <w:rFonts w:hint="default" w:ascii="Times New Roman" w:hAnsi="Times New Roman" w:cs="Times New Roman"/>
                      <w:sz w:val="21"/>
                      <w:szCs w:val="21"/>
                      <w:highlight w:val="none"/>
                      <w:lang w:val="en-US" w:eastAsia="zh-CN"/>
                    </w:rPr>
                    <w:t>2020年7月25日和2020年7月26日，芜湖永达科技有限公司上风向1、下风向1、下风向2，下风向3无组织废气中的非甲烷总烃浓度均满足《工业企业挥发性有机物排放控制标准》（DB13/2322—2016）中的标准限值</w:t>
                  </w:r>
                  <w:r>
                    <w:rPr>
                      <w:rFonts w:hint="eastAsia" w:cs="Times New Roman"/>
                      <w:sz w:val="21"/>
                      <w:szCs w:val="21"/>
                      <w:highlight w:val="none"/>
                      <w:lang w:val="en-US" w:eastAsia="zh-CN"/>
                    </w:rPr>
                    <w:t>，同时满足《挥发性有机物无组织排放控制标准》（GB 37822-2019）限值。</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930" w:type="dxa"/>
                  <w:shd w:val="clear" w:color="auto" w:fill="auto"/>
                  <w:vAlign w:val="center"/>
                </w:tcPr>
                <w:p>
                  <w:pPr>
                    <w:spacing w:line="276" w:lineRule="auto"/>
                    <w:jc w:val="center"/>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rPr>
                    <w:t>4</w:t>
                  </w:r>
                </w:p>
              </w:tc>
              <w:tc>
                <w:tcPr>
                  <w:tcW w:w="4053" w:type="dxa"/>
                  <w:shd w:val="clear" w:color="auto" w:fill="auto"/>
                  <w:vAlign w:val="center"/>
                </w:tcPr>
                <w:p>
                  <w:pPr>
                    <w:spacing w:line="276" w:lineRule="auto"/>
                    <w:ind w:firstLine="436" w:firstLineChars="208"/>
                    <w:jc w:val="left"/>
                    <w:rPr>
                      <w:rFonts w:hint="default" w:ascii="Times New Roman" w:hAnsi="Times New Roman" w:cs="Times New Roman"/>
                      <w:sz w:val="21"/>
                      <w:szCs w:val="21"/>
                      <w:highlight w:val="none"/>
                    </w:rPr>
                  </w:pPr>
                  <w:r>
                    <w:rPr>
                      <w:rFonts w:hint="default" w:ascii="Times New Roman" w:hAnsi="Times New Roman" w:cs="Times New Roman"/>
                      <w:color w:val="000000"/>
                      <w:sz w:val="21"/>
                      <w:szCs w:val="21"/>
                      <w:highlight w:val="none"/>
                      <w:lang w:val="en-US" w:eastAsia="zh-CN"/>
                    </w:rPr>
                    <w:t>加强噪声污染防治。选用低噪设备，并针对性地分别采取隔声、消声、减振措施降低噪声，噪声外排执行《工业企业厂界环境噪声排放标准》(GB12348-2008)中3类标准限值。</w:t>
                  </w:r>
                </w:p>
              </w:tc>
              <w:tc>
                <w:tcPr>
                  <w:tcW w:w="4918" w:type="dxa"/>
                  <w:shd w:val="clear" w:color="auto" w:fill="auto"/>
                  <w:vAlign w:val="center"/>
                </w:tcPr>
                <w:p>
                  <w:pPr>
                    <w:pStyle w:val="148"/>
                    <w:spacing w:line="276" w:lineRule="auto"/>
                    <w:ind w:left="94" w:firstLine="420"/>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1.</w:t>
                  </w:r>
                  <w:r>
                    <w:rPr>
                      <w:rFonts w:hint="default" w:ascii="Times New Roman" w:hAnsi="Times New Roman" w:cs="Times New Roman"/>
                      <w:sz w:val="21"/>
                      <w:szCs w:val="21"/>
                      <w:highlight w:val="none"/>
                    </w:rPr>
                    <w:t xml:space="preserve"> </w:t>
                  </w:r>
                  <w:r>
                    <w:rPr>
                      <w:rFonts w:hint="default" w:ascii="Times New Roman" w:hAnsi="Times New Roman" w:eastAsia="宋体" w:cs="Times New Roman"/>
                      <w:color w:val="auto"/>
                      <w:sz w:val="21"/>
                      <w:szCs w:val="21"/>
                      <w:highlight w:val="none"/>
                    </w:rPr>
                    <w:t>本项目主要噪声来自于</w:t>
                  </w:r>
                  <w:r>
                    <w:rPr>
                      <w:rFonts w:hint="default" w:ascii="Times New Roman" w:hAnsi="Times New Roman" w:eastAsia="宋体" w:cs="Times New Roman"/>
                      <w:color w:val="auto"/>
                      <w:sz w:val="21"/>
                      <w:szCs w:val="21"/>
                      <w:highlight w:val="none"/>
                      <w:lang w:val="en-US" w:eastAsia="zh-CN"/>
                    </w:rPr>
                    <w:t>机加工生产设备、风机和压铸机等各类</w:t>
                  </w:r>
                  <w:r>
                    <w:rPr>
                      <w:rFonts w:hint="default" w:ascii="Times New Roman" w:hAnsi="Times New Roman" w:eastAsia="宋体" w:cs="Times New Roman"/>
                      <w:color w:val="auto"/>
                      <w:sz w:val="21"/>
                      <w:szCs w:val="21"/>
                      <w:highlight w:val="none"/>
                    </w:rPr>
                    <w:t>设备运行时产生的机械噪声。</w:t>
                  </w:r>
                </w:p>
                <w:p>
                  <w:pPr>
                    <w:pStyle w:val="148"/>
                    <w:spacing w:line="276" w:lineRule="auto"/>
                    <w:ind w:left="94" w:firstLine="420"/>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sz w:val="21"/>
                      <w:szCs w:val="21"/>
                      <w:highlight w:val="none"/>
                    </w:rPr>
                    <w:t>2.</w:t>
                  </w:r>
                  <w:r>
                    <w:rPr>
                      <w:rFonts w:hint="default" w:ascii="Times New Roman" w:hAnsi="Times New Roman" w:cs="Times New Roman"/>
                      <w:sz w:val="21"/>
                      <w:szCs w:val="21"/>
                      <w:highlight w:val="none"/>
                    </w:rPr>
                    <w:t xml:space="preserve"> </w:t>
                  </w:r>
                  <w:r>
                    <w:rPr>
                      <w:rFonts w:hint="default" w:ascii="Times New Roman" w:hAnsi="Times New Roman" w:eastAsia="宋体" w:cs="Times New Roman"/>
                      <w:color w:val="auto"/>
                      <w:sz w:val="21"/>
                      <w:szCs w:val="21"/>
                      <w:highlight w:val="none"/>
                    </w:rPr>
                    <w:t>企业通过设置减震基座、安装消声机、厂房隔声等措施降低噪声污染。</w:t>
                  </w:r>
                </w:p>
                <w:p>
                  <w:pPr>
                    <w:pStyle w:val="148"/>
                    <w:spacing w:line="276" w:lineRule="auto"/>
                    <w:ind w:left="94" w:firstLine="420"/>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3.</w:t>
                  </w:r>
                  <w:r>
                    <w:rPr>
                      <w:rFonts w:hint="default" w:ascii="Times New Roman" w:hAnsi="Times New Roman" w:eastAsia="宋体" w:cs="Times New Roman"/>
                      <w:sz w:val="21"/>
                      <w:szCs w:val="21"/>
                      <w:highlight w:val="none"/>
                    </w:rPr>
                    <w:t xml:space="preserve"> </w:t>
                  </w:r>
                  <w:r>
                    <w:rPr>
                      <w:rFonts w:hint="default" w:ascii="Times New Roman" w:hAnsi="Times New Roman" w:eastAsia="宋体" w:cs="Times New Roman"/>
                      <w:sz w:val="21"/>
                      <w:szCs w:val="21"/>
                      <w:highlight w:val="none"/>
                      <w:lang w:val="en-US" w:eastAsia="zh-CN"/>
                    </w:rPr>
                    <w:t>2020年7月25日和2020年7月26日，芜湖永达科技有限公司厂界东、厂界南、厂界西、厂界北昼间和夜间噪声均满足《工业企业厂界环境噪声排放标准》（GB12348-2008）中3类标准。</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930" w:type="dxa"/>
                  <w:shd w:val="clear" w:color="auto" w:fill="auto"/>
                  <w:vAlign w:val="center"/>
                </w:tcPr>
                <w:p>
                  <w:pPr>
                    <w:spacing w:line="276" w:lineRule="auto"/>
                    <w:jc w:val="center"/>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rPr>
                    <w:t>5</w:t>
                  </w:r>
                </w:p>
              </w:tc>
              <w:tc>
                <w:tcPr>
                  <w:tcW w:w="4053" w:type="dxa"/>
                  <w:shd w:val="clear" w:color="auto" w:fill="auto"/>
                  <w:vAlign w:val="center"/>
                </w:tcPr>
                <w:p>
                  <w:pPr>
                    <w:spacing w:line="276" w:lineRule="auto"/>
                    <w:ind w:firstLine="525" w:firstLineChars="250"/>
                    <w:rPr>
                      <w:rFonts w:hint="default" w:ascii="Times New Roman" w:hAnsi="Times New Roman" w:cs="Times New Roman"/>
                      <w:color w:val="000000"/>
                      <w:sz w:val="21"/>
                      <w:szCs w:val="21"/>
                      <w:highlight w:val="none"/>
                    </w:rPr>
                  </w:pPr>
                  <w:r>
                    <w:rPr>
                      <w:rFonts w:hint="default" w:ascii="Times New Roman" w:hAnsi="Times New Roman" w:cs="Times New Roman"/>
                      <w:color w:val="000000"/>
                      <w:sz w:val="21"/>
                      <w:szCs w:val="21"/>
                      <w:highlight w:val="none"/>
                      <w:lang w:val="en-US" w:eastAsia="zh-CN"/>
                    </w:rPr>
                    <w:t>加强固废污染防治。一般工业固废应分类收集，落实回收利用途径。生活垃圾应统一收集交环卫部门及时清运，以免产生二次污染。属危险废物的，建设单位必须委托有相应资质的单位按照国家有关规定妥善处理处置并做好防渗防腐措施。公司内临时贮存设施建设需符合《危险废物贮存污染控制标准》(GB18597-2001)及其修改单有关规定。</w:t>
                  </w:r>
                </w:p>
              </w:tc>
              <w:tc>
                <w:tcPr>
                  <w:tcW w:w="4918" w:type="dxa"/>
                  <w:shd w:val="clear" w:color="auto" w:fill="auto"/>
                  <w:vAlign w:val="center"/>
                </w:tcPr>
                <w:p>
                  <w:pPr>
                    <w:numPr>
                      <w:ilvl w:val="0"/>
                      <w:numId w:val="4"/>
                    </w:numPr>
                    <w:spacing w:line="276" w:lineRule="auto"/>
                    <w:jc w:val="left"/>
                    <w:rPr>
                      <w:rFonts w:hint="default" w:ascii="Times New Roman" w:hAnsi="Times New Roman" w:cs="Times New Roman"/>
                      <w:color w:val="000000"/>
                      <w:sz w:val="21"/>
                      <w:szCs w:val="21"/>
                      <w:highlight w:val="none"/>
                    </w:rPr>
                  </w:pPr>
                  <w:r>
                    <w:rPr>
                      <w:rFonts w:hint="default" w:ascii="Times New Roman" w:hAnsi="Times New Roman" w:cs="Times New Roman"/>
                      <w:kern w:val="0"/>
                      <w:sz w:val="21"/>
                      <w:szCs w:val="21"/>
                      <w:highlight w:val="none"/>
                      <w:lang w:val="en-US" w:eastAsia="zh-CN"/>
                    </w:rPr>
                    <w:t>一般固废主要为边角料、不合格工件等；危险废物主要包括含油抹布及手套、污水处理站污泥、废包装桶、废活性炭等。项目人员无变动，无新增生活垃圾。</w:t>
                  </w:r>
                </w:p>
                <w:p>
                  <w:pPr>
                    <w:numPr>
                      <w:ilvl w:val="0"/>
                      <w:numId w:val="4"/>
                    </w:numPr>
                    <w:spacing w:line="276" w:lineRule="auto"/>
                    <w:jc w:val="left"/>
                    <w:rPr>
                      <w:rFonts w:hint="default" w:ascii="Times New Roman" w:hAnsi="Times New Roman" w:cs="Times New Roman"/>
                      <w:color w:val="000000"/>
                      <w:sz w:val="21"/>
                      <w:szCs w:val="21"/>
                      <w:highlight w:val="none"/>
                    </w:rPr>
                  </w:pPr>
                  <w:r>
                    <w:rPr>
                      <w:rFonts w:hint="default" w:ascii="Times New Roman" w:hAnsi="Times New Roman" w:cs="Times New Roman"/>
                      <w:sz w:val="21"/>
                      <w:szCs w:val="21"/>
                      <w:highlight w:val="none"/>
                      <w:lang w:val="en-US" w:eastAsia="zh-CN"/>
                    </w:rPr>
                    <w:t>项目边角料、不合格工件收集后回用于生产，含油抹布及手套委托环卫清运，污水处理站污泥、废包装桶、废活性炭委托有资质单位处理。</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825" w:hRule="atLeast"/>
              </w:trPr>
              <w:tc>
                <w:tcPr>
                  <w:tcW w:w="930" w:type="dxa"/>
                  <w:shd w:val="clear" w:color="auto" w:fill="auto"/>
                  <w:vAlign w:val="center"/>
                </w:tcPr>
                <w:p>
                  <w:pPr>
                    <w:spacing w:line="276" w:lineRule="auto"/>
                    <w:jc w:val="center"/>
                    <w:rPr>
                      <w:rFonts w:hint="default" w:ascii="Times New Roman" w:hAnsi="Times New Roman" w:cs="Times New Roman"/>
                      <w:sz w:val="21"/>
                      <w:szCs w:val="21"/>
                      <w:highlight w:val="yellow"/>
                      <w:lang w:val="en-US" w:eastAsia="zh-CN"/>
                    </w:rPr>
                  </w:pPr>
                  <w:r>
                    <w:rPr>
                      <w:rFonts w:hint="default" w:ascii="Times New Roman" w:hAnsi="Times New Roman" w:cs="Times New Roman"/>
                      <w:sz w:val="21"/>
                      <w:szCs w:val="21"/>
                      <w:highlight w:val="none"/>
                      <w:lang w:val="en-US" w:eastAsia="zh-CN"/>
                    </w:rPr>
                    <w:t>6</w:t>
                  </w:r>
                </w:p>
              </w:tc>
              <w:tc>
                <w:tcPr>
                  <w:tcW w:w="4053" w:type="dxa"/>
                  <w:shd w:val="clear" w:color="auto" w:fill="auto"/>
                  <w:vAlign w:val="center"/>
                </w:tcPr>
                <w:p>
                  <w:pPr>
                    <w:spacing w:line="276" w:lineRule="auto"/>
                    <w:ind w:firstLine="525" w:firstLineChars="250"/>
                    <w:rPr>
                      <w:rFonts w:hint="default" w:ascii="Times New Roman" w:hAnsi="Times New Roman" w:eastAsia="宋体" w:cs="Times New Roman"/>
                      <w:color w:val="000000"/>
                      <w:sz w:val="21"/>
                      <w:szCs w:val="21"/>
                      <w:highlight w:val="none"/>
                      <w:lang w:val="en-US" w:eastAsia="zh-CN"/>
                    </w:rPr>
                  </w:pPr>
                  <w:r>
                    <w:rPr>
                      <w:rFonts w:hint="default" w:ascii="Times New Roman" w:hAnsi="Times New Roman" w:cs="Times New Roman"/>
                      <w:color w:val="000000"/>
                      <w:sz w:val="21"/>
                      <w:szCs w:val="21"/>
                      <w:highlight w:val="none"/>
                      <w:lang w:val="en-US" w:eastAsia="zh-CN"/>
                    </w:rPr>
                    <w:t>项目卫生防护距高50米，建设单位应确保在卫生防护距离内的用地不得入驻以医药、食品、饮料等对环境空气质量要求较高的企业和居民、学校和医院等。</w:t>
                  </w:r>
                </w:p>
              </w:tc>
              <w:tc>
                <w:tcPr>
                  <w:tcW w:w="4918" w:type="dxa"/>
                  <w:shd w:val="clear" w:color="auto" w:fill="auto"/>
                  <w:vAlign w:val="center"/>
                </w:tcPr>
                <w:p>
                  <w:pPr>
                    <w:spacing w:line="276" w:lineRule="auto"/>
                    <w:ind w:left="220" w:leftChars="0" w:firstLine="388" w:firstLineChars="185"/>
                    <w:jc w:val="left"/>
                    <w:rPr>
                      <w:rFonts w:hint="default" w:ascii="Times New Roman" w:hAnsi="Times New Roman" w:eastAsia="宋体" w:cs="Times New Roman"/>
                      <w:kern w:val="0"/>
                      <w:sz w:val="21"/>
                      <w:szCs w:val="21"/>
                      <w:highlight w:val="none"/>
                      <w:lang w:val="en-US" w:eastAsia="zh-CN"/>
                    </w:rPr>
                  </w:pPr>
                  <w:r>
                    <w:rPr>
                      <w:rFonts w:hint="default" w:ascii="Times New Roman" w:hAnsi="Times New Roman" w:cs="Times New Roman"/>
                      <w:kern w:val="0"/>
                      <w:sz w:val="21"/>
                      <w:szCs w:val="21"/>
                      <w:highlight w:val="none"/>
                      <w:lang w:val="en-US" w:eastAsia="zh-CN"/>
                    </w:rPr>
                    <w:t>项目卫生防护距离内未规划、建设居民住宅、医院、学校等环境敏感建筑及食品加工等易受本项目特征污染物影响的企业。</w:t>
                  </w:r>
                </w:p>
              </w:tc>
            </w:tr>
          </w:tbl>
          <w:p>
            <w:pPr>
              <w:spacing w:line="360" w:lineRule="auto"/>
              <w:rPr>
                <w:rFonts w:ascii="宋体" w:hAnsi="宋体"/>
                <w:sz w:val="24"/>
                <w:highlight w:val="yellow"/>
              </w:rPr>
            </w:pPr>
          </w:p>
        </w:tc>
      </w:tr>
    </w:tbl>
    <w:p>
      <w:pPr>
        <w:rPr>
          <w:b/>
          <w:sz w:val="28"/>
          <w:szCs w:val="28"/>
        </w:rPr>
        <w:sectPr>
          <w:pgSz w:w="11906" w:h="16838"/>
          <w:pgMar w:top="1588" w:right="1418" w:bottom="1418" w:left="1418" w:header="851" w:footer="992" w:gutter="0"/>
          <w:pgBorders>
            <w:top w:val="none" w:sz="0" w:space="0"/>
            <w:left w:val="none" w:sz="0" w:space="0"/>
            <w:bottom w:val="none" w:sz="0" w:space="0"/>
            <w:right w:val="none" w:sz="0" w:space="0"/>
          </w:pgBorders>
          <w:cols w:space="425" w:num="1"/>
          <w:docGrid w:type="lines" w:linePitch="312" w:charSpace="0"/>
        </w:sectPr>
      </w:pPr>
    </w:p>
    <w:p>
      <w:pPr>
        <w:rPr>
          <w:b/>
          <w:sz w:val="28"/>
          <w:szCs w:val="28"/>
        </w:rPr>
      </w:pPr>
      <w:r>
        <w:rPr>
          <w:rFonts w:hint="eastAsia"/>
          <w:b/>
          <w:sz w:val="28"/>
          <w:szCs w:val="28"/>
        </w:rPr>
        <w:t>表九</w:t>
      </w:r>
    </w:p>
    <w:tbl>
      <w:tblPr>
        <w:tblStyle w:val="33"/>
        <w:tblW w:w="9503"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9503"/>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2720" w:hRule="atLeast"/>
          <w:jc w:val="center"/>
        </w:trPr>
        <w:tc>
          <w:tcPr>
            <w:tcW w:w="9503" w:type="dxa"/>
          </w:tcPr>
          <w:p>
            <w:pPr>
              <w:spacing w:line="360" w:lineRule="auto"/>
              <w:rPr>
                <w:rFonts w:hint="default" w:ascii="Times New Roman" w:hAnsi="Times New Roman" w:cs="Times New Roman"/>
                <w:b/>
                <w:sz w:val="24"/>
                <w:szCs w:val="24"/>
              </w:rPr>
            </w:pPr>
            <w:r>
              <w:rPr>
                <w:rFonts w:hint="default" w:ascii="Times New Roman" w:hAnsi="Times New Roman" w:cs="Times New Roman"/>
                <w:b/>
                <w:sz w:val="24"/>
                <w:szCs w:val="24"/>
              </w:rPr>
              <w:t>验收监测结论：</w:t>
            </w:r>
          </w:p>
          <w:p>
            <w:pPr>
              <w:pStyle w:val="22"/>
              <w:jc w:val="both"/>
              <w:rPr>
                <w:rFonts w:hint="default" w:ascii="Times New Roman" w:hAnsi="Times New Roman" w:cs="Times New Roman"/>
                <w:b/>
                <w:sz w:val="24"/>
                <w:szCs w:val="24"/>
                <w:lang w:eastAsia="zh-CN"/>
              </w:rPr>
            </w:pPr>
            <w:r>
              <w:rPr>
                <w:rFonts w:hint="default" w:ascii="Times New Roman" w:hAnsi="Times New Roman" w:cs="Times New Roman"/>
                <w:b/>
                <w:sz w:val="24"/>
                <w:szCs w:val="24"/>
                <w:lang w:eastAsia="zh-CN"/>
              </w:rPr>
              <w:t>1、废水</w:t>
            </w:r>
          </w:p>
          <w:p>
            <w:pPr>
              <w:pStyle w:val="22"/>
              <w:ind w:firstLine="480" w:firstLineChars="200"/>
              <w:jc w:val="both"/>
              <w:rPr>
                <w:rFonts w:hint="default" w:ascii="Times New Roman" w:hAnsi="Times New Roman" w:cs="Times New Roman"/>
                <w:color w:val="000000"/>
                <w:sz w:val="24"/>
                <w:szCs w:val="24"/>
                <w:highlight w:val="none"/>
                <w:lang w:eastAsia="zh-CN"/>
              </w:rPr>
            </w:pPr>
            <w:r>
              <w:rPr>
                <w:rFonts w:hint="default" w:ascii="Times New Roman" w:hAnsi="Times New Roman" w:cs="Times New Roman"/>
                <w:sz w:val="24"/>
                <w:szCs w:val="24"/>
                <w:highlight w:val="none"/>
                <w:lang w:eastAsia="zh-CN"/>
              </w:rPr>
              <w:t>本次监测结果显示：</w:t>
            </w:r>
            <w:r>
              <w:rPr>
                <w:rFonts w:hint="default" w:ascii="Times New Roman" w:hAnsi="Times New Roman" w:cs="Times New Roman"/>
                <w:sz w:val="24"/>
                <w:szCs w:val="24"/>
                <w:highlight w:val="none"/>
                <w:lang w:val="en-US" w:eastAsia="zh-CN"/>
              </w:rPr>
              <w:t>2020年7月25日和2020年7月26日，芜湖永达科技有限公司废水总排口的pH值及化学需氧量、生化需氧量、悬浮物、动植物油浓度均满足《污水综合排放标准》（GB8978-1996）中三级标准要求。2020年8月23日和2020年8月24日，芜湖永达科技有限公司废水总排口的pH值及化学需氧量、生化需氧量、悬浮物、动植物油、石油类浓度均满足《污水综合排放标准》（GB8978-1996）中三级标准要求。</w:t>
            </w:r>
          </w:p>
          <w:p>
            <w:pPr>
              <w:pStyle w:val="22"/>
              <w:jc w:val="both"/>
              <w:rPr>
                <w:rFonts w:hint="default" w:ascii="Times New Roman" w:hAnsi="Times New Roman" w:cs="Times New Roman"/>
                <w:b/>
                <w:sz w:val="24"/>
                <w:szCs w:val="24"/>
                <w:highlight w:val="none"/>
                <w:lang w:eastAsia="zh-CN"/>
              </w:rPr>
            </w:pPr>
            <w:r>
              <w:rPr>
                <w:rFonts w:hint="default" w:ascii="Times New Roman" w:hAnsi="Times New Roman" w:cs="Times New Roman"/>
                <w:b/>
                <w:sz w:val="24"/>
                <w:szCs w:val="24"/>
                <w:highlight w:val="none"/>
                <w:lang w:eastAsia="zh-CN"/>
              </w:rPr>
              <w:t>2、废气</w:t>
            </w:r>
          </w:p>
          <w:p>
            <w:pPr>
              <w:spacing w:line="360" w:lineRule="auto"/>
              <w:rPr>
                <w:rFonts w:hint="default" w:ascii="Times New Roman" w:hAnsi="Times New Roman" w:cs="Times New Roman"/>
                <w:sz w:val="24"/>
                <w:szCs w:val="24"/>
                <w:highlight w:val="none"/>
                <w:lang w:val="zh-CN" w:bidi="en-US"/>
              </w:rPr>
            </w:pPr>
            <w:r>
              <w:rPr>
                <w:rFonts w:hint="default" w:ascii="Times New Roman" w:hAnsi="Times New Roman" w:cs="Times New Roman"/>
                <w:sz w:val="24"/>
                <w:szCs w:val="24"/>
                <w:highlight w:val="none"/>
                <w:lang w:val="zh-CN" w:bidi="en-US"/>
              </w:rPr>
              <w:t>本次监测结果显示：</w:t>
            </w:r>
          </w:p>
          <w:p>
            <w:pPr>
              <w:spacing w:line="360" w:lineRule="auto"/>
              <w:ind w:firstLine="480" w:firstLineChars="200"/>
              <w:rPr>
                <w:rFonts w:hint="default" w:ascii="Times New Roman" w:hAnsi="Times New Roman" w:cs="Times New Roman"/>
                <w:sz w:val="24"/>
                <w:szCs w:val="24"/>
                <w:highlight w:val="none"/>
              </w:rPr>
            </w:pPr>
            <w:r>
              <w:rPr>
                <w:rFonts w:hint="default" w:ascii="Times New Roman" w:hAnsi="Times New Roman" w:cs="Times New Roman"/>
                <w:sz w:val="24"/>
                <w:szCs w:val="24"/>
                <w:highlight w:val="none"/>
              </w:rPr>
              <w:t>有组织废气：</w:t>
            </w:r>
            <w:r>
              <w:rPr>
                <w:rFonts w:hint="default" w:ascii="Times New Roman" w:hAnsi="Times New Roman" w:cs="Times New Roman"/>
                <w:sz w:val="24"/>
                <w:szCs w:val="24"/>
                <w:highlight w:val="none"/>
                <w:lang w:val="en-US" w:eastAsia="zh-CN"/>
              </w:rPr>
              <w:t>2020年7月25日和2020年7月26日，2020年8月23日和2020年8月24日</w:t>
            </w:r>
            <w:r>
              <w:rPr>
                <w:rFonts w:hint="eastAsia" w:cs="Times New Roman"/>
                <w:sz w:val="24"/>
                <w:szCs w:val="24"/>
                <w:highlight w:val="none"/>
                <w:lang w:val="en-US" w:eastAsia="zh-CN"/>
              </w:rPr>
              <w:t>，</w:t>
            </w:r>
            <w:r>
              <w:rPr>
                <w:rFonts w:hint="default" w:ascii="Times New Roman" w:hAnsi="Times New Roman" w:cs="Times New Roman"/>
                <w:sz w:val="24"/>
                <w:szCs w:val="24"/>
                <w:highlight w:val="none"/>
                <w:lang w:val="en-US" w:eastAsia="zh-CN"/>
              </w:rPr>
              <w:t>芜湖永达科技有限公司脱模废气排气筒出口中非甲烷总烃排放浓度均满足《工业企业挥发性有机物排放控制标准》（DB13/2322—2016）中的限值。</w:t>
            </w:r>
          </w:p>
          <w:p>
            <w:pPr>
              <w:spacing w:line="360" w:lineRule="auto"/>
              <w:ind w:firstLine="480" w:firstLineChars="200"/>
              <w:rPr>
                <w:rFonts w:hint="default" w:ascii="Times New Roman" w:hAnsi="Times New Roman" w:cs="Times New Roman"/>
                <w:sz w:val="24"/>
                <w:szCs w:val="24"/>
                <w:highlight w:val="none"/>
              </w:rPr>
            </w:pPr>
            <w:r>
              <w:rPr>
                <w:rFonts w:hint="default" w:ascii="Times New Roman" w:hAnsi="Times New Roman" w:cs="Times New Roman"/>
                <w:sz w:val="24"/>
                <w:szCs w:val="24"/>
                <w:highlight w:val="none"/>
              </w:rPr>
              <w:t>无组织废气：</w:t>
            </w:r>
            <w:r>
              <w:rPr>
                <w:rFonts w:hint="default" w:ascii="Times New Roman" w:hAnsi="Times New Roman" w:cs="Times New Roman"/>
                <w:sz w:val="24"/>
                <w:szCs w:val="24"/>
                <w:highlight w:val="none"/>
                <w:lang w:val="en-US" w:eastAsia="zh-CN"/>
              </w:rPr>
              <w:t>2020年7月25日和2020年7月26日，芜湖永达科技有限公司上风向1、下风向1、下风向2，下风向3无组织废气中的非甲烷总烃浓度均满足《工业企业挥发性有机物排放控制标准》（DB13/2322—2016）中的标准限值</w:t>
            </w:r>
            <w:r>
              <w:rPr>
                <w:rFonts w:hint="eastAsia" w:cs="Times New Roman"/>
                <w:sz w:val="24"/>
                <w:szCs w:val="24"/>
                <w:highlight w:val="none"/>
                <w:lang w:val="en-US" w:eastAsia="zh-CN"/>
              </w:rPr>
              <w:t>，同时满足《挥发性有机物无组织排放控制标准》（GB 37822-2019）限值。</w:t>
            </w:r>
            <w:r>
              <w:rPr>
                <w:rFonts w:hint="default" w:ascii="Times New Roman" w:hAnsi="Times New Roman" w:cs="Times New Roman"/>
                <w:sz w:val="24"/>
                <w:szCs w:val="24"/>
                <w:highlight w:val="none"/>
              </w:rPr>
              <w:t xml:space="preserve"> </w:t>
            </w:r>
          </w:p>
          <w:p>
            <w:pPr>
              <w:pStyle w:val="22"/>
              <w:jc w:val="both"/>
              <w:rPr>
                <w:rFonts w:hint="default" w:ascii="Times New Roman" w:hAnsi="Times New Roman" w:cs="Times New Roman"/>
                <w:b/>
                <w:sz w:val="24"/>
                <w:szCs w:val="24"/>
                <w:highlight w:val="none"/>
                <w:lang w:eastAsia="zh-CN"/>
              </w:rPr>
            </w:pPr>
            <w:r>
              <w:rPr>
                <w:rFonts w:hint="default" w:ascii="Times New Roman" w:hAnsi="Times New Roman" w:cs="Times New Roman"/>
                <w:b/>
                <w:sz w:val="24"/>
                <w:szCs w:val="24"/>
                <w:highlight w:val="none"/>
                <w:lang w:eastAsia="zh-CN"/>
              </w:rPr>
              <w:t xml:space="preserve">3、噪声 </w:t>
            </w:r>
          </w:p>
          <w:p>
            <w:pPr>
              <w:pStyle w:val="22"/>
              <w:ind w:firstLine="480" w:firstLineChars="200"/>
              <w:jc w:val="both"/>
              <w:rPr>
                <w:rFonts w:hint="default" w:ascii="Times New Roman" w:hAnsi="Times New Roman" w:cs="Times New Roman"/>
                <w:kern w:val="2"/>
                <w:sz w:val="24"/>
                <w:szCs w:val="24"/>
                <w:highlight w:val="none"/>
                <w:lang w:val="en-US" w:eastAsia="zh-CN" w:bidi="ar-SA"/>
              </w:rPr>
            </w:pPr>
            <w:r>
              <w:rPr>
                <w:rFonts w:hint="default" w:ascii="Times New Roman" w:hAnsi="Times New Roman" w:cs="Times New Roman"/>
                <w:sz w:val="24"/>
                <w:szCs w:val="24"/>
                <w:highlight w:val="none"/>
                <w:lang w:eastAsia="zh-CN"/>
              </w:rPr>
              <w:t>本次监测结果显示：</w:t>
            </w:r>
            <w:r>
              <w:rPr>
                <w:rFonts w:hint="default" w:ascii="Times New Roman" w:hAnsi="Times New Roman" w:cs="Times New Roman"/>
                <w:sz w:val="24"/>
                <w:szCs w:val="24"/>
                <w:highlight w:val="none"/>
                <w:lang w:val="en-US" w:eastAsia="zh-CN"/>
              </w:rPr>
              <w:t>2020年7月25日和2020年7月26日，芜湖永达科技有限公司厂界东、厂界南、厂界西、厂界北昼间和夜间噪声均满足《工业企业厂界环境噪声排放标准》（GB12348-2008）中3类标准。</w:t>
            </w:r>
          </w:p>
          <w:p>
            <w:pPr>
              <w:pStyle w:val="22"/>
              <w:jc w:val="both"/>
              <w:rPr>
                <w:rFonts w:hint="default" w:ascii="Times New Roman" w:hAnsi="Times New Roman" w:cs="Times New Roman"/>
                <w:b/>
                <w:sz w:val="24"/>
                <w:szCs w:val="24"/>
                <w:lang w:eastAsia="zh-CN"/>
              </w:rPr>
            </w:pPr>
            <w:r>
              <w:rPr>
                <w:rFonts w:hint="default" w:ascii="Times New Roman" w:hAnsi="Times New Roman" w:cs="Times New Roman"/>
                <w:b/>
                <w:sz w:val="24"/>
                <w:szCs w:val="24"/>
                <w:lang w:eastAsia="zh-CN"/>
              </w:rPr>
              <w:t>4、固体废物</w:t>
            </w:r>
          </w:p>
          <w:p>
            <w:pPr>
              <w:spacing w:line="360" w:lineRule="auto"/>
              <w:ind w:firstLine="480" w:firstLineChars="200"/>
              <w:rPr>
                <w:rFonts w:hint="default" w:ascii="Times New Roman" w:hAnsi="Times New Roman" w:cs="Times New Roman"/>
                <w:sz w:val="24"/>
                <w:szCs w:val="24"/>
              </w:rPr>
            </w:pPr>
            <w:r>
              <w:rPr>
                <w:rFonts w:hint="default" w:ascii="Times New Roman" w:hAnsi="Times New Roman" w:cs="Times New Roman"/>
                <w:kern w:val="0"/>
                <w:sz w:val="24"/>
                <w:szCs w:val="24"/>
                <w:lang w:val="en-US" w:eastAsia="zh-CN"/>
              </w:rPr>
              <w:t>项目边角料、不合格工件收集后回用于生产，含油抹布及手套委托环卫清运，污水处理站污泥、废包装桶、废活性炭委托有资质单位处理</w:t>
            </w:r>
            <w:r>
              <w:rPr>
                <w:rFonts w:hint="default" w:ascii="Times New Roman" w:hAnsi="Times New Roman" w:cs="Times New Roman"/>
                <w:kern w:val="0"/>
                <w:sz w:val="24"/>
                <w:szCs w:val="24"/>
              </w:rPr>
              <w:t>。</w:t>
            </w:r>
          </w:p>
          <w:p>
            <w:pPr>
              <w:pStyle w:val="22"/>
              <w:jc w:val="both"/>
              <w:rPr>
                <w:rFonts w:hint="default" w:ascii="Times New Roman" w:hAnsi="Times New Roman" w:cs="Times New Roman"/>
                <w:b/>
                <w:sz w:val="24"/>
                <w:szCs w:val="24"/>
                <w:lang w:eastAsia="zh-CN"/>
              </w:rPr>
            </w:pPr>
            <w:r>
              <w:rPr>
                <w:rFonts w:hint="default" w:ascii="Times New Roman" w:hAnsi="Times New Roman" w:cs="Times New Roman"/>
                <w:b/>
                <w:sz w:val="24"/>
                <w:szCs w:val="24"/>
                <w:lang w:eastAsia="zh-CN"/>
              </w:rPr>
              <w:t>5、竣工验收监测总结论</w:t>
            </w:r>
          </w:p>
          <w:p>
            <w:pPr>
              <w:tabs>
                <w:tab w:val="left" w:pos="757"/>
              </w:tabs>
              <w:spacing w:line="360" w:lineRule="auto"/>
              <w:ind w:firstLine="480" w:firstLineChars="200"/>
              <w:rPr>
                <w:rFonts w:hint="default" w:ascii="Times New Roman" w:hAnsi="Times New Roman" w:cs="Times New Roman"/>
                <w:sz w:val="24"/>
                <w:szCs w:val="24"/>
              </w:rPr>
            </w:pPr>
            <w:r>
              <w:rPr>
                <w:rFonts w:hint="default" w:ascii="Times New Roman" w:hAnsi="Times New Roman" w:cs="Times New Roman"/>
                <w:sz w:val="24"/>
                <w:szCs w:val="24"/>
              </w:rPr>
              <w:t>根据本次建设项目环保设施竣工环境保护验收监测结果可知：</w:t>
            </w:r>
          </w:p>
          <w:p>
            <w:pPr>
              <w:tabs>
                <w:tab w:val="left" w:pos="757"/>
              </w:tabs>
              <w:spacing w:line="360" w:lineRule="auto"/>
              <w:ind w:firstLine="480" w:firstLineChars="200"/>
              <w:rPr>
                <w:rFonts w:hint="default" w:ascii="Times New Roman" w:hAnsi="Times New Roman" w:cs="Times New Roman"/>
                <w:sz w:val="24"/>
                <w:szCs w:val="24"/>
              </w:rPr>
            </w:pPr>
            <w:r>
              <w:rPr>
                <w:rFonts w:hint="default" w:ascii="Times New Roman" w:hAnsi="Times New Roman" w:cs="Times New Roman"/>
                <w:sz w:val="24"/>
                <w:szCs w:val="24"/>
              </w:rPr>
              <w:t>本项目落实了环境保护“三同时”制度和环境影响评价报告表及批复的意见。有较齐全的环保管理制度，在正常营业的情况下，废水、废气、噪声污染物排放符合有关标准。该项目基本符合建设项目环境保护设施竣工验收要求。</w:t>
            </w:r>
          </w:p>
          <w:p>
            <w:pPr>
              <w:pStyle w:val="22"/>
              <w:jc w:val="both"/>
              <w:rPr>
                <w:rFonts w:hint="default" w:ascii="Times New Roman" w:hAnsi="Times New Roman" w:cs="Times New Roman"/>
                <w:b/>
                <w:sz w:val="24"/>
                <w:szCs w:val="24"/>
                <w:lang w:eastAsia="zh-CN"/>
              </w:rPr>
            </w:pPr>
            <w:r>
              <w:rPr>
                <w:rFonts w:hint="default" w:ascii="Times New Roman" w:hAnsi="Times New Roman" w:cs="Times New Roman"/>
                <w:b/>
                <w:sz w:val="24"/>
                <w:szCs w:val="24"/>
                <w:lang w:eastAsia="zh-CN"/>
              </w:rPr>
              <w:t xml:space="preserve">6、建议 </w:t>
            </w:r>
          </w:p>
          <w:p>
            <w:pPr>
              <w:spacing w:line="360" w:lineRule="auto"/>
              <w:ind w:firstLine="480" w:firstLineChars="200"/>
              <w:rPr>
                <w:rFonts w:hint="default" w:ascii="Times New Roman" w:hAnsi="Times New Roman" w:cs="Times New Roman"/>
                <w:sz w:val="24"/>
                <w:szCs w:val="24"/>
              </w:rPr>
            </w:pPr>
            <w:r>
              <w:rPr>
                <w:rFonts w:hint="default" w:ascii="Times New Roman" w:hAnsi="Times New Roman" w:cs="Times New Roman"/>
                <w:sz w:val="24"/>
                <w:szCs w:val="24"/>
              </w:rPr>
              <w:t>根据此次</w:t>
            </w:r>
            <w:r>
              <w:rPr>
                <w:rFonts w:hint="default" w:ascii="Times New Roman" w:hAnsi="Times New Roman" w:cs="Times New Roman"/>
                <w:sz w:val="24"/>
                <w:szCs w:val="24"/>
                <w:lang w:eastAsia="zh-CN"/>
              </w:rPr>
              <w:t>芜湖永达科技有限公司</w:t>
            </w:r>
            <w:r>
              <w:rPr>
                <w:rFonts w:hint="default" w:ascii="Times New Roman" w:hAnsi="Times New Roman" w:cs="Times New Roman"/>
                <w:sz w:val="24"/>
                <w:szCs w:val="24"/>
              </w:rPr>
              <w:t>委托监测结果，建议</w:t>
            </w:r>
            <w:r>
              <w:rPr>
                <w:rFonts w:hint="default" w:ascii="Times New Roman" w:hAnsi="Times New Roman" w:cs="Times New Roman"/>
                <w:sz w:val="24"/>
                <w:szCs w:val="24"/>
                <w:lang w:eastAsia="zh-CN"/>
              </w:rPr>
              <w:t>芜湖永达科技有限公司</w:t>
            </w:r>
            <w:r>
              <w:rPr>
                <w:rFonts w:hint="default" w:ascii="Times New Roman" w:hAnsi="Times New Roman" w:cs="Times New Roman"/>
                <w:sz w:val="24"/>
                <w:szCs w:val="24"/>
              </w:rPr>
              <w:t>加强废水收集处理工作，确保废水稳定达标排放；加强对各类设备和环保设施的日常维护，发现故障及时排除，并加强对车间的消声、隔音、降噪等措施，生产期间关闭门窗，对周边环境影响尽量降到最小不断完善各项环保管理制度，减少各类污染物的排放。</w:t>
            </w:r>
          </w:p>
        </w:tc>
      </w:tr>
    </w:tbl>
    <w:p>
      <w:pPr>
        <w:rPr>
          <w:b/>
          <w:sz w:val="28"/>
          <w:szCs w:val="28"/>
        </w:rPr>
        <w:sectPr>
          <w:pgSz w:w="11906" w:h="16838"/>
          <w:pgMar w:top="1588" w:right="1418" w:bottom="1418" w:left="1418" w:header="851" w:footer="992" w:gutter="0"/>
          <w:pgBorders>
            <w:top w:val="none" w:sz="0" w:space="0"/>
            <w:left w:val="none" w:sz="0" w:space="0"/>
            <w:bottom w:val="none" w:sz="0" w:space="0"/>
            <w:right w:val="none" w:sz="0" w:space="0"/>
          </w:pgBorders>
          <w:cols w:space="425" w:num="1"/>
          <w:docGrid w:type="lines" w:linePitch="312" w:charSpace="0"/>
        </w:sectPr>
      </w:pPr>
    </w:p>
    <w:p>
      <w:pPr>
        <w:spacing w:line="276" w:lineRule="auto"/>
        <w:ind w:left="972" w:hanging="976" w:hangingChars="405"/>
        <w:jc w:val="left"/>
        <w:rPr>
          <w:b/>
          <w:sz w:val="24"/>
        </w:rPr>
      </w:pPr>
      <w:r>
        <w:rPr>
          <w:rFonts w:hint="eastAsia"/>
          <w:b/>
          <w:sz w:val="24"/>
        </w:rPr>
        <w:t>本报告表有以下附图、附件：</w:t>
      </w:r>
    </w:p>
    <w:p>
      <w:pPr>
        <w:snapToGrid w:val="0"/>
        <w:spacing w:before="240" w:line="276" w:lineRule="auto"/>
        <w:jc w:val="left"/>
        <w:rPr>
          <w:rFonts w:hint="eastAsia" w:ascii="宋体" w:hAnsi="宋体"/>
          <w:sz w:val="24"/>
          <w:highlight w:val="none"/>
        </w:rPr>
      </w:pPr>
      <w:r>
        <w:rPr>
          <w:rFonts w:hint="eastAsia" w:ascii="宋体" w:hAnsi="宋体"/>
          <w:sz w:val="24"/>
          <w:highlight w:val="none"/>
        </w:rPr>
        <w:t>附图 1  建设项目厂区地理位置示意图</w:t>
      </w:r>
    </w:p>
    <w:p>
      <w:pPr>
        <w:spacing w:line="276" w:lineRule="auto"/>
        <w:jc w:val="left"/>
        <w:rPr>
          <w:rFonts w:hint="default" w:ascii="宋体" w:hAnsi="宋体" w:eastAsia="宋体"/>
          <w:sz w:val="24"/>
          <w:highlight w:val="none"/>
          <w:lang w:val="en-US" w:eastAsia="zh-CN"/>
        </w:rPr>
      </w:pPr>
      <w:r>
        <w:rPr>
          <w:rFonts w:hint="eastAsia" w:ascii="宋体" w:hAnsi="宋体" w:cs="宋体"/>
          <w:sz w:val="24"/>
          <w:highlight w:val="none"/>
        </w:rPr>
        <w:t xml:space="preserve">附图 2  </w:t>
      </w:r>
      <w:r>
        <w:rPr>
          <w:rFonts w:hint="eastAsia" w:ascii="宋体" w:hAnsi="宋体"/>
          <w:sz w:val="24"/>
          <w:highlight w:val="none"/>
        </w:rPr>
        <w:t>建设项目周边环境概况及卫生防护距离图</w:t>
      </w:r>
    </w:p>
    <w:p>
      <w:pPr>
        <w:spacing w:line="276" w:lineRule="auto"/>
        <w:jc w:val="left"/>
        <w:rPr>
          <w:rFonts w:hint="eastAsia" w:ascii="宋体" w:hAnsi="宋体"/>
          <w:sz w:val="24"/>
          <w:highlight w:val="none"/>
        </w:rPr>
      </w:pPr>
      <w:r>
        <w:rPr>
          <w:rFonts w:hint="eastAsia" w:ascii="宋体" w:hAnsi="宋体" w:cs="宋体"/>
          <w:sz w:val="24"/>
          <w:highlight w:val="none"/>
        </w:rPr>
        <w:t xml:space="preserve">附图 </w:t>
      </w:r>
      <w:r>
        <w:rPr>
          <w:rFonts w:hint="eastAsia" w:ascii="宋体" w:hAnsi="宋体" w:cs="宋体"/>
          <w:sz w:val="24"/>
          <w:highlight w:val="none"/>
          <w:lang w:val="en-US" w:eastAsia="zh-CN"/>
        </w:rPr>
        <w:t>3</w:t>
      </w:r>
      <w:r>
        <w:rPr>
          <w:rFonts w:hint="eastAsia" w:ascii="宋体" w:hAnsi="宋体" w:cs="宋体"/>
          <w:sz w:val="24"/>
          <w:highlight w:val="none"/>
        </w:rPr>
        <w:t xml:space="preserve">  </w:t>
      </w:r>
      <w:r>
        <w:rPr>
          <w:rFonts w:hint="eastAsia" w:ascii="宋体" w:hAnsi="宋体"/>
          <w:sz w:val="24"/>
          <w:highlight w:val="none"/>
        </w:rPr>
        <w:t>建设项目平面布置示意图</w:t>
      </w:r>
    </w:p>
    <w:p>
      <w:pPr>
        <w:spacing w:line="276" w:lineRule="auto"/>
        <w:jc w:val="left"/>
        <w:rPr>
          <w:rFonts w:hint="eastAsia" w:ascii="宋体" w:hAnsi="宋体"/>
          <w:sz w:val="24"/>
          <w:highlight w:val="none"/>
        </w:rPr>
      </w:pPr>
      <w:r>
        <w:rPr>
          <w:rFonts w:hint="eastAsia" w:ascii="宋体" w:hAnsi="宋体"/>
          <w:sz w:val="24"/>
          <w:highlight w:val="none"/>
        </w:rPr>
        <w:t xml:space="preserve">附图 </w:t>
      </w:r>
      <w:r>
        <w:rPr>
          <w:rFonts w:hint="eastAsia" w:ascii="宋体" w:hAnsi="宋体"/>
          <w:sz w:val="24"/>
          <w:highlight w:val="none"/>
          <w:lang w:val="en-US" w:eastAsia="zh-CN"/>
        </w:rPr>
        <w:t>4</w:t>
      </w:r>
      <w:r>
        <w:rPr>
          <w:rFonts w:hint="eastAsia" w:ascii="宋体" w:hAnsi="宋体"/>
          <w:sz w:val="24"/>
          <w:highlight w:val="none"/>
        </w:rPr>
        <w:t xml:space="preserve">  现场监测采样图</w:t>
      </w:r>
    </w:p>
    <w:p>
      <w:pPr>
        <w:spacing w:line="276" w:lineRule="auto"/>
        <w:jc w:val="left"/>
        <w:rPr>
          <w:rFonts w:hint="default" w:ascii="宋体" w:hAnsi="宋体" w:eastAsia="宋体"/>
          <w:sz w:val="24"/>
          <w:highlight w:val="none"/>
          <w:lang w:val="en-US" w:eastAsia="zh-CN"/>
        </w:rPr>
      </w:pPr>
      <w:r>
        <w:rPr>
          <w:rFonts w:hint="eastAsia" w:ascii="宋体" w:hAnsi="宋体"/>
          <w:sz w:val="24"/>
          <w:highlight w:val="none"/>
        </w:rPr>
        <w:t xml:space="preserve">附图 </w:t>
      </w:r>
      <w:r>
        <w:rPr>
          <w:rFonts w:hint="eastAsia" w:ascii="宋体" w:hAnsi="宋体"/>
          <w:sz w:val="24"/>
          <w:highlight w:val="none"/>
          <w:lang w:val="en-US" w:eastAsia="zh-CN"/>
        </w:rPr>
        <w:t>5</w:t>
      </w:r>
      <w:r>
        <w:rPr>
          <w:rFonts w:hint="eastAsia" w:ascii="宋体" w:hAnsi="宋体"/>
          <w:sz w:val="24"/>
          <w:highlight w:val="none"/>
        </w:rPr>
        <w:t xml:space="preserve">  建设项目</w:t>
      </w:r>
      <w:r>
        <w:rPr>
          <w:rFonts w:hint="eastAsia" w:ascii="宋体" w:hAnsi="宋体"/>
          <w:sz w:val="24"/>
          <w:highlight w:val="none"/>
          <w:lang w:val="en-US" w:eastAsia="zh-CN"/>
        </w:rPr>
        <w:t>雨污水管网图</w:t>
      </w:r>
    </w:p>
    <w:p>
      <w:pPr>
        <w:spacing w:line="276" w:lineRule="auto"/>
        <w:jc w:val="left"/>
        <w:rPr>
          <w:rFonts w:hint="eastAsia" w:ascii="宋体" w:hAnsi="宋体"/>
          <w:sz w:val="24"/>
          <w:highlight w:val="none"/>
        </w:rPr>
      </w:pPr>
      <w:r>
        <w:rPr>
          <w:rFonts w:hint="eastAsia" w:ascii="宋体" w:hAnsi="宋体"/>
          <w:sz w:val="24"/>
          <w:highlight w:val="none"/>
        </w:rPr>
        <w:t xml:space="preserve">附图 </w:t>
      </w:r>
      <w:r>
        <w:rPr>
          <w:rFonts w:hint="eastAsia" w:ascii="宋体" w:hAnsi="宋体"/>
          <w:sz w:val="24"/>
          <w:highlight w:val="none"/>
          <w:lang w:val="en-US" w:eastAsia="zh-CN"/>
        </w:rPr>
        <w:t>6</w:t>
      </w:r>
      <w:r>
        <w:rPr>
          <w:rFonts w:hint="eastAsia" w:ascii="宋体" w:hAnsi="宋体"/>
          <w:sz w:val="24"/>
          <w:highlight w:val="none"/>
        </w:rPr>
        <w:t xml:space="preserve">  </w:t>
      </w:r>
      <w:r>
        <w:rPr>
          <w:rFonts w:hint="eastAsia" w:ascii="宋体" w:hAnsi="宋体"/>
          <w:sz w:val="24"/>
          <w:highlight w:val="none"/>
          <w:lang w:val="en-US" w:eastAsia="zh-CN"/>
        </w:rPr>
        <w:t>项目</w:t>
      </w:r>
      <w:r>
        <w:rPr>
          <w:rFonts w:hint="eastAsia" w:ascii="宋体" w:hAnsi="宋体"/>
          <w:sz w:val="24"/>
          <w:highlight w:val="none"/>
        </w:rPr>
        <w:t>废气收集管线图</w:t>
      </w:r>
    </w:p>
    <w:p>
      <w:pPr>
        <w:spacing w:line="276" w:lineRule="auto"/>
        <w:jc w:val="left"/>
        <w:rPr>
          <w:rFonts w:hint="default"/>
          <w:highlight w:val="none"/>
          <w:lang w:val="en-US" w:eastAsia="zh-CN"/>
        </w:rPr>
      </w:pPr>
      <w:r>
        <w:rPr>
          <w:rFonts w:hint="eastAsia" w:ascii="宋体" w:hAnsi="宋体"/>
          <w:sz w:val="24"/>
          <w:highlight w:val="none"/>
        </w:rPr>
        <w:t xml:space="preserve">附图 </w:t>
      </w:r>
      <w:r>
        <w:rPr>
          <w:rFonts w:hint="eastAsia" w:ascii="宋体" w:hAnsi="宋体"/>
          <w:sz w:val="24"/>
          <w:highlight w:val="none"/>
          <w:lang w:val="en-US" w:eastAsia="zh-CN"/>
        </w:rPr>
        <w:t>7</w:t>
      </w:r>
      <w:r>
        <w:rPr>
          <w:rFonts w:hint="eastAsia" w:ascii="宋体" w:hAnsi="宋体"/>
          <w:sz w:val="24"/>
          <w:highlight w:val="none"/>
        </w:rPr>
        <w:t xml:space="preserve">  </w:t>
      </w:r>
      <w:r>
        <w:rPr>
          <w:rFonts w:hint="eastAsia" w:ascii="宋体" w:hAnsi="宋体"/>
          <w:sz w:val="24"/>
          <w:highlight w:val="none"/>
          <w:lang w:val="en-US" w:eastAsia="zh-CN"/>
        </w:rPr>
        <w:t xml:space="preserve">项目分区防渗图 </w:t>
      </w:r>
    </w:p>
    <w:p>
      <w:pPr>
        <w:spacing w:line="276" w:lineRule="auto"/>
        <w:jc w:val="left"/>
        <w:rPr>
          <w:rFonts w:ascii="宋体" w:hAnsi="宋体" w:cs="宋体"/>
          <w:b/>
          <w:sz w:val="24"/>
          <w:highlight w:val="none"/>
        </w:rPr>
      </w:pPr>
      <w:r>
        <w:rPr>
          <w:rFonts w:hint="eastAsia" w:ascii="宋体" w:hAnsi="宋体" w:cs="宋体"/>
          <w:sz w:val="24"/>
          <w:highlight w:val="none"/>
        </w:rPr>
        <w:t xml:space="preserve">附件 1  </w:t>
      </w:r>
      <w:r>
        <w:rPr>
          <w:rFonts w:hint="eastAsia" w:ascii="宋体" w:hAnsi="宋体"/>
          <w:sz w:val="24"/>
          <w:highlight w:val="none"/>
          <w:lang w:eastAsia="zh-CN"/>
        </w:rPr>
        <w:t>芜湖永达科技有限公司</w:t>
      </w:r>
      <w:r>
        <w:rPr>
          <w:rFonts w:hint="eastAsia" w:ascii="宋体" w:hAnsi="宋体"/>
          <w:sz w:val="24"/>
          <w:highlight w:val="none"/>
        </w:rPr>
        <w:t>的营业执照</w:t>
      </w:r>
    </w:p>
    <w:p>
      <w:pPr>
        <w:spacing w:line="276" w:lineRule="auto"/>
        <w:ind w:left="972" w:hanging="972" w:hangingChars="405"/>
        <w:jc w:val="left"/>
        <w:rPr>
          <w:rFonts w:hint="default" w:ascii="宋体" w:hAnsi="宋体" w:eastAsia="宋体"/>
          <w:sz w:val="24"/>
          <w:highlight w:val="none"/>
          <w:lang w:val="en-US" w:eastAsia="zh-CN"/>
        </w:rPr>
      </w:pPr>
      <w:r>
        <w:rPr>
          <w:rFonts w:hint="eastAsia" w:ascii="宋体" w:hAnsi="宋体" w:cs="宋体"/>
          <w:sz w:val="24"/>
          <w:highlight w:val="none"/>
        </w:rPr>
        <w:t>附件 2</w:t>
      </w:r>
      <w:r>
        <w:rPr>
          <w:rFonts w:ascii="宋体" w:hAnsi="宋体" w:cs="宋体"/>
          <w:sz w:val="24"/>
          <w:highlight w:val="none"/>
        </w:rPr>
        <w:t xml:space="preserve"> </w:t>
      </w:r>
      <w:r>
        <w:rPr>
          <w:rFonts w:hint="eastAsia" w:ascii="宋体" w:hAnsi="宋体" w:cs="宋体"/>
          <w:sz w:val="24"/>
          <w:highlight w:val="none"/>
          <w:lang w:val="en-US" w:eastAsia="zh-CN"/>
        </w:rPr>
        <w:t xml:space="preserve"> </w:t>
      </w:r>
      <w:r>
        <w:rPr>
          <w:rFonts w:hint="eastAsia" w:ascii="宋体" w:hAnsi="宋体" w:cs="宋体"/>
          <w:sz w:val="24"/>
          <w:highlight w:val="none"/>
          <w:lang w:eastAsia="zh-CN"/>
        </w:rPr>
        <w:t>芜湖永达科技有限公司</w:t>
      </w:r>
      <w:r>
        <w:rPr>
          <w:rFonts w:hint="eastAsia" w:ascii="宋体" w:hAnsi="宋体"/>
          <w:sz w:val="24"/>
          <w:highlight w:val="none"/>
          <w:lang w:val="en-US" w:eastAsia="zh-CN"/>
        </w:rPr>
        <w:t>土地证</w:t>
      </w:r>
    </w:p>
    <w:p>
      <w:pPr>
        <w:spacing w:line="276" w:lineRule="auto"/>
        <w:ind w:left="972" w:hanging="972" w:hangingChars="405"/>
        <w:jc w:val="left"/>
        <w:rPr>
          <w:rFonts w:ascii="宋体" w:hAnsi="宋体"/>
          <w:sz w:val="24"/>
          <w:highlight w:val="none"/>
        </w:rPr>
      </w:pPr>
      <w:r>
        <w:rPr>
          <w:rFonts w:hint="eastAsia" w:ascii="宋体" w:hAnsi="宋体"/>
          <w:sz w:val="24"/>
          <w:highlight w:val="none"/>
        </w:rPr>
        <w:t xml:space="preserve">附件 </w:t>
      </w:r>
      <w:r>
        <w:rPr>
          <w:rFonts w:ascii="宋体" w:hAnsi="宋体"/>
          <w:sz w:val="24"/>
          <w:highlight w:val="none"/>
        </w:rPr>
        <w:t>3</w:t>
      </w:r>
      <w:r>
        <w:rPr>
          <w:rFonts w:hint="eastAsia" w:ascii="宋体" w:hAnsi="宋体"/>
          <w:sz w:val="24"/>
          <w:highlight w:val="none"/>
        </w:rPr>
        <w:t xml:space="preserve">  </w:t>
      </w:r>
      <w:r>
        <w:rPr>
          <w:rFonts w:hint="eastAsia" w:ascii="宋体" w:hAnsi="宋体"/>
          <w:sz w:val="24"/>
          <w:highlight w:val="none"/>
          <w:lang w:eastAsia="zh-CN"/>
        </w:rPr>
        <w:t>芜湖市生态环境局</w:t>
      </w:r>
      <w:r>
        <w:rPr>
          <w:rFonts w:hint="eastAsia" w:ascii="宋体" w:hAnsi="宋体"/>
          <w:sz w:val="24"/>
          <w:highlight w:val="none"/>
        </w:rPr>
        <w:t>审批的环评批复</w:t>
      </w:r>
    </w:p>
    <w:p>
      <w:pPr>
        <w:spacing w:line="276" w:lineRule="auto"/>
        <w:ind w:left="972" w:hanging="972" w:hangingChars="405"/>
        <w:jc w:val="left"/>
        <w:rPr>
          <w:rFonts w:ascii="宋体" w:hAnsi="宋体"/>
          <w:sz w:val="24"/>
          <w:highlight w:val="none"/>
        </w:rPr>
      </w:pPr>
      <w:r>
        <w:rPr>
          <w:rFonts w:hint="eastAsia" w:ascii="宋体" w:hAnsi="宋体"/>
          <w:sz w:val="24"/>
          <w:highlight w:val="none"/>
        </w:rPr>
        <w:t xml:space="preserve">附件 </w:t>
      </w:r>
      <w:r>
        <w:rPr>
          <w:rFonts w:ascii="宋体" w:hAnsi="宋体"/>
          <w:sz w:val="24"/>
          <w:highlight w:val="none"/>
        </w:rPr>
        <w:t>4</w:t>
      </w:r>
      <w:r>
        <w:rPr>
          <w:rFonts w:hint="eastAsia" w:ascii="宋体" w:hAnsi="宋体"/>
          <w:sz w:val="24"/>
          <w:highlight w:val="none"/>
        </w:rPr>
        <w:t xml:space="preserve"> </w:t>
      </w:r>
      <w:r>
        <w:rPr>
          <w:rFonts w:ascii="宋体" w:hAnsi="宋体"/>
          <w:sz w:val="24"/>
          <w:highlight w:val="none"/>
        </w:rPr>
        <w:t xml:space="preserve"> </w:t>
      </w:r>
      <w:r>
        <w:rPr>
          <w:rFonts w:hint="eastAsia" w:ascii="宋体" w:hAnsi="宋体"/>
          <w:sz w:val="24"/>
          <w:highlight w:val="none"/>
          <w:lang w:eastAsia="zh-CN"/>
        </w:rPr>
        <w:t>芜湖永达科技有限公司</w:t>
      </w:r>
      <w:r>
        <w:rPr>
          <w:rFonts w:hint="eastAsia" w:ascii="宋体" w:hAnsi="宋体"/>
          <w:sz w:val="24"/>
          <w:highlight w:val="none"/>
        </w:rPr>
        <w:t>项目备案</w:t>
      </w:r>
    </w:p>
    <w:p>
      <w:pPr>
        <w:spacing w:line="276" w:lineRule="auto"/>
        <w:ind w:left="972" w:hanging="972" w:hangingChars="405"/>
        <w:jc w:val="left"/>
        <w:rPr>
          <w:rFonts w:hint="default" w:ascii="宋体" w:hAnsi="宋体" w:eastAsia="宋体"/>
          <w:sz w:val="24"/>
          <w:highlight w:val="none"/>
          <w:lang w:val="en-US" w:eastAsia="zh-CN"/>
        </w:rPr>
      </w:pPr>
      <w:r>
        <w:rPr>
          <w:rFonts w:hint="eastAsia" w:ascii="宋体" w:hAnsi="宋体"/>
          <w:sz w:val="24"/>
          <w:highlight w:val="none"/>
        </w:rPr>
        <w:t xml:space="preserve">附件 </w:t>
      </w:r>
      <w:r>
        <w:rPr>
          <w:rFonts w:hint="eastAsia" w:ascii="宋体" w:hAnsi="宋体"/>
          <w:sz w:val="24"/>
          <w:highlight w:val="none"/>
          <w:lang w:val="en-US" w:eastAsia="zh-CN"/>
        </w:rPr>
        <w:t>5</w:t>
      </w:r>
      <w:r>
        <w:rPr>
          <w:rFonts w:ascii="宋体" w:hAnsi="宋体"/>
          <w:sz w:val="24"/>
          <w:highlight w:val="none"/>
        </w:rPr>
        <w:t xml:space="preserve">  </w:t>
      </w:r>
      <w:r>
        <w:rPr>
          <w:rFonts w:hint="eastAsia" w:ascii="宋体" w:hAnsi="宋体"/>
          <w:sz w:val="24"/>
          <w:highlight w:val="none"/>
          <w:lang w:eastAsia="zh-CN"/>
        </w:rPr>
        <w:t>芜湖永达科技有限公司</w:t>
      </w:r>
      <w:r>
        <w:rPr>
          <w:rFonts w:hint="eastAsia" w:ascii="宋体" w:hAnsi="宋体"/>
          <w:sz w:val="24"/>
          <w:highlight w:val="none"/>
          <w:lang w:val="en-US" w:eastAsia="zh-CN"/>
        </w:rPr>
        <w:t>原有项目验收及批复情况</w:t>
      </w:r>
    </w:p>
    <w:p>
      <w:pPr>
        <w:spacing w:line="276" w:lineRule="auto"/>
        <w:ind w:left="972" w:hanging="972" w:hangingChars="405"/>
        <w:jc w:val="left"/>
        <w:rPr>
          <w:rFonts w:hint="eastAsia" w:ascii="宋体" w:hAnsi="宋体"/>
          <w:sz w:val="24"/>
          <w:highlight w:val="none"/>
        </w:rPr>
      </w:pPr>
      <w:r>
        <w:rPr>
          <w:rFonts w:hint="eastAsia" w:ascii="宋体" w:hAnsi="宋体"/>
          <w:sz w:val="24"/>
          <w:highlight w:val="none"/>
        </w:rPr>
        <w:t xml:space="preserve">附件 </w:t>
      </w:r>
      <w:r>
        <w:rPr>
          <w:rFonts w:hint="eastAsia" w:ascii="宋体" w:hAnsi="宋体"/>
          <w:sz w:val="24"/>
          <w:highlight w:val="none"/>
          <w:lang w:val="en-US" w:eastAsia="zh-CN"/>
        </w:rPr>
        <w:t>6</w:t>
      </w:r>
      <w:r>
        <w:rPr>
          <w:rFonts w:hint="eastAsia" w:ascii="宋体" w:hAnsi="宋体"/>
          <w:sz w:val="24"/>
          <w:highlight w:val="none"/>
        </w:rPr>
        <w:t xml:space="preserve"> </w:t>
      </w:r>
      <w:r>
        <w:rPr>
          <w:rFonts w:ascii="宋体" w:hAnsi="宋体"/>
          <w:sz w:val="24"/>
          <w:highlight w:val="none"/>
        </w:rPr>
        <w:t xml:space="preserve"> </w:t>
      </w:r>
      <w:r>
        <w:rPr>
          <w:rFonts w:hint="eastAsia" w:ascii="宋体" w:hAnsi="宋体"/>
          <w:sz w:val="24"/>
          <w:highlight w:val="none"/>
          <w:lang w:val="en-US" w:eastAsia="zh-CN"/>
        </w:rPr>
        <w:t>芜湖永达科技有限公司危废协议</w:t>
      </w:r>
    </w:p>
    <w:p>
      <w:pPr>
        <w:spacing w:line="276" w:lineRule="auto"/>
        <w:ind w:left="972" w:hanging="972" w:hangingChars="405"/>
        <w:jc w:val="left"/>
        <w:rPr>
          <w:rFonts w:hint="eastAsia" w:ascii="宋体" w:hAnsi="宋体"/>
          <w:sz w:val="24"/>
          <w:highlight w:val="none"/>
          <w:lang w:val="en-US" w:eastAsia="zh-CN"/>
        </w:rPr>
      </w:pPr>
      <w:r>
        <w:rPr>
          <w:rFonts w:hint="eastAsia" w:ascii="宋体" w:hAnsi="宋体"/>
          <w:sz w:val="24"/>
          <w:highlight w:val="none"/>
          <w:lang w:val="en-US" w:eastAsia="zh-CN"/>
        </w:rPr>
        <w:t xml:space="preserve">附件 7  </w:t>
      </w:r>
      <w:r>
        <w:rPr>
          <w:rFonts w:hint="eastAsia" w:ascii="宋体" w:hAnsi="宋体"/>
          <w:sz w:val="24"/>
          <w:highlight w:val="none"/>
          <w:lang w:eastAsia="zh-CN"/>
        </w:rPr>
        <w:t>芜湖永达科技有限公司</w:t>
      </w:r>
      <w:r>
        <w:rPr>
          <w:rFonts w:hint="eastAsia" w:ascii="宋体" w:hAnsi="宋体"/>
          <w:sz w:val="24"/>
          <w:highlight w:val="none"/>
          <w:lang w:val="en-US" w:eastAsia="zh-CN"/>
        </w:rPr>
        <w:t>纳管证明</w:t>
      </w:r>
    </w:p>
    <w:p>
      <w:pPr>
        <w:spacing w:line="276" w:lineRule="auto"/>
        <w:ind w:left="972" w:hanging="972" w:hangingChars="405"/>
        <w:jc w:val="left"/>
        <w:rPr>
          <w:rFonts w:hint="default"/>
          <w:lang w:val="en-US" w:eastAsia="zh-CN"/>
        </w:rPr>
      </w:pPr>
      <w:r>
        <w:rPr>
          <w:rFonts w:hint="eastAsia" w:ascii="宋体" w:hAnsi="宋体"/>
          <w:sz w:val="24"/>
          <w:highlight w:val="none"/>
          <w:lang w:val="en-US" w:eastAsia="zh-CN"/>
        </w:rPr>
        <w:t xml:space="preserve">附件 8  </w:t>
      </w:r>
      <w:r>
        <w:rPr>
          <w:rFonts w:hint="eastAsia" w:ascii="宋体" w:hAnsi="宋体"/>
          <w:sz w:val="24"/>
          <w:highlight w:val="none"/>
          <w:lang w:eastAsia="zh-CN"/>
        </w:rPr>
        <w:t>芜湖永达科技有限公司</w:t>
      </w:r>
      <w:r>
        <w:rPr>
          <w:rFonts w:hint="eastAsia" w:ascii="宋体" w:hAnsi="宋体"/>
          <w:sz w:val="24"/>
          <w:highlight w:val="none"/>
          <w:lang w:val="en-US" w:eastAsia="zh-CN"/>
        </w:rPr>
        <w:t>应急预案</w:t>
      </w:r>
    </w:p>
    <w:p>
      <w:pPr>
        <w:spacing w:line="276" w:lineRule="auto"/>
        <w:ind w:left="972" w:hanging="972" w:hangingChars="405"/>
        <w:jc w:val="left"/>
        <w:rPr>
          <w:rFonts w:hint="default" w:ascii="宋体" w:hAnsi="宋体"/>
          <w:sz w:val="24"/>
          <w:highlight w:val="none"/>
          <w:lang w:val="en-US" w:eastAsia="zh-CN"/>
        </w:rPr>
      </w:pPr>
      <w:r>
        <w:rPr>
          <w:rFonts w:hint="eastAsia" w:ascii="宋体" w:hAnsi="宋体"/>
          <w:sz w:val="24"/>
          <w:highlight w:val="none"/>
          <w:lang w:val="en-US" w:eastAsia="zh-CN"/>
        </w:rPr>
        <w:t>附件 9  压铸缸体技术改造升级项目竣工验收环境保护检测报告</w:t>
      </w:r>
    </w:p>
    <w:p>
      <w:pPr>
        <w:spacing w:line="276" w:lineRule="auto"/>
        <w:ind w:left="960" w:hanging="960" w:hangingChars="400"/>
        <w:jc w:val="left"/>
        <w:rPr>
          <w:rFonts w:ascii="宋体" w:hAnsi="宋体"/>
          <w:sz w:val="24"/>
          <w:highlight w:val="none"/>
        </w:rPr>
      </w:pPr>
      <w:r>
        <w:rPr>
          <w:rFonts w:hint="eastAsia" w:ascii="宋体" w:hAnsi="宋体"/>
          <w:sz w:val="24"/>
          <w:highlight w:val="none"/>
        </w:rPr>
        <w:t xml:space="preserve">附件 </w:t>
      </w:r>
      <w:r>
        <w:rPr>
          <w:rFonts w:hint="eastAsia" w:ascii="宋体" w:hAnsi="宋体"/>
          <w:sz w:val="24"/>
          <w:highlight w:val="none"/>
          <w:lang w:val="en-US" w:eastAsia="zh-CN"/>
        </w:rPr>
        <w:t>10</w:t>
      </w:r>
      <w:r>
        <w:rPr>
          <w:rFonts w:hint="eastAsia" w:ascii="宋体" w:hAnsi="宋体"/>
          <w:sz w:val="24"/>
          <w:highlight w:val="none"/>
        </w:rPr>
        <w:t xml:space="preserve">  </w:t>
      </w:r>
      <w:r>
        <w:rPr>
          <w:rFonts w:hint="eastAsia" w:ascii="宋体" w:hAnsi="宋体"/>
          <w:sz w:val="24"/>
          <w:highlight w:val="none"/>
          <w:lang w:eastAsia="zh-CN"/>
        </w:rPr>
        <w:t>压铸缸体技术改造升级项目</w:t>
      </w:r>
      <w:r>
        <w:rPr>
          <w:rFonts w:hint="eastAsia" w:ascii="宋体" w:hAnsi="宋体"/>
          <w:sz w:val="24"/>
          <w:highlight w:val="none"/>
        </w:rPr>
        <w:t>竣工验收环境保护验收意见</w:t>
      </w:r>
    </w:p>
    <w:p>
      <w:pPr>
        <w:spacing w:line="276" w:lineRule="auto"/>
        <w:ind w:left="972" w:hanging="972" w:hangingChars="405"/>
        <w:jc w:val="left"/>
        <w:rPr>
          <w:rFonts w:hint="default" w:ascii="宋体" w:hAnsi="宋体" w:eastAsia="宋体"/>
          <w:sz w:val="24"/>
          <w:highlight w:val="none"/>
          <w:lang w:val="en-US" w:eastAsia="zh-CN"/>
        </w:rPr>
      </w:pPr>
      <w:r>
        <w:rPr>
          <w:rFonts w:hint="eastAsia" w:ascii="宋体" w:hAnsi="宋体"/>
          <w:sz w:val="24"/>
          <w:highlight w:val="none"/>
          <w:lang w:val="en-US" w:eastAsia="zh-CN"/>
        </w:rPr>
        <w:t>附件11  压铸缸体技术改造升级项目验收公示情况</w:t>
      </w:r>
    </w:p>
    <w:p>
      <w:pPr>
        <w:rPr>
          <w:b/>
          <w:sz w:val="28"/>
          <w:szCs w:val="28"/>
        </w:rPr>
      </w:pPr>
    </w:p>
    <w:p>
      <w:pPr>
        <w:rPr>
          <w:b/>
          <w:sz w:val="28"/>
          <w:szCs w:val="28"/>
        </w:rPr>
      </w:pPr>
    </w:p>
    <w:p>
      <w:pPr>
        <w:widowControl/>
        <w:jc w:val="left"/>
        <w:rPr>
          <w:b/>
          <w:sz w:val="28"/>
          <w:szCs w:val="28"/>
        </w:rPr>
      </w:pPr>
    </w:p>
    <w:p>
      <w:pPr>
        <w:rPr>
          <w:b/>
          <w:sz w:val="28"/>
          <w:szCs w:val="28"/>
        </w:rPr>
        <w:sectPr>
          <w:footerReference r:id="rId7" w:type="default"/>
          <w:pgSz w:w="11906" w:h="16838"/>
          <w:pgMar w:top="1588" w:right="1418" w:bottom="1418" w:left="1418" w:header="851" w:footer="992" w:gutter="0"/>
          <w:pgBorders>
            <w:top w:val="none" w:sz="0" w:space="0"/>
            <w:left w:val="none" w:sz="0" w:space="0"/>
            <w:bottom w:val="none" w:sz="0" w:space="0"/>
            <w:right w:val="none" w:sz="0" w:space="0"/>
          </w:pgBorders>
          <w:cols w:space="425" w:num="1"/>
          <w:docGrid w:type="lines" w:linePitch="312" w:charSpace="0"/>
        </w:sectPr>
      </w:pPr>
    </w:p>
    <w:p>
      <w:pPr>
        <w:spacing w:line="280" w:lineRule="exact"/>
        <w:jc w:val="center"/>
        <w:rPr>
          <w:b/>
          <w:color w:val="000000"/>
          <w:sz w:val="24"/>
          <w:highlight w:val="none"/>
        </w:rPr>
      </w:pPr>
      <w:r>
        <w:rPr>
          <w:rFonts w:hint="eastAsia"/>
          <w:b/>
          <w:color w:val="000000"/>
          <w:sz w:val="24"/>
          <w:highlight w:val="none"/>
        </w:rPr>
        <w:t>建设项目工程竣工环境保护“三同时”验收登记表</w:t>
      </w:r>
    </w:p>
    <w:p>
      <w:pPr>
        <w:spacing w:line="280" w:lineRule="exact"/>
        <w:ind w:firstLine="360" w:firstLineChars="200"/>
        <w:jc w:val="center"/>
        <w:rPr>
          <w:rFonts w:ascii="宋体" w:hAnsi="宋体"/>
          <w:color w:val="000000"/>
          <w:sz w:val="18"/>
          <w:szCs w:val="18"/>
          <w:highlight w:val="none"/>
        </w:rPr>
      </w:pPr>
      <w:r>
        <w:rPr>
          <w:rFonts w:hint="eastAsia" w:ascii="宋体" w:hAnsi="宋体"/>
          <w:color w:val="000000"/>
          <w:sz w:val="18"/>
          <w:szCs w:val="18"/>
          <w:highlight w:val="none"/>
        </w:rPr>
        <w:t>填表单位（盖章）：                                       填表人（签字）：                                                         项目经办人（签字）：</w:t>
      </w:r>
    </w:p>
    <w:tbl>
      <w:tblPr>
        <w:tblStyle w:val="32"/>
        <w:tblW w:w="5462"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418"/>
        <w:gridCol w:w="162"/>
        <w:gridCol w:w="1731"/>
        <w:gridCol w:w="796"/>
        <w:gridCol w:w="1329"/>
        <w:gridCol w:w="1053"/>
        <w:gridCol w:w="959"/>
        <w:gridCol w:w="464"/>
        <w:gridCol w:w="606"/>
        <w:gridCol w:w="1093"/>
        <w:gridCol w:w="1151"/>
        <w:gridCol w:w="1532"/>
        <w:gridCol w:w="647"/>
        <w:gridCol w:w="340"/>
        <w:gridCol w:w="667"/>
        <w:gridCol w:w="540"/>
        <w:gridCol w:w="139"/>
        <w:gridCol w:w="923"/>
        <w:gridCol w:w="769"/>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613" w:hRule="atLeast"/>
          <w:jc w:val="center"/>
        </w:trPr>
        <w:tc>
          <w:tcPr>
            <w:tcW w:w="417" w:type="dxa"/>
            <w:vMerge w:val="restart"/>
            <w:tcMar>
              <w:left w:w="0" w:type="dxa"/>
              <w:right w:w="0" w:type="dxa"/>
            </w:tcMar>
            <w:textDirection w:val="tbRlV"/>
            <w:vAlign w:val="center"/>
          </w:tcPr>
          <w:p>
            <w:pPr>
              <w:spacing w:line="200" w:lineRule="exact"/>
              <w:jc w:val="center"/>
              <w:rPr>
                <w:rFonts w:ascii="宋体" w:hAnsi="宋体"/>
                <w:b/>
                <w:sz w:val="18"/>
                <w:szCs w:val="18"/>
                <w:highlight w:val="yellow"/>
              </w:rPr>
            </w:pPr>
            <w:bookmarkStart w:id="10" w:name="_Hlk6228189"/>
            <w:r>
              <w:rPr>
                <w:rFonts w:ascii="宋体" w:hAnsi="宋体"/>
                <w:b/>
                <w:sz w:val="18"/>
                <w:szCs w:val="18"/>
                <w:highlight w:val="none"/>
              </w:rPr>
              <w:t>建设项目</w:t>
            </w:r>
          </w:p>
        </w:tc>
        <w:tc>
          <w:tcPr>
            <w:tcW w:w="1891" w:type="dxa"/>
            <w:gridSpan w:val="2"/>
            <w:tcMar>
              <w:left w:w="0" w:type="dxa"/>
              <w:right w:w="0" w:type="dxa"/>
            </w:tcMar>
            <w:vAlign w:val="center"/>
          </w:tcPr>
          <w:p>
            <w:pPr>
              <w:spacing w:line="200" w:lineRule="exact"/>
              <w:jc w:val="center"/>
              <w:rPr>
                <w:rFonts w:ascii="宋体" w:hAnsi="宋体"/>
                <w:b/>
                <w:sz w:val="18"/>
                <w:szCs w:val="18"/>
                <w:highlight w:val="none"/>
              </w:rPr>
            </w:pPr>
            <w:r>
              <w:rPr>
                <w:rFonts w:ascii="宋体" w:hAnsi="宋体"/>
                <w:b/>
                <w:sz w:val="18"/>
                <w:szCs w:val="18"/>
                <w:highlight w:val="none"/>
              </w:rPr>
              <w:t>项目名称</w:t>
            </w:r>
          </w:p>
        </w:tc>
        <w:tc>
          <w:tcPr>
            <w:tcW w:w="5200" w:type="dxa"/>
            <w:gridSpan w:val="6"/>
            <w:tcMar>
              <w:left w:w="0" w:type="dxa"/>
              <w:right w:w="0" w:type="dxa"/>
            </w:tcMar>
            <w:vAlign w:val="center"/>
          </w:tcPr>
          <w:p>
            <w:pPr>
              <w:spacing w:line="200" w:lineRule="exact"/>
              <w:jc w:val="center"/>
              <w:rPr>
                <w:rFonts w:hint="eastAsia" w:ascii="宋体" w:hAnsi="宋体" w:eastAsia="宋体"/>
                <w:sz w:val="18"/>
                <w:szCs w:val="18"/>
                <w:highlight w:val="none"/>
                <w:lang w:eastAsia="zh-CN"/>
              </w:rPr>
            </w:pPr>
            <w:r>
              <w:rPr>
                <w:rFonts w:hint="eastAsia" w:ascii="宋体" w:hAnsi="宋体"/>
                <w:sz w:val="18"/>
                <w:szCs w:val="18"/>
                <w:highlight w:val="none"/>
                <w:lang w:eastAsia="zh-CN"/>
              </w:rPr>
              <w:t>压铸缸体技术改造升级项目</w:t>
            </w:r>
          </w:p>
        </w:tc>
        <w:tc>
          <w:tcPr>
            <w:tcW w:w="2241" w:type="dxa"/>
            <w:gridSpan w:val="2"/>
            <w:tcMar>
              <w:left w:w="0" w:type="dxa"/>
              <w:right w:w="0" w:type="dxa"/>
            </w:tcMar>
            <w:vAlign w:val="center"/>
          </w:tcPr>
          <w:p>
            <w:pPr>
              <w:spacing w:line="200" w:lineRule="exact"/>
              <w:jc w:val="center"/>
              <w:rPr>
                <w:rFonts w:ascii="宋体" w:hAnsi="宋体"/>
                <w:b/>
                <w:sz w:val="18"/>
                <w:szCs w:val="18"/>
                <w:highlight w:val="none"/>
              </w:rPr>
            </w:pPr>
            <w:r>
              <w:rPr>
                <w:rFonts w:hint="eastAsia" w:ascii="宋体" w:hAnsi="宋体"/>
                <w:b/>
                <w:sz w:val="18"/>
                <w:szCs w:val="18"/>
                <w:highlight w:val="none"/>
              </w:rPr>
              <w:t>项</w:t>
            </w:r>
            <w:r>
              <w:rPr>
                <w:rFonts w:ascii="宋体" w:hAnsi="宋体"/>
                <w:b/>
                <w:sz w:val="18"/>
                <w:szCs w:val="18"/>
                <w:highlight w:val="none"/>
              </w:rPr>
              <w:t>目代码</w:t>
            </w:r>
          </w:p>
        </w:tc>
        <w:tc>
          <w:tcPr>
            <w:tcW w:w="1530" w:type="dxa"/>
            <w:tcMar>
              <w:left w:w="0" w:type="dxa"/>
              <w:right w:w="0" w:type="dxa"/>
            </w:tcMar>
            <w:vAlign w:val="center"/>
          </w:tcPr>
          <w:p>
            <w:pPr>
              <w:spacing w:line="200" w:lineRule="exact"/>
              <w:jc w:val="center"/>
              <w:rPr>
                <w:rFonts w:ascii="宋体" w:hAnsi="宋体"/>
                <w:sz w:val="18"/>
                <w:szCs w:val="18"/>
                <w:highlight w:val="none"/>
              </w:rPr>
            </w:pPr>
            <w:r>
              <w:rPr>
                <w:rFonts w:ascii="宋体" w:hAnsi="宋体"/>
                <w:sz w:val="18"/>
                <w:szCs w:val="18"/>
                <w:highlight w:val="none"/>
              </w:rPr>
              <w:t>/</w:t>
            </w:r>
          </w:p>
        </w:tc>
        <w:tc>
          <w:tcPr>
            <w:tcW w:w="1651" w:type="dxa"/>
            <w:gridSpan w:val="3"/>
            <w:tcMar>
              <w:left w:w="0" w:type="dxa"/>
              <w:right w:w="0" w:type="dxa"/>
            </w:tcMar>
            <w:vAlign w:val="center"/>
          </w:tcPr>
          <w:p>
            <w:pPr>
              <w:spacing w:line="200" w:lineRule="exact"/>
              <w:jc w:val="center"/>
              <w:rPr>
                <w:rFonts w:ascii="宋体" w:hAnsi="宋体"/>
                <w:sz w:val="18"/>
                <w:szCs w:val="18"/>
                <w:highlight w:val="none"/>
              </w:rPr>
            </w:pPr>
            <w:r>
              <w:rPr>
                <w:rFonts w:ascii="宋体" w:hAnsi="宋体"/>
                <w:b/>
                <w:sz w:val="18"/>
                <w:szCs w:val="18"/>
                <w:highlight w:val="none"/>
              </w:rPr>
              <w:t>建设地点</w:t>
            </w:r>
          </w:p>
        </w:tc>
        <w:tc>
          <w:tcPr>
            <w:tcW w:w="2367" w:type="dxa"/>
            <w:gridSpan w:val="4"/>
            <w:tcMar>
              <w:left w:w="0" w:type="dxa"/>
              <w:right w:w="0" w:type="dxa"/>
            </w:tcMar>
            <w:vAlign w:val="center"/>
          </w:tcPr>
          <w:p>
            <w:pPr>
              <w:spacing w:line="200" w:lineRule="exact"/>
              <w:jc w:val="center"/>
              <w:rPr>
                <w:rFonts w:hint="eastAsia" w:ascii="宋体" w:hAnsi="宋体" w:eastAsia="宋体"/>
                <w:sz w:val="18"/>
                <w:szCs w:val="18"/>
                <w:highlight w:val="none"/>
                <w:lang w:eastAsia="zh-CN"/>
              </w:rPr>
            </w:pPr>
            <w:r>
              <w:rPr>
                <w:rFonts w:hint="eastAsia" w:ascii="宋体" w:hAnsi="宋体"/>
                <w:sz w:val="18"/>
                <w:szCs w:val="18"/>
                <w:highlight w:val="none"/>
                <w:lang w:eastAsia="zh-CN"/>
              </w:rPr>
              <w:t>安徽省芜湖市经济技术开发区长江北路250号芜湖永达科技有限公司内</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87" w:hRule="atLeast"/>
          <w:jc w:val="center"/>
        </w:trPr>
        <w:tc>
          <w:tcPr>
            <w:tcW w:w="417" w:type="dxa"/>
            <w:vMerge w:val="continue"/>
            <w:tcMar>
              <w:left w:w="0" w:type="dxa"/>
              <w:right w:w="0" w:type="dxa"/>
            </w:tcMar>
            <w:vAlign w:val="center"/>
          </w:tcPr>
          <w:p>
            <w:pPr>
              <w:spacing w:line="200" w:lineRule="exact"/>
              <w:jc w:val="center"/>
              <w:rPr>
                <w:rFonts w:ascii="宋体" w:hAnsi="宋体"/>
                <w:sz w:val="18"/>
                <w:szCs w:val="18"/>
                <w:highlight w:val="yellow"/>
              </w:rPr>
            </w:pPr>
          </w:p>
        </w:tc>
        <w:tc>
          <w:tcPr>
            <w:tcW w:w="1891" w:type="dxa"/>
            <w:gridSpan w:val="2"/>
            <w:tcMar>
              <w:left w:w="0" w:type="dxa"/>
              <w:right w:w="0" w:type="dxa"/>
            </w:tcMar>
            <w:vAlign w:val="center"/>
          </w:tcPr>
          <w:p>
            <w:pPr>
              <w:spacing w:line="200" w:lineRule="exact"/>
              <w:jc w:val="center"/>
              <w:rPr>
                <w:rFonts w:ascii="宋体" w:hAnsi="宋体"/>
                <w:sz w:val="18"/>
                <w:szCs w:val="18"/>
                <w:highlight w:val="none"/>
              </w:rPr>
            </w:pPr>
            <w:r>
              <w:rPr>
                <w:rFonts w:ascii="宋体" w:hAnsi="宋体"/>
                <w:b/>
                <w:sz w:val="18"/>
                <w:szCs w:val="18"/>
                <w:highlight w:val="none"/>
              </w:rPr>
              <w:t>行业类别（分类管理</w:t>
            </w:r>
            <w:r>
              <w:rPr>
                <w:rFonts w:hint="eastAsia" w:ascii="宋体" w:hAnsi="宋体"/>
                <w:b/>
                <w:sz w:val="18"/>
                <w:szCs w:val="18"/>
                <w:highlight w:val="none"/>
              </w:rPr>
              <w:t>名录</w:t>
            </w:r>
            <w:r>
              <w:rPr>
                <w:rFonts w:ascii="宋体" w:hAnsi="宋体"/>
                <w:b/>
                <w:sz w:val="18"/>
                <w:szCs w:val="18"/>
                <w:highlight w:val="none"/>
              </w:rPr>
              <w:t>）</w:t>
            </w:r>
          </w:p>
        </w:tc>
        <w:tc>
          <w:tcPr>
            <w:tcW w:w="5200" w:type="dxa"/>
            <w:gridSpan w:val="6"/>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C</w:t>
            </w:r>
            <w:r>
              <w:rPr>
                <w:rFonts w:hint="eastAsia" w:ascii="宋体" w:hAnsi="宋体"/>
                <w:sz w:val="18"/>
                <w:szCs w:val="18"/>
                <w:highlight w:val="none"/>
                <w:lang w:val="en-US" w:eastAsia="zh-CN"/>
              </w:rPr>
              <w:t>3670</w:t>
            </w:r>
            <w:r>
              <w:rPr>
                <w:rFonts w:hint="eastAsia" w:ascii="宋体" w:hAnsi="宋体"/>
                <w:sz w:val="18"/>
                <w:szCs w:val="18"/>
                <w:highlight w:val="none"/>
              </w:rPr>
              <w:t>】</w:t>
            </w:r>
            <w:r>
              <w:rPr>
                <w:rFonts w:hint="eastAsia" w:ascii="宋体" w:hAnsi="宋体"/>
                <w:sz w:val="18"/>
                <w:szCs w:val="18"/>
                <w:highlight w:val="none"/>
                <w:lang w:val="en-US" w:eastAsia="zh-CN"/>
              </w:rPr>
              <w:t>汽车零部件及配件制造</w:t>
            </w:r>
          </w:p>
        </w:tc>
        <w:tc>
          <w:tcPr>
            <w:tcW w:w="2241" w:type="dxa"/>
            <w:gridSpan w:val="2"/>
            <w:tcMar>
              <w:left w:w="0" w:type="dxa"/>
              <w:right w:w="0" w:type="dxa"/>
            </w:tcMar>
            <w:vAlign w:val="center"/>
          </w:tcPr>
          <w:p>
            <w:pPr>
              <w:spacing w:line="200" w:lineRule="exact"/>
              <w:jc w:val="center"/>
              <w:rPr>
                <w:rFonts w:ascii="宋体" w:hAnsi="宋体"/>
                <w:b/>
                <w:sz w:val="18"/>
                <w:szCs w:val="18"/>
                <w:highlight w:val="none"/>
              </w:rPr>
            </w:pPr>
            <w:r>
              <w:rPr>
                <w:rFonts w:ascii="宋体" w:hAnsi="宋体"/>
                <w:b/>
                <w:sz w:val="18"/>
                <w:szCs w:val="18"/>
                <w:highlight w:val="none"/>
              </w:rPr>
              <w:t>建设性质</w:t>
            </w:r>
          </w:p>
        </w:tc>
        <w:tc>
          <w:tcPr>
            <w:tcW w:w="2176" w:type="dxa"/>
            <w:gridSpan w:val="2"/>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lang w:eastAsia="zh-CN"/>
              </w:rPr>
              <w:t>□</w:t>
            </w:r>
            <w:r>
              <w:rPr>
                <w:rFonts w:ascii="宋体" w:hAnsi="宋体"/>
                <w:sz w:val="18"/>
                <w:szCs w:val="18"/>
                <w:highlight w:val="none"/>
              </w:rPr>
              <w:t xml:space="preserve">新建  </w:t>
            </w:r>
            <w:r>
              <w:rPr>
                <w:rFonts w:hint="eastAsia" w:ascii="Segoe UI Emoji" w:hAnsi="Segoe UI Emoji" w:cs="Segoe UI Emoji"/>
                <w:sz w:val="18"/>
                <w:szCs w:val="18"/>
                <w:highlight w:val="none"/>
                <w:lang w:eastAsia="zh-CN"/>
              </w:rPr>
              <w:t>□</w:t>
            </w:r>
            <w:r>
              <w:rPr>
                <w:rFonts w:ascii="Segoe UI Emoji" w:hAnsi="Segoe UI Emoji" w:cs="Segoe UI Emoji"/>
                <w:sz w:val="18"/>
                <w:szCs w:val="18"/>
                <w:highlight w:val="none"/>
              </w:rPr>
              <w:t xml:space="preserve"> </w:t>
            </w:r>
            <w:r>
              <w:rPr>
                <w:rFonts w:ascii="宋体" w:hAnsi="宋体"/>
                <w:sz w:val="18"/>
                <w:szCs w:val="18"/>
                <w:highlight w:val="none"/>
              </w:rPr>
              <w:t>改扩建</w:t>
            </w:r>
            <w:r>
              <w:rPr>
                <w:rFonts w:hint="eastAsia" w:ascii="宋体" w:hAnsi="宋体"/>
                <w:sz w:val="18"/>
                <w:szCs w:val="18"/>
                <w:highlight w:val="none"/>
                <w:lang w:eastAsia="zh-CN"/>
              </w:rPr>
              <w:t>☑</w:t>
            </w:r>
            <w:r>
              <w:rPr>
                <w:rFonts w:ascii="宋体" w:hAnsi="宋体"/>
                <w:sz w:val="18"/>
                <w:szCs w:val="18"/>
                <w:highlight w:val="none"/>
              </w:rPr>
              <w:t>技术改造</w:t>
            </w:r>
          </w:p>
        </w:tc>
        <w:tc>
          <w:tcPr>
            <w:tcW w:w="1683" w:type="dxa"/>
            <w:gridSpan w:val="4"/>
            <w:tcMar>
              <w:left w:w="0" w:type="dxa"/>
              <w:right w:w="0" w:type="dxa"/>
            </w:tcMar>
            <w:vAlign w:val="center"/>
          </w:tcPr>
          <w:p>
            <w:pPr>
              <w:spacing w:line="200" w:lineRule="exact"/>
              <w:jc w:val="center"/>
              <w:rPr>
                <w:rFonts w:ascii="宋体" w:hAnsi="宋体"/>
                <w:b/>
                <w:sz w:val="18"/>
                <w:szCs w:val="18"/>
                <w:highlight w:val="yellow"/>
              </w:rPr>
            </w:pPr>
            <w:r>
              <w:rPr>
                <w:rFonts w:hint="eastAsia" w:ascii="宋体" w:hAnsi="宋体"/>
                <w:b/>
                <w:sz w:val="18"/>
                <w:szCs w:val="18"/>
                <w:highlight w:val="none"/>
              </w:rPr>
              <w:t>项目厂区中心经度/纬度</w:t>
            </w:r>
          </w:p>
        </w:tc>
        <w:tc>
          <w:tcPr>
            <w:tcW w:w="1689" w:type="dxa"/>
            <w:gridSpan w:val="2"/>
            <w:tcMar>
              <w:left w:w="0" w:type="dxa"/>
              <w:right w:w="0" w:type="dxa"/>
            </w:tcMar>
            <w:vAlign w:val="center"/>
          </w:tcPr>
          <w:p>
            <w:pPr>
              <w:spacing w:line="200" w:lineRule="exact"/>
              <w:jc w:val="center"/>
              <w:rPr>
                <w:rFonts w:hint="default"/>
                <w:lang w:val="en-US" w:eastAsia="zh-CN"/>
              </w:rPr>
            </w:pPr>
            <w:r>
              <w:rPr>
                <w:rFonts w:hint="eastAsia" w:ascii="宋体" w:hAnsi="宋体"/>
                <w:sz w:val="18"/>
                <w:szCs w:val="18"/>
                <w:highlight w:val="none"/>
                <w:lang w:val="en-US" w:eastAsia="zh-CN"/>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57" w:hRule="atLeast"/>
          <w:jc w:val="center"/>
        </w:trPr>
        <w:tc>
          <w:tcPr>
            <w:tcW w:w="417" w:type="dxa"/>
            <w:vMerge w:val="continue"/>
            <w:tcMar>
              <w:left w:w="0" w:type="dxa"/>
              <w:right w:w="0" w:type="dxa"/>
            </w:tcMar>
            <w:vAlign w:val="center"/>
          </w:tcPr>
          <w:p>
            <w:pPr>
              <w:spacing w:line="200" w:lineRule="exact"/>
              <w:jc w:val="center"/>
              <w:rPr>
                <w:rFonts w:ascii="宋体" w:hAnsi="宋体"/>
                <w:sz w:val="18"/>
                <w:szCs w:val="18"/>
                <w:highlight w:val="yellow"/>
              </w:rPr>
            </w:pPr>
          </w:p>
        </w:tc>
        <w:tc>
          <w:tcPr>
            <w:tcW w:w="1891" w:type="dxa"/>
            <w:gridSpan w:val="2"/>
            <w:tcMar>
              <w:left w:w="0" w:type="dxa"/>
              <w:right w:w="0" w:type="dxa"/>
            </w:tcMar>
            <w:vAlign w:val="center"/>
          </w:tcPr>
          <w:p>
            <w:pPr>
              <w:spacing w:line="200" w:lineRule="exact"/>
              <w:jc w:val="center"/>
              <w:rPr>
                <w:rFonts w:ascii="宋体" w:hAnsi="宋体"/>
                <w:sz w:val="18"/>
                <w:szCs w:val="18"/>
                <w:highlight w:val="none"/>
              </w:rPr>
            </w:pPr>
            <w:r>
              <w:rPr>
                <w:rFonts w:ascii="宋体" w:hAnsi="宋体"/>
                <w:b/>
                <w:sz w:val="18"/>
                <w:szCs w:val="18"/>
                <w:highlight w:val="none"/>
              </w:rPr>
              <w:t>设计生产能力</w:t>
            </w:r>
          </w:p>
        </w:tc>
        <w:tc>
          <w:tcPr>
            <w:tcW w:w="5200" w:type="dxa"/>
            <w:gridSpan w:val="6"/>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lang w:val="en-US" w:eastAsia="zh-CN"/>
              </w:rPr>
              <w:t>28万件/a</w:t>
            </w:r>
          </w:p>
        </w:tc>
        <w:tc>
          <w:tcPr>
            <w:tcW w:w="2241" w:type="dxa"/>
            <w:gridSpan w:val="2"/>
            <w:tcMar>
              <w:left w:w="0" w:type="dxa"/>
              <w:right w:w="0" w:type="dxa"/>
            </w:tcMar>
            <w:vAlign w:val="center"/>
          </w:tcPr>
          <w:p>
            <w:pPr>
              <w:spacing w:line="200" w:lineRule="exact"/>
              <w:jc w:val="center"/>
              <w:rPr>
                <w:rFonts w:ascii="宋体" w:hAnsi="宋体"/>
                <w:sz w:val="18"/>
                <w:szCs w:val="18"/>
                <w:highlight w:val="yellow"/>
              </w:rPr>
            </w:pPr>
            <w:r>
              <w:rPr>
                <w:rFonts w:ascii="宋体" w:hAnsi="宋体"/>
                <w:b/>
                <w:sz w:val="18"/>
                <w:szCs w:val="18"/>
                <w:highlight w:val="none"/>
              </w:rPr>
              <w:t>实际生产能力</w:t>
            </w:r>
          </w:p>
        </w:tc>
        <w:tc>
          <w:tcPr>
            <w:tcW w:w="1530" w:type="dxa"/>
            <w:tcMar>
              <w:left w:w="0" w:type="dxa"/>
              <w:right w:w="0" w:type="dxa"/>
            </w:tcMar>
            <w:vAlign w:val="center"/>
          </w:tcPr>
          <w:p>
            <w:pPr>
              <w:spacing w:line="200" w:lineRule="exact"/>
              <w:jc w:val="center"/>
              <w:rPr>
                <w:rFonts w:hint="default" w:ascii="宋体" w:hAnsi="宋体" w:eastAsia="宋体"/>
                <w:b/>
                <w:sz w:val="18"/>
                <w:szCs w:val="18"/>
                <w:highlight w:val="none"/>
                <w:lang w:val="en-US" w:eastAsia="zh-CN"/>
              </w:rPr>
            </w:pPr>
            <w:r>
              <w:rPr>
                <w:rFonts w:hint="eastAsia" w:ascii="宋体" w:hAnsi="宋体"/>
                <w:b w:val="0"/>
                <w:bCs/>
                <w:sz w:val="18"/>
                <w:szCs w:val="18"/>
                <w:highlight w:val="none"/>
                <w:lang w:val="en-US" w:eastAsia="zh-CN"/>
              </w:rPr>
              <w:t>14万件/a</w:t>
            </w:r>
          </w:p>
        </w:tc>
        <w:tc>
          <w:tcPr>
            <w:tcW w:w="1651" w:type="dxa"/>
            <w:gridSpan w:val="3"/>
            <w:tcMar>
              <w:left w:w="0" w:type="dxa"/>
              <w:right w:w="0" w:type="dxa"/>
            </w:tcMar>
            <w:vAlign w:val="center"/>
          </w:tcPr>
          <w:p>
            <w:pPr>
              <w:spacing w:line="200" w:lineRule="exact"/>
              <w:jc w:val="center"/>
              <w:rPr>
                <w:rFonts w:ascii="宋体" w:hAnsi="宋体"/>
                <w:sz w:val="18"/>
                <w:szCs w:val="18"/>
                <w:highlight w:val="none"/>
              </w:rPr>
            </w:pPr>
            <w:r>
              <w:rPr>
                <w:rFonts w:ascii="宋体" w:hAnsi="宋体"/>
                <w:b/>
                <w:sz w:val="18"/>
                <w:szCs w:val="18"/>
                <w:highlight w:val="none"/>
              </w:rPr>
              <w:t>环评单位</w:t>
            </w:r>
          </w:p>
        </w:tc>
        <w:tc>
          <w:tcPr>
            <w:tcW w:w="2367" w:type="dxa"/>
            <w:gridSpan w:val="4"/>
            <w:tcMar>
              <w:left w:w="0" w:type="dxa"/>
              <w:right w:w="0" w:type="dxa"/>
            </w:tcMar>
            <w:vAlign w:val="center"/>
          </w:tcPr>
          <w:p>
            <w:pPr>
              <w:spacing w:line="200" w:lineRule="exact"/>
              <w:jc w:val="center"/>
              <w:rPr>
                <w:rFonts w:hint="eastAsia" w:ascii="宋体" w:hAnsi="宋体" w:eastAsia="宋体"/>
                <w:sz w:val="18"/>
                <w:szCs w:val="18"/>
                <w:highlight w:val="none"/>
                <w:lang w:eastAsia="zh-CN"/>
              </w:rPr>
            </w:pPr>
            <w:r>
              <w:rPr>
                <w:rFonts w:hint="eastAsia" w:ascii="宋体" w:hAnsi="宋体"/>
                <w:sz w:val="18"/>
                <w:szCs w:val="18"/>
                <w:highlight w:val="none"/>
                <w:lang w:eastAsia="zh-CN"/>
              </w:rPr>
              <w:t>苏州科太环境技术有限公司</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05" w:hRule="atLeast"/>
          <w:jc w:val="center"/>
        </w:trPr>
        <w:tc>
          <w:tcPr>
            <w:tcW w:w="417" w:type="dxa"/>
            <w:vMerge w:val="continue"/>
            <w:tcMar>
              <w:left w:w="0" w:type="dxa"/>
              <w:right w:w="0" w:type="dxa"/>
            </w:tcMar>
            <w:vAlign w:val="center"/>
          </w:tcPr>
          <w:p>
            <w:pPr>
              <w:spacing w:line="200" w:lineRule="exact"/>
              <w:jc w:val="center"/>
              <w:rPr>
                <w:rFonts w:ascii="宋体" w:hAnsi="宋体"/>
                <w:sz w:val="18"/>
                <w:szCs w:val="18"/>
                <w:highlight w:val="yellow"/>
              </w:rPr>
            </w:pPr>
          </w:p>
        </w:tc>
        <w:tc>
          <w:tcPr>
            <w:tcW w:w="1891" w:type="dxa"/>
            <w:gridSpan w:val="2"/>
            <w:tcMar>
              <w:left w:w="0" w:type="dxa"/>
              <w:right w:w="0" w:type="dxa"/>
            </w:tcMar>
            <w:vAlign w:val="center"/>
          </w:tcPr>
          <w:p>
            <w:pPr>
              <w:spacing w:line="200" w:lineRule="exact"/>
              <w:jc w:val="center"/>
              <w:rPr>
                <w:rFonts w:ascii="宋体" w:hAnsi="宋体"/>
                <w:sz w:val="18"/>
                <w:szCs w:val="18"/>
                <w:highlight w:val="none"/>
              </w:rPr>
            </w:pPr>
            <w:r>
              <w:rPr>
                <w:rFonts w:ascii="宋体" w:hAnsi="宋体"/>
                <w:b/>
                <w:sz w:val="18"/>
                <w:szCs w:val="18"/>
                <w:highlight w:val="none"/>
              </w:rPr>
              <w:t>环评文件审批机关</w:t>
            </w:r>
          </w:p>
        </w:tc>
        <w:tc>
          <w:tcPr>
            <w:tcW w:w="5200" w:type="dxa"/>
            <w:gridSpan w:val="6"/>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lang w:eastAsia="zh-CN"/>
              </w:rPr>
              <w:t>芜湖市生态环境局</w:t>
            </w:r>
          </w:p>
        </w:tc>
        <w:tc>
          <w:tcPr>
            <w:tcW w:w="2241" w:type="dxa"/>
            <w:gridSpan w:val="2"/>
            <w:tcMar>
              <w:left w:w="0" w:type="dxa"/>
              <w:right w:w="0" w:type="dxa"/>
            </w:tcMar>
            <w:vAlign w:val="center"/>
          </w:tcPr>
          <w:p>
            <w:pPr>
              <w:spacing w:line="200" w:lineRule="exact"/>
              <w:jc w:val="center"/>
              <w:rPr>
                <w:rFonts w:ascii="宋体" w:hAnsi="宋体"/>
                <w:b/>
                <w:sz w:val="18"/>
                <w:szCs w:val="18"/>
                <w:highlight w:val="none"/>
              </w:rPr>
            </w:pPr>
            <w:r>
              <w:rPr>
                <w:rFonts w:ascii="宋体" w:hAnsi="宋体"/>
                <w:b/>
                <w:sz w:val="18"/>
                <w:szCs w:val="18"/>
                <w:highlight w:val="none"/>
              </w:rPr>
              <w:t>审批文号</w:t>
            </w:r>
          </w:p>
        </w:tc>
        <w:tc>
          <w:tcPr>
            <w:tcW w:w="1530"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lang w:val="en-US" w:eastAsia="zh-CN"/>
              </w:rPr>
              <w:t>芜环评审[2019]277号</w:t>
            </w:r>
          </w:p>
        </w:tc>
        <w:tc>
          <w:tcPr>
            <w:tcW w:w="1651" w:type="dxa"/>
            <w:gridSpan w:val="3"/>
            <w:tcMar>
              <w:left w:w="0" w:type="dxa"/>
              <w:right w:w="0" w:type="dxa"/>
            </w:tcMar>
            <w:vAlign w:val="center"/>
          </w:tcPr>
          <w:p>
            <w:pPr>
              <w:spacing w:line="200" w:lineRule="exact"/>
              <w:jc w:val="center"/>
              <w:rPr>
                <w:rFonts w:ascii="宋体" w:hAnsi="宋体"/>
                <w:b/>
                <w:sz w:val="18"/>
                <w:szCs w:val="18"/>
                <w:highlight w:val="none"/>
              </w:rPr>
            </w:pPr>
            <w:r>
              <w:rPr>
                <w:rFonts w:hint="eastAsia" w:ascii="宋体" w:hAnsi="宋体"/>
                <w:b/>
                <w:sz w:val="18"/>
                <w:szCs w:val="18"/>
                <w:highlight w:val="none"/>
              </w:rPr>
              <w:t>环评</w:t>
            </w:r>
            <w:r>
              <w:rPr>
                <w:rFonts w:ascii="宋体" w:hAnsi="宋体"/>
                <w:b/>
                <w:sz w:val="18"/>
                <w:szCs w:val="18"/>
                <w:highlight w:val="none"/>
              </w:rPr>
              <w:t>文件</w:t>
            </w:r>
            <w:r>
              <w:rPr>
                <w:rFonts w:hint="eastAsia" w:ascii="宋体" w:hAnsi="宋体"/>
                <w:b/>
                <w:sz w:val="18"/>
                <w:szCs w:val="18"/>
                <w:highlight w:val="none"/>
              </w:rPr>
              <w:t>类型</w:t>
            </w:r>
          </w:p>
        </w:tc>
        <w:tc>
          <w:tcPr>
            <w:tcW w:w="2367" w:type="dxa"/>
            <w:gridSpan w:val="4"/>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环境影响报告表</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57" w:hRule="atLeast"/>
          <w:jc w:val="center"/>
        </w:trPr>
        <w:tc>
          <w:tcPr>
            <w:tcW w:w="417" w:type="dxa"/>
            <w:vMerge w:val="continue"/>
            <w:tcMar>
              <w:left w:w="0" w:type="dxa"/>
              <w:right w:w="0" w:type="dxa"/>
            </w:tcMar>
            <w:vAlign w:val="center"/>
          </w:tcPr>
          <w:p>
            <w:pPr>
              <w:spacing w:line="200" w:lineRule="exact"/>
              <w:jc w:val="center"/>
              <w:rPr>
                <w:rFonts w:ascii="宋体" w:hAnsi="宋体"/>
                <w:sz w:val="18"/>
                <w:szCs w:val="18"/>
                <w:highlight w:val="yellow"/>
              </w:rPr>
            </w:pPr>
          </w:p>
        </w:tc>
        <w:tc>
          <w:tcPr>
            <w:tcW w:w="1891" w:type="dxa"/>
            <w:gridSpan w:val="2"/>
            <w:tcMar>
              <w:left w:w="0" w:type="dxa"/>
              <w:right w:w="0" w:type="dxa"/>
            </w:tcMar>
            <w:vAlign w:val="center"/>
          </w:tcPr>
          <w:p>
            <w:pPr>
              <w:spacing w:line="200" w:lineRule="exact"/>
              <w:jc w:val="center"/>
              <w:rPr>
                <w:rFonts w:ascii="宋体" w:hAnsi="宋体"/>
                <w:sz w:val="18"/>
                <w:szCs w:val="18"/>
                <w:highlight w:val="none"/>
              </w:rPr>
            </w:pPr>
            <w:r>
              <w:rPr>
                <w:rFonts w:ascii="宋体" w:hAnsi="宋体"/>
                <w:b/>
                <w:sz w:val="18"/>
                <w:szCs w:val="18"/>
                <w:highlight w:val="none"/>
              </w:rPr>
              <w:t>开工日期</w:t>
            </w:r>
          </w:p>
        </w:tc>
        <w:tc>
          <w:tcPr>
            <w:tcW w:w="5200" w:type="dxa"/>
            <w:gridSpan w:val="6"/>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lang w:val="en-US" w:eastAsia="zh-CN"/>
              </w:rPr>
              <w:t>2019</w:t>
            </w:r>
            <w:r>
              <w:rPr>
                <w:rFonts w:hint="eastAsia" w:ascii="宋体" w:hAnsi="宋体"/>
                <w:sz w:val="18"/>
                <w:szCs w:val="18"/>
                <w:highlight w:val="none"/>
              </w:rPr>
              <w:t>年</w:t>
            </w:r>
            <w:r>
              <w:rPr>
                <w:rFonts w:hint="eastAsia" w:ascii="宋体" w:hAnsi="宋体"/>
                <w:sz w:val="18"/>
                <w:szCs w:val="18"/>
                <w:highlight w:val="none"/>
                <w:lang w:val="en-US" w:eastAsia="zh-CN"/>
              </w:rPr>
              <w:t>7</w:t>
            </w:r>
            <w:r>
              <w:rPr>
                <w:rFonts w:hint="eastAsia" w:ascii="宋体" w:hAnsi="宋体"/>
                <w:sz w:val="18"/>
                <w:szCs w:val="18"/>
                <w:highlight w:val="none"/>
              </w:rPr>
              <w:t>月</w:t>
            </w:r>
          </w:p>
        </w:tc>
        <w:tc>
          <w:tcPr>
            <w:tcW w:w="2241" w:type="dxa"/>
            <w:gridSpan w:val="2"/>
            <w:tcMar>
              <w:left w:w="0" w:type="dxa"/>
              <w:right w:w="0" w:type="dxa"/>
            </w:tcMar>
            <w:vAlign w:val="center"/>
          </w:tcPr>
          <w:p>
            <w:pPr>
              <w:spacing w:line="200" w:lineRule="exact"/>
              <w:jc w:val="center"/>
              <w:rPr>
                <w:rFonts w:ascii="宋体" w:hAnsi="宋体"/>
                <w:b/>
                <w:sz w:val="18"/>
                <w:szCs w:val="18"/>
                <w:highlight w:val="none"/>
              </w:rPr>
            </w:pPr>
            <w:r>
              <w:rPr>
                <w:rFonts w:ascii="宋体" w:hAnsi="宋体"/>
                <w:b/>
                <w:sz w:val="18"/>
                <w:szCs w:val="18"/>
                <w:highlight w:val="none"/>
              </w:rPr>
              <w:t>竣工日期</w:t>
            </w:r>
          </w:p>
        </w:tc>
        <w:tc>
          <w:tcPr>
            <w:tcW w:w="1530"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20</w:t>
            </w:r>
            <w:r>
              <w:rPr>
                <w:rFonts w:hint="eastAsia" w:ascii="宋体" w:hAnsi="宋体"/>
                <w:sz w:val="18"/>
                <w:szCs w:val="18"/>
                <w:highlight w:val="none"/>
                <w:lang w:val="en-US" w:eastAsia="zh-CN"/>
              </w:rPr>
              <w:t>20</w:t>
            </w:r>
            <w:r>
              <w:rPr>
                <w:rFonts w:hint="eastAsia" w:ascii="宋体" w:hAnsi="宋体"/>
                <w:sz w:val="18"/>
                <w:szCs w:val="18"/>
                <w:highlight w:val="none"/>
              </w:rPr>
              <w:t>年</w:t>
            </w:r>
            <w:r>
              <w:rPr>
                <w:rFonts w:hint="eastAsia" w:ascii="宋体" w:hAnsi="宋体"/>
                <w:sz w:val="18"/>
                <w:szCs w:val="18"/>
                <w:highlight w:val="none"/>
                <w:lang w:val="en-US" w:eastAsia="zh-CN"/>
              </w:rPr>
              <w:t>4</w:t>
            </w:r>
            <w:r>
              <w:rPr>
                <w:rFonts w:hint="eastAsia" w:ascii="宋体" w:hAnsi="宋体"/>
                <w:sz w:val="18"/>
                <w:szCs w:val="18"/>
                <w:highlight w:val="none"/>
              </w:rPr>
              <w:t>月</w:t>
            </w:r>
          </w:p>
        </w:tc>
        <w:tc>
          <w:tcPr>
            <w:tcW w:w="1651" w:type="dxa"/>
            <w:gridSpan w:val="3"/>
            <w:tcMar>
              <w:left w:w="0" w:type="dxa"/>
              <w:right w:w="0" w:type="dxa"/>
            </w:tcMar>
            <w:vAlign w:val="center"/>
          </w:tcPr>
          <w:p>
            <w:pPr>
              <w:spacing w:line="200" w:lineRule="exact"/>
              <w:jc w:val="center"/>
              <w:rPr>
                <w:rFonts w:ascii="宋体" w:hAnsi="宋体"/>
                <w:b/>
                <w:sz w:val="18"/>
                <w:szCs w:val="18"/>
                <w:highlight w:val="none"/>
              </w:rPr>
            </w:pPr>
            <w:r>
              <w:rPr>
                <w:rFonts w:hint="eastAsia" w:ascii="宋体" w:hAnsi="宋体"/>
                <w:b/>
                <w:sz w:val="18"/>
                <w:szCs w:val="18"/>
                <w:highlight w:val="none"/>
              </w:rPr>
              <w:t>排污许可证申领时间</w:t>
            </w:r>
          </w:p>
        </w:tc>
        <w:tc>
          <w:tcPr>
            <w:tcW w:w="2367" w:type="dxa"/>
            <w:gridSpan w:val="4"/>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05" w:hRule="atLeast"/>
          <w:jc w:val="center"/>
        </w:trPr>
        <w:tc>
          <w:tcPr>
            <w:tcW w:w="417" w:type="dxa"/>
            <w:vMerge w:val="continue"/>
            <w:tcMar>
              <w:left w:w="0" w:type="dxa"/>
              <w:right w:w="0" w:type="dxa"/>
            </w:tcMar>
            <w:vAlign w:val="center"/>
          </w:tcPr>
          <w:p>
            <w:pPr>
              <w:spacing w:line="200" w:lineRule="exact"/>
              <w:jc w:val="center"/>
              <w:rPr>
                <w:rFonts w:ascii="宋体" w:hAnsi="宋体"/>
                <w:sz w:val="18"/>
                <w:szCs w:val="18"/>
                <w:highlight w:val="yellow"/>
              </w:rPr>
            </w:pPr>
          </w:p>
        </w:tc>
        <w:tc>
          <w:tcPr>
            <w:tcW w:w="1891" w:type="dxa"/>
            <w:gridSpan w:val="2"/>
            <w:tcMar>
              <w:left w:w="0" w:type="dxa"/>
              <w:right w:w="0" w:type="dxa"/>
            </w:tcMar>
            <w:vAlign w:val="center"/>
          </w:tcPr>
          <w:p>
            <w:pPr>
              <w:spacing w:line="200" w:lineRule="exact"/>
              <w:jc w:val="center"/>
              <w:rPr>
                <w:rFonts w:ascii="宋体" w:hAnsi="宋体"/>
                <w:sz w:val="18"/>
                <w:szCs w:val="18"/>
                <w:highlight w:val="none"/>
              </w:rPr>
            </w:pPr>
            <w:r>
              <w:rPr>
                <w:rFonts w:ascii="宋体" w:hAnsi="宋体"/>
                <w:b/>
                <w:sz w:val="18"/>
                <w:szCs w:val="18"/>
                <w:highlight w:val="none"/>
              </w:rPr>
              <w:t>环保设施设计单位</w:t>
            </w:r>
          </w:p>
        </w:tc>
        <w:tc>
          <w:tcPr>
            <w:tcW w:w="5200" w:type="dxa"/>
            <w:gridSpan w:val="6"/>
            <w:tcMar>
              <w:left w:w="0" w:type="dxa"/>
              <w:right w:w="0" w:type="dxa"/>
            </w:tcMar>
            <w:vAlign w:val="center"/>
          </w:tcPr>
          <w:p>
            <w:pPr>
              <w:spacing w:line="200" w:lineRule="exact"/>
              <w:jc w:val="center"/>
              <w:rPr>
                <w:rFonts w:ascii="宋体" w:hAnsi="宋体"/>
                <w:b/>
                <w:sz w:val="18"/>
                <w:szCs w:val="18"/>
                <w:highlight w:val="none"/>
              </w:rPr>
            </w:pPr>
            <w:r>
              <w:rPr>
                <w:rFonts w:hint="eastAsia" w:ascii="宋体" w:hAnsi="宋体"/>
                <w:bCs/>
                <w:sz w:val="18"/>
                <w:szCs w:val="18"/>
                <w:highlight w:val="none"/>
              </w:rPr>
              <w:t>/</w:t>
            </w:r>
          </w:p>
        </w:tc>
        <w:tc>
          <w:tcPr>
            <w:tcW w:w="2241" w:type="dxa"/>
            <w:gridSpan w:val="2"/>
            <w:tcMar>
              <w:left w:w="0" w:type="dxa"/>
              <w:right w:w="0" w:type="dxa"/>
            </w:tcMar>
            <w:vAlign w:val="center"/>
          </w:tcPr>
          <w:p>
            <w:pPr>
              <w:spacing w:line="200" w:lineRule="exact"/>
              <w:jc w:val="center"/>
              <w:rPr>
                <w:rFonts w:ascii="宋体" w:hAnsi="宋体"/>
                <w:b/>
                <w:sz w:val="18"/>
                <w:szCs w:val="18"/>
                <w:highlight w:val="none"/>
              </w:rPr>
            </w:pPr>
            <w:r>
              <w:rPr>
                <w:rFonts w:ascii="宋体" w:hAnsi="宋体"/>
                <w:b/>
                <w:sz w:val="18"/>
                <w:szCs w:val="18"/>
                <w:highlight w:val="none"/>
              </w:rPr>
              <w:t>环保设施施工单位</w:t>
            </w:r>
          </w:p>
        </w:tc>
        <w:tc>
          <w:tcPr>
            <w:tcW w:w="1530"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bCs/>
                <w:sz w:val="18"/>
                <w:szCs w:val="18"/>
                <w:highlight w:val="none"/>
              </w:rPr>
              <w:t>/</w:t>
            </w:r>
          </w:p>
        </w:tc>
        <w:tc>
          <w:tcPr>
            <w:tcW w:w="1651" w:type="dxa"/>
            <w:gridSpan w:val="3"/>
            <w:tcMar>
              <w:left w:w="0" w:type="dxa"/>
              <w:right w:w="0" w:type="dxa"/>
            </w:tcMar>
            <w:vAlign w:val="center"/>
          </w:tcPr>
          <w:p>
            <w:pPr>
              <w:spacing w:line="200" w:lineRule="exact"/>
              <w:jc w:val="center"/>
              <w:rPr>
                <w:rFonts w:ascii="宋体" w:hAnsi="宋体"/>
                <w:b/>
                <w:sz w:val="18"/>
                <w:szCs w:val="18"/>
                <w:highlight w:val="none"/>
              </w:rPr>
            </w:pPr>
            <w:r>
              <w:rPr>
                <w:rFonts w:hint="eastAsia" w:ascii="宋体" w:hAnsi="宋体"/>
                <w:b/>
                <w:sz w:val="18"/>
                <w:szCs w:val="18"/>
                <w:highlight w:val="none"/>
              </w:rPr>
              <w:t>本工程排污许可证</w:t>
            </w:r>
            <w:r>
              <w:rPr>
                <w:rFonts w:ascii="宋体" w:hAnsi="宋体"/>
                <w:b/>
                <w:sz w:val="18"/>
                <w:szCs w:val="18"/>
                <w:highlight w:val="none"/>
              </w:rPr>
              <w:t>编号</w:t>
            </w:r>
          </w:p>
        </w:tc>
        <w:tc>
          <w:tcPr>
            <w:tcW w:w="2367" w:type="dxa"/>
            <w:gridSpan w:val="4"/>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10" w:hRule="atLeast"/>
          <w:jc w:val="center"/>
        </w:trPr>
        <w:tc>
          <w:tcPr>
            <w:tcW w:w="417" w:type="dxa"/>
            <w:vMerge w:val="continue"/>
            <w:tcMar>
              <w:left w:w="0" w:type="dxa"/>
              <w:right w:w="0" w:type="dxa"/>
            </w:tcMar>
            <w:vAlign w:val="center"/>
          </w:tcPr>
          <w:p>
            <w:pPr>
              <w:spacing w:line="200" w:lineRule="exact"/>
              <w:jc w:val="center"/>
              <w:rPr>
                <w:rFonts w:ascii="宋体" w:hAnsi="宋体"/>
                <w:sz w:val="18"/>
                <w:szCs w:val="18"/>
                <w:highlight w:val="yellow"/>
              </w:rPr>
            </w:pPr>
          </w:p>
        </w:tc>
        <w:tc>
          <w:tcPr>
            <w:tcW w:w="1891" w:type="dxa"/>
            <w:gridSpan w:val="2"/>
            <w:tcMar>
              <w:left w:w="0" w:type="dxa"/>
              <w:right w:w="0" w:type="dxa"/>
            </w:tcMar>
            <w:vAlign w:val="center"/>
          </w:tcPr>
          <w:p>
            <w:pPr>
              <w:spacing w:line="200" w:lineRule="exact"/>
              <w:jc w:val="center"/>
              <w:rPr>
                <w:rFonts w:ascii="宋体" w:hAnsi="宋体"/>
                <w:sz w:val="18"/>
                <w:szCs w:val="18"/>
                <w:highlight w:val="none"/>
              </w:rPr>
            </w:pPr>
            <w:r>
              <w:rPr>
                <w:rFonts w:ascii="宋体" w:hAnsi="宋体"/>
                <w:b/>
                <w:sz w:val="18"/>
                <w:szCs w:val="18"/>
                <w:highlight w:val="none"/>
              </w:rPr>
              <w:t>验收单位</w:t>
            </w:r>
          </w:p>
        </w:tc>
        <w:tc>
          <w:tcPr>
            <w:tcW w:w="5200" w:type="dxa"/>
            <w:gridSpan w:val="6"/>
            <w:tcMar>
              <w:left w:w="0" w:type="dxa"/>
              <w:right w:w="0" w:type="dxa"/>
            </w:tcMar>
            <w:vAlign w:val="center"/>
          </w:tcPr>
          <w:p>
            <w:pPr>
              <w:spacing w:line="200" w:lineRule="exact"/>
              <w:jc w:val="center"/>
              <w:rPr>
                <w:rFonts w:hint="eastAsia" w:ascii="宋体" w:hAnsi="宋体" w:eastAsia="宋体"/>
                <w:b/>
                <w:sz w:val="18"/>
                <w:szCs w:val="18"/>
                <w:highlight w:val="none"/>
                <w:lang w:eastAsia="zh-CN"/>
              </w:rPr>
            </w:pPr>
            <w:r>
              <w:rPr>
                <w:rFonts w:hint="eastAsia" w:ascii="宋体" w:hAnsi="宋体"/>
                <w:sz w:val="18"/>
                <w:szCs w:val="18"/>
                <w:highlight w:val="none"/>
                <w:lang w:eastAsia="zh-CN"/>
              </w:rPr>
              <w:t>芜湖永达科技有限公司</w:t>
            </w:r>
          </w:p>
        </w:tc>
        <w:tc>
          <w:tcPr>
            <w:tcW w:w="2241" w:type="dxa"/>
            <w:gridSpan w:val="2"/>
            <w:tcMar>
              <w:left w:w="0" w:type="dxa"/>
              <w:right w:w="0" w:type="dxa"/>
            </w:tcMar>
            <w:vAlign w:val="center"/>
          </w:tcPr>
          <w:p>
            <w:pPr>
              <w:spacing w:line="200" w:lineRule="exact"/>
              <w:jc w:val="center"/>
              <w:rPr>
                <w:rFonts w:ascii="宋体" w:hAnsi="宋体"/>
                <w:b/>
                <w:sz w:val="18"/>
                <w:szCs w:val="18"/>
                <w:highlight w:val="none"/>
              </w:rPr>
            </w:pPr>
            <w:r>
              <w:rPr>
                <w:rFonts w:ascii="宋体" w:hAnsi="宋体"/>
                <w:b/>
                <w:sz w:val="18"/>
                <w:szCs w:val="18"/>
                <w:highlight w:val="none"/>
              </w:rPr>
              <w:t>环保设施监测单位</w:t>
            </w:r>
          </w:p>
        </w:tc>
        <w:tc>
          <w:tcPr>
            <w:tcW w:w="1530" w:type="dxa"/>
            <w:tcMar>
              <w:left w:w="0" w:type="dxa"/>
              <w:right w:w="0" w:type="dxa"/>
            </w:tcMar>
            <w:vAlign w:val="center"/>
          </w:tcPr>
          <w:p>
            <w:pPr>
              <w:spacing w:line="200" w:lineRule="exact"/>
              <w:jc w:val="center"/>
              <w:rPr>
                <w:rFonts w:hint="default" w:ascii="宋体" w:hAnsi="宋体" w:eastAsia="宋体"/>
                <w:sz w:val="18"/>
                <w:szCs w:val="18"/>
                <w:highlight w:val="none"/>
                <w:lang w:val="en-US" w:eastAsia="zh-CN"/>
              </w:rPr>
            </w:pPr>
            <w:r>
              <w:rPr>
                <w:rFonts w:hint="eastAsia" w:ascii="宋体" w:hAnsi="宋体"/>
                <w:sz w:val="18"/>
                <w:szCs w:val="18"/>
                <w:highlight w:val="none"/>
                <w:lang w:val="en-US" w:eastAsia="zh-CN"/>
              </w:rPr>
              <w:t>安徽格临检测有限公司</w:t>
            </w:r>
          </w:p>
        </w:tc>
        <w:tc>
          <w:tcPr>
            <w:tcW w:w="1651" w:type="dxa"/>
            <w:gridSpan w:val="3"/>
            <w:tcMar>
              <w:left w:w="0" w:type="dxa"/>
              <w:right w:w="0" w:type="dxa"/>
            </w:tcMar>
            <w:vAlign w:val="center"/>
          </w:tcPr>
          <w:p>
            <w:pPr>
              <w:spacing w:line="200" w:lineRule="exact"/>
              <w:jc w:val="center"/>
              <w:rPr>
                <w:rFonts w:ascii="宋体" w:hAnsi="宋体"/>
                <w:b/>
                <w:sz w:val="18"/>
                <w:szCs w:val="18"/>
                <w:highlight w:val="none"/>
              </w:rPr>
            </w:pPr>
            <w:r>
              <w:rPr>
                <w:rFonts w:ascii="宋体" w:hAnsi="宋体"/>
                <w:b/>
                <w:sz w:val="18"/>
                <w:szCs w:val="18"/>
                <w:highlight w:val="none"/>
              </w:rPr>
              <w:t>验收监测</w:t>
            </w:r>
            <w:r>
              <w:rPr>
                <w:rFonts w:hint="eastAsia" w:ascii="宋体" w:hAnsi="宋体"/>
                <w:b/>
                <w:sz w:val="18"/>
                <w:szCs w:val="18"/>
                <w:highlight w:val="none"/>
              </w:rPr>
              <w:t>时工况</w:t>
            </w:r>
          </w:p>
        </w:tc>
        <w:tc>
          <w:tcPr>
            <w:tcW w:w="2367" w:type="dxa"/>
            <w:gridSpan w:val="4"/>
            <w:tcMar>
              <w:left w:w="0" w:type="dxa"/>
              <w:right w:w="0" w:type="dxa"/>
            </w:tcMar>
            <w:vAlign w:val="center"/>
          </w:tcPr>
          <w:p>
            <w:pPr>
              <w:spacing w:line="200" w:lineRule="exact"/>
              <w:jc w:val="center"/>
              <w:rPr>
                <w:rFonts w:ascii="宋体" w:hAnsi="宋体"/>
                <w:sz w:val="18"/>
                <w:szCs w:val="18"/>
                <w:highlight w:val="none"/>
              </w:rPr>
            </w:pPr>
            <w:r>
              <w:rPr>
                <w:rFonts w:ascii="宋体" w:hAnsi="宋体"/>
                <w:sz w:val="18"/>
                <w:szCs w:val="18"/>
                <w:highlight w:val="none"/>
              </w:rPr>
              <w:t>75%</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62" w:hRule="atLeast"/>
          <w:jc w:val="center"/>
        </w:trPr>
        <w:tc>
          <w:tcPr>
            <w:tcW w:w="417" w:type="dxa"/>
            <w:vMerge w:val="continue"/>
            <w:tcMar>
              <w:left w:w="0" w:type="dxa"/>
              <w:right w:w="0" w:type="dxa"/>
            </w:tcMar>
            <w:vAlign w:val="center"/>
          </w:tcPr>
          <w:p>
            <w:pPr>
              <w:spacing w:line="200" w:lineRule="exact"/>
              <w:jc w:val="center"/>
              <w:rPr>
                <w:rFonts w:ascii="宋体" w:hAnsi="宋体"/>
                <w:sz w:val="18"/>
                <w:szCs w:val="18"/>
                <w:highlight w:val="yellow"/>
              </w:rPr>
            </w:pPr>
          </w:p>
        </w:tc>
        <w:tc>
          <w:tcPr>
            <w:tcW w:w="1891" w:type="dxa"/>
            <w:gridSpan w:val="2"/>
            <w:tcMar>
              <w:left w:w="0" w:type="dxa"/>
              <w:right w:w="0" w:type="dxa"/>
            </w:tcMar>
            <w:vAlign w:val="center"/>
          </w:tcPr>
          <w:p>
            <w:pPr>
              <w:spacing w:line="200" w:lineRule="exact"/>
              <w:jc w:val="center"/>
              <w:rPr>
                <w:rFonts w:ascii="宋体" w:hAnsi="宋体"/>
                <w:sz w:val="18"/>
                <w:szCs w:val="18"/>
                <w:highlight w:val="none"/>
              </w:rPr>
            </w:pPr>
            <w:r>
              <w:rPr>
                <w:rFonts w:ascii="宋体" w:hAnsi="宋体"/>
                <w:b/>
                <w:sz w:val="18"/>
                <w:szCs w:val="18"/>
                <w:highlight w:val="none"/>
              </w:rPr>
              <w:t>投资总概算（万元）</w:t>
            </w:r>
          </w:p>
        </w:tc>
        <w:tc>
          <w:tcPr>
            <w:tcW w:w="5200" w:type="dxa"/>
            <w:gridSpan w:val="6"/>
            <w:tcMar>
              <w:left w:w="0" w:type="dxa"/>
              <w:right w:w="0" w:type="dxa"/>
            </w:tcMar>
            <w:vAlign w:val="center"/>
          </w:tcPr>
          <w:p>
            <w:pPr>
              <w:spacing w:line="200" w:lineRule="exact"/>
              <w:jc w:val="center"/>
              <w:rPr>
                <w:rFonts w:hint="default" w:ascii="宋体" w:hAnsi="宋体" w:eastAsia="宋体"/>
                <w:b/>
                <w:sz w:val="18"/>
                <w:szCs w:val="18"/>
                <w:highlight w:val="none"/>
                <w:lang w:val="en-US" w:eastAsia="zh-CN"/>
              </w:rPr>
            </w:pPr>
            <w:r>
              <w:rPr>
                <w:rFonts w:hint="eastAsia" w:ascii="宋体" w:hAnsi="宋体"/>
                <w:sz w:val="18"/>
                <w:szCs w:val="18"/>
                <w:highlight w:val="none"/>
                <w:lang w:val="en-US" w:eastAsia="zh-CN"/>
              </w:rPr>
              <w:t>10647</w:t>
            </w:r>
          </w:p>
        </w:tc>
        <w:tc>
          <w:tcPr>
            <w:tcW w:w="2241" w:type="dxa"/>
            <w:gridSpan w:val="2"/>
            <w:tcMar>
              <w:left w:w="0" w:type="dxa"/>
              <w:right w:w="0" w:type="dxa"/>
            </w:tcMar>
            <w:vAlign w:val="center"/>
          </w:tcPr>
          <w:p>
            <w:pPr>
              <w:tabs>
                <w:tab w:val="left" w:pos="690"/>
              </w:tabs>
              <w:spacing w:line="200" w:lineRule="exact"/>
              <w:jc w:val="center"/>
              <w:rPr>
                <w:rFonts w:ascii="宋体" w:hAnsi="宋体"/>
                <w:sz w:val="18"/>
                <w:szCs w:val="18"/>
                <w:highlight w:val="none"/>
              </w:rPr>
            </w:pPr>
            <w:r>
              <w:rPr>
                <w:rFonts w:ascii="宋体" w:hAnsi="宋体"/>
                <w:b/>
                <w:sz w:val="18"/>
                <w:szCs w:val="18"/>
                <w:highlight w:val="none"/>
              </w:rPr>
              <w:t>环保投资总概算（万元）</w:t>
            </w:r>
          </w:p>
        </w:tc>
        <w:tc>
          <w:tcPr>
            <w:tcW w:w="1530" w:type="dxa"/>
            <w:tcMar>
              <w:left w:w="0" w:type="dxa"/>
              <w:right w:w="0" w:type="dxa"/>
            </w:tcMar>
            <w:vAlign w:val="center"/>
          </w:tcPr>
          <w:p>
            <w:pPr>
              <w:spacing w:line="200" w:lineRule="exact"/>
              <w:jc w:val="center"/>
              <w:rPr>
                <w:rFonts w:hint="default" w:ascii="宋体" w:hAnsi="宋体" w:eastAsia="宋体"/>
                <w:b/>
                <w:sz w:val="18"/>
                <w:szCs w:val="18"/>
                <w:highlight w:val="none"/>
                <w:lang w:val="en-US" w:eastAsia="zh-CN"/>
              </w:rPr>
            </w:pPr>
            <w:r>
              <w:rPr>
                <w:rFonts w:hint="eastAsia" w:ascii="宋体" w:hAnsi="宋体"/>
                <w:sz w:val="18"/>
                <w:szCs w:val="18"/>
                <w:highlight w:val="none"/>
                <w:lang w:val="en-US" w:eastAsia="zh-CN"/>
              </w:rPr>
              <w:t>315</w:t>
            </w:r>
          </w:p>
        </w:tc>
        <w:tc>
          <w:tcPr>
            <w:tcW w:w="1651" w:type="dxa"/>
            <w:gridSpan w:val="3"/>
            <w:tcMar>
              <w:left w:w="0" w:type="dxa"/>
              <w:right w:w="0" w:type="dxa"/>
            </w:tcMar>
            <w:vAlign w:val="center"/>
          </w:tcPr>
          <w:p>
            <w:pPr>
              <w:tabs>
                <w:tab w:val="left" w:pos="690"/>
              </w:tabs>
              <w:spacing w:line="200" w:lineRule="exact"/>
              <w:jc w:val="center"/>
              <w:rPr>
                <w:rFonts w:ascii="宋体" w:hAnsi="宋体"/>
                <w:sz w:val="18"/>
                <w:szCs w:val="18"/>
                <w:highlight w:val="none"/>
              </w:rPr>
            </w:pPr>
            <w:r>
              <w:rPr>
                <w:rFonts w:ascii="宋体" w:hAnsi="宋体"/>
                <w:b/>
                <w:sz w:val="18"/>
                <w:szCs w:val="18"/>
                <w:highlight w:val="none"/>
              </w:rPr>
              <w:t>所占比例（%）</w:t>
            </w:r>
          </w:p>
        </w:tc>
        <w:tc>
          <w:tcPr>
            <w:tcW w:w="2367" w:type="dxa"/>
            <w:gridSpan w:val="4"/>
            <w:tcMar>
              <w:left w:w="0" w:type="dxa"/>
              <w:right w:w="0" w:type="dxa"/>
            </w:tcMar>
            <w:vAlign w:val="center"/>
          </w:tcPr>
          <w:p>
            <w:pPr>
              <w:tabs>
                <w:tab w:val="left" w:pos="690"/>
              </w:tabs>
              <w:spacing w:line="200" w:lineRule="exact"/>
              <w:jc w:val="center"/>
              <w:rPr>
                <w:rFonts w:hint="default" w:ascii="宋体" w:hAnsi="宋体" w:eastAsia="宋体"/>
                <w:sz w:val="18"/>
                <w:szCs w:val="18"/>
                <w:highlight w:val="none"/>
                <w:lang w:val="en-US" w:eastAsia="zh-CN"/>
              </w:rPr>
            </w:pPr>
            <w:r>
              <w:rPr>
                <w:rFonts w:hint="eastAsia" w:ascii="宋体" w:hAnsi="宋体"/>
                <w:sz w:val="18"/>
                <w:szCs w:val="18"/>
                <w:highlight w:val="none"/>
                <w:lang w:val="en-US" w:eastAsia="zh-CN"/>
              </w:rPr>
              <w:t>2.96</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57" w:hRule="atLeast"/>
          <w:jc w:val="center"/>
        </w:trPr>
        <w:tc>
          <w:tcPr>
            <w:tcW w:w="417" w:type="dxa"/>
            <w:vMerge w:val="continue"/>
            <w:tcMar>
              <w:left w:w="0" w:type="dxa"/>
              <w:right w:w="0" w:type="dxa"/>
            </w:tcMar>
            <w:vAlign w:val="center"/>
          </w:tcPr>
          <w:p>
            <w:pPr>
              <w:spacing w:line="200" w:lineRule="exact"/>
              <w:jc w:val="center"/>
              <w:rPr>
                <w:rFonts w:ascii="宋体" w:hAnsi="宋体"/>
                <w:sz w:val="18"/>
                <w:szCs w:val="18"/>
                <w:highlight w:val="yellow"/>
              </w:rPr>
            </w:pPr>
          </w:p>
        </w:tc>
        <w:tc>
          <w:tcPr>
            <w:tcW w:w="1891" w:type="dxa"/>
            <w:gridSpan w:val="2"/>
            <w:tcMar>
              <w:left w:w="0" w:type="dxa"/>
              <w:right w:w="0" w:type="dxa"/>
            </w:tcMar>
            <w:vAlign w:val="center"/>
          </w:tcPr>
          <w:p>
            <w:pPr>
              <w:spacing w:line="200" w:lineRule="exact"/>
              <w:jc w:val="center"/>
              <w:rPr>
                <w:rFonts w:ascii="宋体" w:hAnsi="宋体"/>
                <w:sz w:val="18"/>
                <w:szCs w:val="18"/>
                <w:highlight w:val="none"/>
              </w:rPr>
            </w:pPr>
            <w:r>
              <w:rPr>
                <w:rFonts w:ascii="宋体" w:hAnsi="宋体"/>
                <w:b/>
                <w:sz w:val="18"/>
                <w:szCs w:val="18"/>
                <w:highlight w:val="none"/>
              </w:rPr>
              <w:t>实际总投资（万元）</w:t>
            </w:r>
          </w:p>
        </w:tc>
        <w:tc>
          <w:tcPr>
            <w:tcW w:w="5200" w:type="dxa"/>
            <w:gridSpan w:val="6"/>
            <w:tcMar>
              <w:left w:w="0" w:type="dxa"/>
              <w:right w:w="0" w:type="dxa"/>
            </w:tcMar>
            <w:vAlign w:val="center"/>
          </w:tcPr>
          <w:p>
            <w:pPr>
              <w:spacing w:line="200" w:lineRule="exact"/>
              <w:jc w:val="center"/>
              <w:rPr>
                <w:rFonts w:hint="default" w:ascii="宋体" w:hAnsi="宋体" w:eastAsia="宋体"/>
                <w:sz w:val="18"/>
                <w:szCs w:val="18"/>
                <w:highlight w:val="none"/>
                <w:lang w:val="en-US" w:eastAsia="zh-CN"/>
              </w:rPr>
            </w:pPr>
            <w:r>
              <w:rPr>
                <w:rFonts w:hint="eastAsia" w:ascii="宋体" w:hAnsi="宋体"/>
                <w:sz w:val="18"/>
                <w:szCs w:val="18"/>
                <w:highlight w:val="none"/>
                <w:lang w:val="en-US" w:eastAsia="zh-CN"/>
              </w:rPr>
              <w:t>5191</w:t>
            </w:r>
          </w:p>
        </w:tc>
        <w:tc>
          <w:tcPr>
            <w:tcW w:w="2241" w:type="dxa"/>
            <w:gridSpan w:val="2"/>
            <w:tcMar>
              <w:left w:w="0" w:type="dxa"/>
              <w:right w:w="0" w:type="dxa"/>
            </w:tcMar>
            <w:vAlign w:val="center"/>
          </w:tcPr>
          <w:p>
            <w:pPr>
              <w:spacing w:line="200" w:lineRule="exact"/>
              <w:jc w:val="center"/>
              <w:rPr>
                <w:rFonts w:ascii="宋体" w:hAnsi="宋体"/>
                <w:b/>
                <w:sz w:val="18"/>
                <w:szCs w:val="18"/>
                <w:highlight w:val="none"/>
              </w:rPr>
            </w:pPr>
            <w:r>
              <w:rPr>
                <w:rFonts w:ascii="宋体" w:hAnsi="宋体"/>
                <w:b/>
                <w:sz w:val="18"/>
                <w:szCs w:val="18"/>
                <w:highlight w:val="none"/>
              </w:rPr>
              <w:t>实际环保投资（万元）</w:t>
            </w:r>
          </w:p>
        </w:tc>
        <w:tc>
          <w:tcPr>
            <w:tcW w:w="1530" w:type="dxa"/>
            <w:tcMar>
              <w:left w:w="0" w:type="dxa"/>
              <w:right w:w="0" w:type="dxa"/>
            </w:tcMar>
            <w:vAlign w:val="center"/>
          </w:tcPr>
          <w:p>
            <w:pPr>
              <w:spacing w:line="200" w:lineRule="exact"/>
              <w:jc w:val="center"/>
              <w:rPr>
                <w:rFonts w:hint="default" w:ascii="宋体" w:hAnsi="宋体" w:eastAsia="宋体"/>
                <w:sz w:val="18"/>
                <w:szCs w:val="18"/>
                <w:highlight w:val="none"/>
                <w:lang w:val="en-US" w:eastAsia="zh-CN"/>
              </w:rPr>
            </w:pPr>
            <w:r>
              <w:rPr>
                <w:rFonts w:hint="eastAsia" w:ascii="宋体" w:hAnsi="宋体"/>
                <w:sz w:val="18"/>
                <w:szCs w:val="18"/>
                <w:highlight w:val="none"/>
                <w:lang w:val="en-US" w:eastAsia="zh-CN"/>
              </w:rPr>
              <w:t>290</w:t>
            </w:r>
          </w:p>
        </w:tc>
        <w:tc>
          <w:tcPr>
            <w:tcW w:w="1651" w:type="dxa"/>
            <w:gridSpan w:val="3"/>
            <w:tcMar>
              <w:left w:w="0" w:type="dxa"/>
              <w:right w:w="0" w:type="dxa"/>
            </w:tcMar>
            <w:vAlign w:val="center"/>
          </w:tcPr>
          <w:p>
            <w:pPr>
              <w:spacing w:line="200" w:lineRule="exact"/>
              <w:jc w:val="center"/>
              <w:rPr>
                <w:rFonts w:ascii="宋体" w:hAnsi="宋体"/>
                <w:b/>
                <w:sz w:val="18"/>
                <w:szCs w:val="18"/>
                <w:highlight w:val="none"/>
              </w:rPr>
            </w:pPr>
            <w:r>
              <w:rPr>
                <w:rFonts w:ascii="宋体" w:hAnsi="宋体"/>
                <w:b/>
                <w:sz w:val="18"/>
                <w:szCs w:val="18"/>
                <w:highlight w:val="none"/>
              </w:rPr>
              <w:t>所占比例（%）</w:t>
            </w:r>
          </w:p>
        </w:tc>
        <w:tc>
          <w:tcPr>
            <w:tcW w:w="2367" w:type="dxa"/>
            <w:gridSpan w:val="4"/>
            <w:tcMar>
              <w:left w:w="0" w:type="dxa"/>
              <w:right w:w="0" w:type="dxa"/>
            </w:tcMar>
            <w:vAlign w:val="center"/>
          </w:tcPr>
          <w:p>
            <w:pPr>
              <w:spacing w:line="200" w:lineRule="exact"/>
              <w:jc w:val="center"/>
              <w:rPr>
                <w:rFonts w:hint="default" w:ascii="宋体" w:hAnsi="宋体" w:eastAsia="宋体"/>
                <w:sz w:val="18"/>
                <w:szCs w:val="18"/>
                <w:highlight w:val="none"/>
                <w:lang w:val="en-US" w:eastAsia="zh-CN"/>
              </w:rPr>
            </w:pPr>
            <w:r>
              <w:rPr>
                <w:rFonts w:hint="eastAsia" w:ascii="宋体" w:hAnsi="宋体"/>
                <w:sz w:val="18"/>
                <w:szCs w:val="18"/>
                <w:highlight w:val="none"/>
                <w:lang w:val="en-US" w:eastAsia="zh-CN"/>
              </w:rPr>
              <w:t>5.59</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57" w:hRule="atLeast"/>
          <w:jc w:val="center"/>
        </w:trPr>
        <w:tc>
          <w:tcPr>
            <w:tcW w:w="417" w:type="dxa"/>
            <w:vMerge w:val="continue"/>
            <w:tcMar>
              <w:left w:w="0" w:type="dxa"/>
              <w:right w:w="0" w:type="dxa"/>
            </w:tcMar>
            <w:vAlign w:val="center"/>
          </w:tcPr>
          <w:p>
            <w:pPr>
              <w:spacing w:line="200" w:lineRule="exact"/>
              <w:jc w:val="center"/>
              <w:rPr>
                <w:rFonts w:ascii="宋体" w:hAnsi="宋体"/>
                <w:sz w:val="18"/>
                <w:szCs w:val="18"/>
                <w:highlight w:val="yellow"/>
              </w:rPr>
            </w:pPr>
          </w:p>
        </w:tc>
        <w:tc>
          <w:tcPr>
            <w:tcW w:w="1891" w:type="dxa"/>
            <w:gridSpan w:val="2"/>
            <w:tcMar>
              <w:left w:w="0" w:type="dxa"/>
              <w:right w:w="0" w:type="dxa"/>
            </w:tcMar>
            <w:vAlign w:val="center"/>
          </w:tcPr>
          <w:p>
            <w:pPr>
              <w:spacing w:line="200" w:lineRule="exact"/>
              <w:jc w:val="center"/>
              <w:rPr>
                <w:rFonts w:ascii="宋体" w:hAnsi="宋体"/>
                <w:sz w:val="18"/>
                <w:szCs w:val="18"/>
                <w:highlight w:val="none"/>
              </w:rPr>
            </w:pPr>
            <w:r>
              <w:rPr>
                <w:rFonts w:ascii="宋体" w:hAnsi="宋体"/>
                <w:b/>
                <w:sz w:val="18"/>
                <w:szCs w:val="18"/>
                <w:highlight w:val="none"/>
              </w:rPr>
              <w:t>废水治理（万元）</w:t>
            </w:r>
          </w:p>
        </w:tc>
        <w:tc>
          <w:tcPr>
            <w:tcW w:w="795" w:type="dxa"/>
            <w:tcMar>
              <w:left w:w="0" w:type="dxa"/>
              <w:right w:w="0" w:type="dxa"/>
            </w:tcMar>
            <w:vAlign w:val="center"/>
          </w:tcPr>
          <w:p>
            <w:pPr>
              <w:spacing w:line="200" w:lineRule="exact"/>
              <w:jc w:val="center"/>
              <w:rPr>
                <w:rFonts w:hint="default" w:ascii="宋体" w:hAnsi="宋体" w:eastAsia="宋体"/>
                <w:sz w:val="18"/>
                <w:szCs w:val="18"/>
                <w:highlight w:val="none"/>
                <w:lang w:val="en-US" w:eastAsia="zh-CN"/>
              </w:rPr>
            </w:pPr>
            <w:r>
              <w:rPr>
                <w:rFonts w:hint="eastAsia" w:ascii="宋体" w:hAnsi="宋体"/>
                <w:sz w:val="18"/>
                <w:szCs w:val="18"/>
                <w:highlight w:val="none"/>
                <w:lang w:val="en-US" w:eastAsia="zh-CN"/>
              </w:rPr>
              <w:t>/</w:t>
            </w:r>
          </w:p>
        </w:tc>
        <w:tc>
          <w:tcPr>
            <w:tcW w:w="1327" w:type="dxa"/>
            <w:tcMar>
              <w:left w:w="0" w:type="dxa"/>
              <w:right w:w="0" w:type="dxa"/>
            </w:tcMar>
            <w:vAlign w:val="center"/>
          </w:tcPr>
          <w:p>
            <w:pPr>
              <w:spacing w:line="200" w:lineRule="exact"/>
              <w:jc w:val="center"/>
              <w:rPr>
                <w:rFonts w:ascii="宋体" w:hAnsi="宋体"/>
                <w:b/>
                <w:sz w:val="18"/>
                <w:szCs w:val="18"/>
                <w:highlight w:val="none"/>
              </w:rPr>
            </w:pPr>
            <w:r>
              <w:rPr>
                <w:rFonts w:ascii="宋体" w:hAnsi="宋体"/>
                <w:b/>
                <w:sz w:val="18"/>
                <w:szCs w:val="18"/>
                <w:highlight w:val="none"/>
              </w:rPr>
              <w:t>废气治理（万元）</w:t>
            </w:r>
          </w:p>
        </w:tc>
        <w:tc>
          <w:tcPr>
            <w:tcW w:w="1052" w:type="dxa"/>
            <w:tcMar>
              <w:left w:w="0" w:type="dxa"/>
              <w:right w:w="0" w:type="dxa"/>
            </w:tcMar>
            <w:vAlign w:val="center"/>
          </w:tcPr>
          <w:p>
            <w:pPr>
              <w:spacing w:line="200" w:lineRule="exact"/>
              <w:jc w:val="center"/>
              <w:rPr>
                <w:rFonts w:hint="default" w:ascii="宋体" w:hAnsi="宋体" w:eastAsia="宋体"/>
                <w:sz w:val="18"/>
                <w:szCs w:val="18"/>
                <w:highlight w:val="none"/>
                <w:lang w:val="en-US" w:eastAsia="zh-CN"/>
              </w:rPr>
            </w:pPr>
            <w:r>
              <w:rPr>
                <w:rFonts w:hint="eastAsia" w:ascii="宋体" w:hAnsi="宋体"/>
                <w:sz w:val="18"/>
                <w:szCs w:val="18"/>
                <w:highlight w:val="none"/>
                <w:lang w:val="en-US" w:eastAsia="zh-CN"/>
              </w:rPr>
              <w:t>260</w:t>
            </w:r>
          </w:p>
        </w:tc>
        <w:tc>
          <w:tcPr>
            <w:tcW w:w="1421" w:type="dxa"/>
            <w:gridSpan w:val="2"/>
            <w:tcMar>
              <w:left w:w="0" w:type="dxa"/>
              <w:right w:w="0" w:type="dxa"/>
            </w:tcMar>
            <w:vAlign w:val="center"/>
          </w:tcPr>
          <w:p>
            <w:pPr>
              <w:spacing w:line="200" w:lineRule="exact"/>
              <w:jc w:val="center"/>
              <w:rPr>
                <w:rFonts w:ascii="宋体" w:hAnsi="宋体"/>
                <w:b/>
                <w:sz w:val="18"/>
                <w:szCs w:val="18"/>
                <w:highlight w:val="none"/>
              </w:rPr>
            </w:pPr>
            <w:r>
              <w:rPr>
                <w:rFonts w:ascii="宋体" w:hAnsi="宋体"/>
                <w:b/>
                <w:sz w:val="18"/>
                <w:szCs w:val="18"/>
                <w:highlight w:val="none"/>
              </w:rPr>
              <w:t>噪声治理（万元）</w:t>
            </w:r>
          </w:p>
        </w:tc>
        <w:tc>
          <w:tcPr>
            <w:tcW w:w="605" w:type="dxa"/>
            <w:tcMar>
              <w:left w:w="0" w:type="dxa"/>
              <w:right w:w="0" w:type="dxa"/>
            </w:tcMar>
            <w:vAlign w:val="center"/>
          </w:tcPr>
          <w:p>
            <w:pPr>
              <w:spacing w:line="200" w:lineRule="exact"/>
              <w:jc w:val="center"/>
              <w:rPr>
                <w:rFonts w:hint="eastAsia" w:ascii="宋体" w:hAnsi="宋体" w:eastAsia="宋体"/>
                <w:sz w:val="18"/>
                <w:szCs w:val="18"/>
                <w:highlight w:val="none"/>
                <w:lang w:eastAsia="zh-CN"/>
              </w:rPr>
            </w:pPr>
            <w:r>
              <w:rPr>
                <w:rFonts w:hint="eastAsia" w:ascii="宋体" w:hAnsi="宋体"/>
                <w:sz w:val="18"/>
                <w:szCs w:val="18"/>
                <w:highlight w:val="none"/>
                <w:lang w:val="en-US" w:eastAsia="zh-CN"/>
              </w:rPr>
              <w:t>5</w:t>
            </w:r>
          </w:p>
        </w:tc>
        <w:tc>
          <w:tcPr>
            <w:tcW w:w="2241" w:type="dxa"/>
            <w:gridSpan w:val="2"/>
            <w:tcMar>
              <w:left w:w="0" w:type="dxa"/>
              <w:right w:w="0" w:type="dxa"/>
            </w:tcMar>
            <w:vAlign w:val="center"/>
          </w:tcPr>
          <w:p>
            <w:pPr>
              <w:spacing w:line="200" w:lineRule="exact"/>
              <w:jc w:val="center"/>
              <w:rPr>
                <w:rFonts w:ascii="宋体" w:hAnsi="宋体"/>
                <w:sz w:val="18"/>
                <w:szCs w:val="18"/>
                <w:highlight w:val="none"/>
              </w:rPr>
            </w:pPr>
            <w:r>
              <w:rPr>
                <w:rFonts w:ascii="宋体" w:hAnsi="宋体"/>
                <w:b/>
                <w:sz w:val="18"/>
                <w:szCs w:val="18"/>
                <w:highlight w:val="none"/>
              </w:rPr>
              <w:t>固</w:t>
            </w:r>
            <w:r>
              <w:rPr>
                <w:rFonts w:hint="eastAsia" w:ascii="宋体" w:hAnsi="宋体"/>
                <w:b/>
                <w:sz w:val="18"/>
                <w:szCs w:val="18"/>
                <w:highlight w:val="none"/>
              </w:rPr>
              <w:t>体</w:t>
            </w:r>
            <w:r>
              <w:rPr>
                <w:rFonts w:ascii="宋体" w:hAnsi="宋体"/>
                <w:b/>
                <w:sz w:val="18"/>
                <w:szCs w:val="18"/>
                <w:highlight w:val="none"/>
              </w:rPr>
              <w:t>废</w:t>
            </w:r>
            <w:r>
              <w:rPr>
                <w:rFonts w:hint="eastAsia" w:ascii="宋体" w:hAnsi="宋体"/>
                <w:b/>
                <w:sz w:val="18"/>
                <w:szCs w:val="18"/>
                <w:highlight w:val="none"/>
              </w:rPr>
              <w:t>物</w:t>
            </w:r>
            <w:r>
              <w:rPr>
                <w:rFonts w:ascii="宋体" w:hAnsi="宋体"/>
                <w:b/>
                <w:sz w:val="18"/>
                <w:szCs w:val="18"/>
                <w:highlight w:val="none"/>
              </w:rPr>
              <w:t>治理（万元）</w:t>
            </w:r>
          </w:p>
        </w:tc>
        <w:tc>
          <w:tcPr>
            <w:tcW w:w="1530" w:type="dxa"/>
            <w:tcMar>
              <w:left w:w="0" w:type="dxa"/>
              <w:right w:w="0" w:type="dxa"/>
            </w:tcMar>
            <w:vAlign w:val="center"/>
          </w:tcPr>
          <w:p>
            <w:pPr>
              <w:spacing w:line="200" w:lineRule="exact"/>
              <w:jc w:val="center"/>
              <w:rPr>
                <w:rFonts w:hint="default" w:ascii="宋体" w:hAnsi="宋体" w:eastAsia="宋体"/>
                <w:sz w:val="18"/>
                <w:szCs w:val="18"/>
                <w:highlight w:val="none"/>
                <w:lang w:val="en-US" w:eastAsia="zh-CN"/>
              </w:rPr>
            </w:pPr>
            <w:r>
              <w:rPr>
                <w:rFonts w:hint="eastAsia" w:ascii="宋体" w:hAnsi="宋体"/>
                <w:sz w:val="18"/>
                <w:szCs w:val="18"/>
                <w:highlight w:val="none"/>
                <w:lang w:val="en-US" w:eastAsia="zh-CN"/>
              </w:rPr>
              <w:t>/</w:t>
            </w:r>
          </w:p>
        </w:tc>
        <w:tc>
          <w:tcPr>
            <w:tcW w:w="1651" w:type="dxa"/>
            <w:gridSpan w:val="3"/>
            <w:tcMar>
              <w:left w:w="0" w:type="dxa"/>
              <w:right w:w="0" w:type="dxa"/>
            </w:tcMar>
            <w:vAlign w:val="center"/>
          </w:tcPr>
          <w:p>
            <w:pPr>
              <w:spacing w:line="200" w:lineRule="exact"/>
              <w:jc w:val="center"/>
              <w:rPr>
                <w:rFonts w:ascii="宋体" w:hAnsi="宋体"/>
                <w:b/>
                <w:sz w:val="18"/>
                <w:szCs w:val="18"/>
                <w:highlight w:val="none"/>
              </w:rPr>
            </w:pPr>
            <w:r>
              <w:rPr>
                <w:rFonts w:ascii="宋体" w:hAnsi="宋体"/>
                <w:b/>
                <w:sz w:val="18"/>
                <w:szCs w:val="18"/>
                <w:highlight w:val="none"/>
              </w:rPr>
              <w:t>绿化及生态（万元）</w:t>
            </w:r>
          </w:p>
        </w:tc>
        <w:tc>
          <w:tcPr>
            <w:tcW w:w="539" w:type="dxa"/>
            <w:tcMar>
              <w:left w:w="0" w:type="dxa"/>
              <w:right w:w="0" w:type="dxa"/>
            </w:tcMar>
            <w:vAlign w:val="center"/>
          </w:tcPr>
          <w:p>
            <w:pPr>
              <w:spacing w:line="200" w:lineRule="exact"/>
              <w:jc w:val="center"/>
              <w:rPr>
                <w:rFonts w:hint="eastAsia" w:ascii="宋体" w:hAnsi="宋体" w:eastAsia="宋体"/>
                <w:sz w:val="18"/>
                <w:szCs w:val="18"/>
                <w:highlight w:val="none"/>
                <w:lang w:eastAsia="zh-CN"/>
              </w:rPr>
            </w:pPr>
            <w:r>
              <w:rPr>
                <w:rFonts w:hint="eastAsia" w:ascii="宋体" w:hAnsi="宋体"/>
                <w:sz w:val="18"/>
                <w:szCs w:val="18"/>
                <w:highlight w:val="none"/>
                <w:lang w:val="en-US" w:eastAsia="zh-CN"/>
              </w:rPr>
              <w:t>/</w:t>
            </w:r>
          </w:p>
        </w:tc>
        <w:tc>
          <w:tcPr>
            <w:tcW w:w="1061" w:type="dxa"/>
            <w:gridSpan w:val="2"/>
            <w:tcMar>
              <w:left w:w="0" w:type="dxa"/>
              <w:right w:w="0" w:type="dxa"/>
            </w:tcMar>
            <w:vAlign w:val="center"/>
          </w:tcPr>
          <w:p>
            <w:pPr>
              <w:spacing w:line="200" w:lineRule="exact"/>
              <w:jc w:val="center"/>
              <w:rPr>
                <w:rFonts w:ascii="宋体" w:hAnsi="宋体"/>
                <w:b/>
                <w:sz w:val="18"/>
                <w:szCs w:val="18"/>
                <w:highlight w:val="none"/>
              </w:rPr>
            </w:pPr>
            <w:r>
              <w:rPr>
                <w:rFonts w:ascii="宋体" w:hAnsi="宋体"/>
                <w:b/>
                <w:sz w:val="18"/>
                <w:szCs w:val="18"/>
                <w:highlight w:val="none"/>
              </w:rPr>
              <w:t>其</w:t>
            </w:r>
            <w:r>
              <w:rPr>
                <w:rFonts w:hint="eastAsia" w:ascii="宋体" w:hAnsi="宋体"/>
                <w:b/>
                <w:sz w:val="18"/>
                <w:szCs w:val="18"/>
                <w:highlight w:val="none"/>
              </w:rPr>
              <w:t>他</w:t>
            </w:r>
            <w:r>
              <w:rPr>
                <w:rFonts w:ascii="宋体" w:hAnsi="宋体"/>
                <w:b/>
                <w:sz w:val="18"/>
                <w:szCs w:val="18"/>
                <w:highlight w:val="none"/>
              </w:rPr>
              <w:t>（万元）</w:t>
            </w:r>
          </w:p>
        </w:tc>
        <w:tc>
          <w:tcPr>
            <w:tcW w:w="767" w:type="dxa"/>
            <w:tcMar>
              <w:left w:w="0" w:type="dxa"/>
              <w:right w:w="0" w:type="dxa"/>
            </w:tcMar>
            <w:vAlign w:val="center"/>
          </w:tcPr>
          <w:p>
            <w:pPr>
              <w:spacing w:line="200" w:lineRule="exact"/>
              <w:jc w:val="center"/>
              <w:rPr>
                <w:rFonts w:hint="default" w:ascii="宋体" w:hAnsi="宋体" w:eastAsia="宋体"/>
                <w:sz w:val="18"/>
                <w:szCs w:val="18"/>
                <w:highlight w:val="none"/>
                <w:lang w:val="en-US" w:eastAsia="zh-CN"/>
              </w:rPr>
            </w:pPr>
            <w:r>
              <w:rPr>
                <w:rFonts w:hint="eastAsia" w:ascii="宋体" w:hAnsi="宋体"/>
                <w:sz w:val="18"/>
                <w:szCs w:val="18"/>
                <w:highlight w:val="none"/>
                <w:lang w:val="en-US" w:eastAsia="zh-CN"/>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57" w:hRule="atLeast"/>
          <w:jc w:val="center"/>
        </w:trPr>
        <w:tc>
          <w:tcPr>
            <w:tcW w:w="417" w:type="dxa"/>
            <w:vMerge w:val="continue"/>
            <w:tcMar>
              <w:left w:w="0" w:type="dxa"/>
              <w:right w:w="0" w:type="dxa"/>
            </w:tcMar>
            <w:vAlign w:val="center"/>
          </w:tcPr>
          <w:p>
            <w:pPr>
              <w:spacing w:line="200" w:lineRule="exact"/>
              <w:jc w:val="center"/>
              <w:rPr>
                <w:rFonts w:ascii="宋体" w:hAnsi="宋体"/>
                <w:sz w:val="18"/>
                <w:szCs w:val="18"/>
                <w:highlight w:val="yellow"/>
              </w:rPr>
            </w:pPr>
          </w:p>
        </w:tc>
        <w:tc>
          <w:tcPr>
            <w:tcW w:w="1891" w:type="dxa"/>
            <w:gridSpan w:val="2"/>
            <w:tcMar>
              <w:left w:w="0" w:type="dxa"/>
              <w:right w:w="0" w:type="dxa"/>
            </w:tcMar>
            <w:vAlign w:val="center"/>
          </w:tcPr>
          <w:p>
            <w:pPr>
              <w:spacing w:line="200" w:lineRule="exact"/>
              <w:jc w:val="center"/>
              <w:rPr>
                <w:rFonts w:ascii="宋体" w:hAnsi="宋体"/>
                <w:sz w:val="18"/>
                <w:szCs w:val="18"/>
                <w:highlight w:val="none"/>
              </w:rPr>
            </w:pPr>
            <w:r>
              <w:rPr>
                <w:rFonts w:ascii="宋体" w:hAnsi="宋体"/>
                <w:b/>
                <w:sz w:val="18"/>
                <w:szCs w:val="18"/>
                <w:highlight w:val="none"/>
              </w:rPr>
              <w:t>新增废水处理设施能力</w:t>
            </w:r>
          </w:p>
        </w:tc>
        <w:tc>
          <w:tcPr>
            <w:tcW w:w="5200" w:type="dxa"/>
            <w:gridSpan w:val="6"/>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p>
        </w:tc>
        <w:tc>
          <w:tcPr>
            <w:tcW w:w="2241" w:type="dxa"/>
            <w:gridSpan w:val="2"/>
            <w:tcMar>
              <w:left w:w="0" w:type="dxa"/>
              <w:right w:w="0" w:type="dxa"/>
            </w:tcMar>
            <w:vAlign w:val="center"/>
          </w:tcPr>
          <w:p>
            <w:pPr>
              <w:spacing w:line="200" w:lineRule="exact"/>
              <w:jc w:val="center"/>
              <w:rPr>
                <w:rFonts w:ascii="宋体" w:hAnsi="宋体"/>
                <w:sz w:val="18"/>
                <w:szCs w:val="18"/>
                <w:highlight w:val="none"/>
              </w:rPr>
            </w:pPr>
            <w:r>
              <w:rPr>
                <w:rFonts w:ascii="宋体" w:hAnsi="宋体"/>
                <w:b/>
                <w:sz w:val="18"/>
                <w:szCs w:val="18"/>
                <w:highlight w:val="none"/>
              </w:rPr>
              <w:t>新增废气处理设施能力</w:t>
            </w:r>
          </w:p>
        </w:tc>
        <w:tc>
          <w:tcPr>
            <w:tcW w:w="1530"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p>
        </w:tc>
        <w:tc>
          <w:tcPr>
            <w:tcW w:w="1651" w:type="dxa"/>
            <w:gridSpan w:val="3"/>
            <w:tcMar>
              <w:left w:w="0" w:type="dxa"/>
              <w:right w:w="0" w:type="dxa"/>
            </w:tcMar>
            <w:vAlign w:val="center"/>
          </w:tcPr>
          <w:p>
            <w:pPr>
              <w:spacing w:line="200" w:lineRule="exact"/>
              <w:jc w:val="center"/>
              <w:rPr>
                <w:rFonts w:ascii="宋体" w:hAnsi="宋体"/>
                <w:sz w:val="18"/>
                <w:szCs w:val="18"/>
                <w:highlight w:val="none"/>
              </w:rPr>
            </w:pPr>
            <w:r>
              <w:rPr>
                <w:rFonts w:ascii="宋体" w:hAnsi="宋体"/>
                <w:b/>
                <w:sz w:val="18"/>
                <w:szCs w:val="18"/>
                <w:highlight w:val="none"/>
              </w:rPr>
              <w:t>年平均工作时</w:t>
            </w:r>
          </w:p>
        </w:tc>
        <w:tc>
          <w:tcPr>
            <w:tcW w:w="2367" w:type="dxa"/>
            <w:gridSpan w:val="4"/>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b w:val="0"/>
                <w:bCs/>
                <w:sz w:val="18"/>
                <w:szCs w:val="18"/>
                <w:highlight w:val="none"/>
                <w:lang w:val="en-US" w:eastAsia="zh-CN"/>
              </w:rPr>
              <w:t>4800</w:t>
            </w:r>
            <w:r>
              <w:rPr>
                <w:rFonts w:ascii="宋体" w:hAnsi="宋体"/>
                <w:b w:val="0"/>
                <w:bCs/>
                <w:sz w:val="18"/>
                <w:szCs w:val="18"/>
                <w:highlight w:val="none"/>
              </w:rPr>
              <w:t>h/a</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05" w:hRule="atLeast"/>
          <w:jc w:val="center"/>
        </w:trPr>
        <w:tc>
          <w:tcPr>
            <w:tcW w:w="2308" w:type="dxa"/>
            <w:gridSpan w:val="3"/>
            <w:tcMar>
              <w:left w:w="0" w:type="dxa"/>
              <w:right w:w="0" w:type="dxa"/>
            </w:tcMar>
            <w:vAlign w:val="center"/>
          </w:tcPr>
          <w:p>
            <w:pPr>
              <w:spacing w:line="200" w:lineRule="exact"/>
              <w:jc w:val="center"/>
              <w:rPr>
                <w:rFonts w:ascii="宋体" w:hAnsi="宋体"/>
                <w:b/>
                <w:sz w:val="18"/>
                <w:szCs w:val="18"/>
                <w:highlight w:val="none"/>
              </w:rPr>
            </w:pPr>
            <w:r>
              <w:rPr>
                <w:rFonts w:ascii="宋体" w:hAnsi="宋体"/>
                <w:b/>
                <w:sz w:val="18"/>
                <w:szCs w:val="18"/>
                <w:highlight w:val="none"/>
              </w:rPr>
              <w:t>运营单位</w:t>
            </w:r>
          </w:p>
        </w:tc>
        <w:tc>
          <w:tcPr>
            <w:tcW w:w="4132" w:type="dxa"/>
            <w:gridSpan w:val="4"/>
            <w:tcMar>
              <w:left w:w="0" w:type="dxa"/>
              <w:right w:w="0" w:type="dxa"/>
            </w:tcMar>
            <w:vAlign w:val="center"/>
          </w:tcPr>
          <w:p>
            <w:pPr>
              <w:spacing w:line="200" w:lineRule="exact"/>
              <w:jc w:val="center"/>
              <w:rPr>
                <w:rFonts w:hint="eastAsia" w:ascii="宋体" w:hAnsi="宋体" w:eastAsia="宋体"/>
                <w:sz w:val="18"/>
                <w:szCs w:val="18"/>
                <w:highlight w:val="none"/>
                <w:lang w:eastAsia="zh-CN"/>
              </w:rPr>
            </w:pPr>
            <w:r>
              <w:rPr>
                <w:rFonts w:hint="eastAsia" w:ascii="宋体" w:hAnsi="宋体"/>
                <w:sz w:val="18"/>
                <w:szCs w:val="18"/>
                <w:highlight w:val="none"/>
                <w:lang w:eastAsia="zh-CN"/>
              </w:rPr>
              <w:t>芜湖永达科技有限公司</w:t>
            </w:r>
          </w:p>
        </w:tc>
        <w:tc>
          <w:tcPr>
            <w:tcW w:w="3309" w:type="dxa"/>
            <w:gridSpan w:val="4"/>
            <w:tcMar>
              <w:left w:w="0" w:type="dxa"/>
              <w:right w:w="0" w:type="dxa"/>
            </w:tcMar>
            <w:vAlign w:val="center"/>
          </w:tcPr>
          <w:p>
            <w:pPr>
              <w:spacing w:line="200" w:lineRule="exact"/>
              <w:jc w:val="center"/>
              <w:rPr>
                <w:rFonts w:ascii="宋体" w:hAnsi="宋体"/>
                <w:sz w:val="18"/>
                <w:szCs w:val="18"/>
                <w:highlight w:val="none"/>
              </w:rPr>
            </w:pPr>
            <w:r>
              <w:rPr>
                <w:rFonts w:ascii="宋体" w:hAnsi="宋体"/>
                <w:b/>
                <w:sz w:val="18"/>
                <w:szCs w:val="18"/>
                <w:highlight w:val="none"/>
              </w:rPr>
              <w:t>运营单位</w:t>
            </w:r>
            <w:r>
              <w:rPr>
                <w:rFonts w:hint="eastAsia" w:ascii="宋体" w:hAnsi="宋体"/>
                <w:b/>
                <w:sz w:val="18"/>
                <w:szCs w:val="18"/>
                <w:highlight w:val="none"/>
              </w:rPr>
              <w:t>社会统一信用代码（或组织机构代码）</w:t>
            </w:r>
          </w:p>
        </w:tc>
        <w:tc>
          <w:tcPr>
            <w:tcW w:w="1530"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9134020074307211X2</w:t>
            </w:r>
          </w:p>
        </w:tc>
        <w:tc>
          <w:tcPr>
            <w:tcW w:w="1651" w:type="dxa"/>
            <w:gridSpan w:val="3"/>
            <w:tcMar>
              <w:left w:w="0" w:type="dxa"/>
              <w:right w:w="0" w:type="dxa"/>
            </w:tcMar>
            <w:vAlign w:val="center"/>
          </w:tcPr>
          <w:p>
            <w:pPr>
              <w:spacing w:line="200" w:lineRule="exact"/>
              <w:jc w:val="center"/>
              <w:rPr>
                <w:rFonts w:ascii="宋体" w:hAnsi="宋体"/>
                <w:b/>
                <w:sz w:val="18"/>
                <w:szCs w:val="18"/>
                <w:highlight w:val="none"/>
              </w:rPr>
            </w:pPr>
            <w:r>
              <w:rPr>
                <w:rFonts w:ascii="宋体" w:hAnsi="宋体"/>
                <w:b/>
                <w:sz w:val="18"/>
                <w:szCs w:val="18"/>
                <w:highlight w:val="none"/>
              </w:rPr>
              <w:t>验收时间</w:t>
            </w:r>
          </w:p>
        </w:tc>
        <w:tc>
          <w:tcPr>
            <w:tcW w:w="2367" w:type="dxa"/>
            <w:gridSpan w:val="4"/>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lang w:val="en-US" w:eastAsia="zh-CN"/>
              </w:rPr>
              <w:t>2020</w:t>
            </w:r>
            <w:r>
              <w:rPr>
                <w:rFonts w:hint="eastAsia" w:ascii="宋体" w:hAnsi="宋体"/>
                <w:sz w:val="18"/>
                <w:szCs w:val="18"/>
                <w:highlight w:val="none"/>
              </w:rPr>
              <w:t>年</w:t>
            </w:r>
            <w:r>
              <w:rPr>
                <w:rFonts w:hint="eastAsia" w:ascii="宋体" w:hAnsi="宋体"/>
                <w:sz w:val="18"/>
                <w:szCs w:val="18"/>
                <w:highlight w:val="none"/>
                <w:lang w:val="en-US" w:eastAsia="zh-CN"/>
              </w:rPr>
              <w:t>7</w:t>
            </w:r>
            <w:r>
              <w:rPr>
                <w:rFonts w:hint="eastAsia" w:ascii="宋体" w:hAnsi="宋体"/>
                <w:sz w:val="18"/>
                <w:szCs w:val="18"/>
                <w:highlight w:val="none"/>
              </w:rPr>
              <w:t>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603" w:hRule="atLeast"/>
          <w:jc w:val="center"/>
        </w:trPr>
        <w:tc>
          <w:tcPr>
            <w:tcW w:w="579" w:type="dxa"/>
            <w:gridSpan w:val="2"/>
            <w:vMerge w:val="restart"/>
            <w:tcMar>
              <w:left w:w="0" w:type="dxa"/>
              <w:right w:w="0" w:type="dxa"/>
            </w:tcMar>
            <w:vAlign w:val="center"/>
          </w:tcPr>
          <w:p>
            <w:pPr>
              <w:spacing w:line="200" w:lineRule="exact"/>
              <w:jc w:val="center"/>
              <w:rPr>
                <w:rFonts w:ascii="宋体" w:hAnsi="宋体"/>
                <w:b/>
                <w:spacing w:val="20"/>
                <w:sz w:val="18"/>
                <w:szCs w:val="18"/>
                <w:highlight w:val="none"/>
              </w:rPr>
            </w:pPr>
            <w:r>
              <w:rPr>
                <w:rFonts w:ascii="宋体" w:hAnsi="宋体"/>
                <w:b/>
                <w:spacing w:val="20"/>
                <w:sz w:val="18"/>
                <w:szCs w:val="18"/>
                <w:highlight w:val="none"/>
              </w:rPr>
              <w:t>污染</w:t>
            </w:r>
          </w:p>
          <w:p>
            <w:pPr>
              <w:spacing w:line="200" w:lineRule="exact"/>
              <w:jc w:val="center"/>
              <w:rPr>
                <w:rFonts w:ascii="宋体" w:hAnsi="宋体"/>
                <w:b/>
                <w:spacing w:val="20"/>
                <w:sz w:val="18"/>
                <w:szCs w:val="18"/>
                <w:highlight w:val="none"/>
              </w:rPr>
            </w:pPr>
            <w:r>
              <w:rPr>
                <w:rFonts w:ascii="宋体" w:hAnsi="宋体"/>
                <w:b/>
                <w:spacing w:val="20"/>
                <w:sz w:val="18"/>
                <w:szCs w:val="18"/>
                <w:highlight w:val="none"/>
              </w:rPr>
              <w:t>物排</w:t>
            </w:r>
          </w:p>
          <w:p>
            <w:pPr>
              <w:spacing w:line="200" w:lineRule="exact"/>
              <w:jc w:val="center"/>
              <w:rPr>
                <w:rFonts w:ascii="宋体" w:hAnsi="宋体"/>
                <w:b/>
                <w:spacing w:val="20"/>
                <w:sz w:val="18"/>
                <w:szCs w:val="18"/>
                <w:highlight w:val="none"/>
              </w:rPr>
            </w:pPr>
            <w:r>
              <w:rPr>
                <w:rFonts w:ascii="宋体" w:hAnsi="宋体"/>
                <w:b/>
                <w:spacing w:val="20"/>
                <w:sz w:val="18"/>
                <w:szCs w:val="18"/>
                <w:highlight w:val="none"/>
              </w:rPr>
              <w:t>放达</w:t>
            </w:r>
          </w:p>
          <w:p>
            <w:pPr>
              <w:spacing w:line="200" w:lineRule="exact"/>
              <w:jc w:val="center"/>
              <w:rPr>
                <w:rFonts w:ascii="宋体" w:hAnsi="宋体"/>
                <w:b/>
                <w:spacing w:val="20"/>
                <w:sz w:val="18"/>
                <w:szCs w:val="18"/>
                <w:highlight w:val="none"/>
              </w:rPr>
            </w:pPr>
            <w:r>
              <w:rPr>
                <w:rFonts w:ascii="宋体" w:hAnsi="宋体"/>
                <w:b/>
                <w:spacing w:val="20"/>
                <w:sz w:val="18"/>
                <w:szCs w:val="18"/>
                <w:highlight w:val="none"/>
              </w:rPr>
              <w:t>标与</w:t>
            </w:r>
          </w:p>
          <w:p>
            <w:pPr>
              <w:spacing w:line="200" w:lineRule="exact"/>
              <w:jc w:val="center"/>
              <w:rPr>
                <w:rFonts w:ascii="宋体" w:hAnsi="宋体"/>
                <w:b/>
                <w:spacing w:val="20"/>
                <w:sz w:val="18"/>
                <w:szCs w:val="18"/>
                <w:highlight w:val="none"/>
              </w:rPr>
            </w:pPr>
            <w:r>
              <w:rPr>
                <w:rFonts w:ascii="宋体" w:hAnsi="宋体"/>
                <w:b/>
                <w:spacing w:val="20"/>
                <w:sz w:val="18"/>
                <w:szCs w:val="18"/>
                <w:highlight w:val="none"/>
              </w:rPr>
              <w:t>总量</w:t>
            </w:r>
          </w:p>
          <w:p>
            <w:pPr>
              <w:spacing w:line="200" w:lineRule="exact"/>
              <w:jc w:val="center"/>
              <w:rPr>
                <w:rFonts w:ascii="宋体" w:hAnsi="宋体"/>
                <w:b/>
                <w:spacing w:val="20"/>
                <w:sz w:val="18"/>
                <w:szCs w:val="18"/>
                <w:highlight w:val="none"/>
              </w:rPr>
            </w:pPr>
            <w:r>
              <w:rPr>
                <w:rFonts w:ascii="宋体" w:hAnsi="宋体"/>
                <w:b/>
                <w:spacing w:val="20"/>
                <w:sz w:val="18"/>
                <w:szCs w:val="18"/>
                <w:highlight w:val="none"/>
              </w:rPr>
              <w:t>控制（工</w:t>
            </w:r>
          </w:p>
          <w:p>
            <w:pPr>
              <w:spacing w:line="200" w:lineRule="exact"/>
              <w:jc w:val="center"/>
              <w:rPr>
                <w:rFonts w:ascii="宋体" w:hAnsi="宋体"/>
                <w:b/>
                <w:spacing w:val="20"/>
                <w:sz w:val="18"/>
                <w:szCs w:val="18"/>
                <w:highlight w:val="none"/>
              </w:rPr>
            </w:pPr>
            <w:r>
              <w:rPr>
                <w:rFonts w:ascii="宋体" w:hAnsi="宋体"/>
                <w:b/>
                <w:spacing w:val="20"/>
                <w:sz w:val="18"/>
                <w:szCs w:val="18"/>
                <w:highlight w:val="none"/>
              </w:rPr>
              <w:t>业建</w:t>
            </w:r>
          </w:p>
          <w:p>
            <w:pPr>
              <w:spacing w:line="200" w:lineRule="exact"/>
              <w:jc w:val="center"/>
              <w:rPr>
                <w:rFonts w:ascii="宋体" w:hAnsi="宋体"/>
                <w:b/>
                <w:spacing w:val="20"/>
                <w:sz w:val="18"/>
                <w:szCs w:val="18"/>
                <w:highlight w:val="none"/>
              </w:rPr>
            </w:pPr>
            <w:r>
              <w:rPr>
                <w:rFonts w:ascii="宋体" w:hAnsi="宋体"/>
                <w:b/>
                <w:spacing w:val="20"/>
                <w:sz w:val="18"/>
                <w:szCs w:val="18"/>
                <w:highlight w:val="none"/>
              </w:rPr>
              <w:t>设项</w:t>
            </w:r>
          </w:p>
          <w:p>
            <w:pPr>
              <w:spacing w:line="200" w:lineRule="exact"/>
              <w:jc w:val="center"/>
              <w:rPr>
                <w:rFonts w:ascii="宋体" w:hAnsi="宋体"/>
                <w:b/>
                <w:spacing w:val="20"/>
                <w:sz w:val="18"/>
                <w:szCs w:val="18"/>
                <w:highlight w:val="none"/>
              </w:rPr>
            </w:pPr>
            <w:r>
              <w:rPr>
                <w:rFonts w:ascii="宋体" w:hAnsi="宋体"/>
                <w:b/>
                <w:spacing w:val="20"/>
                <w:sz w:val="18"/>
                <w:szCs w:val="18"/>
                <w:highlight w:val="none"/>
              </w:rPr>
              <w:t>目详填）</w:t>
            </w:r>
          </w:p>
        </w:tc>
        <w:tc>
          <w:tcPr>
            <w:tcW w:w="1729" w:type="dxa"/>
            <w:tcMar>
              <w:left w:w="0" w:type="dxa"/>
              <w:right w:w="0" w:type="dxa"/>
            </w:tcMar>
            <w:vAlign w:val="center"/>
          </w:tcPr>
          <w:p>
            <w:pPr>
              <w:spacing w:line="200" w:lineRule="exact"/>
              <w:jc w:val="center"/>
              <w:rPr>
                <w:rFonts w:ascii="宋体" w:hAnsi="宋体"/>
                <w:sz w:val="18"/>
                <w:szCs w:val="18"/>
                <w:highlight w:val="none"/>
              </w:rPr>
            </w:pPr>
            <w:r>
              <w:rPr>
                <w:rFonts w:ascii="宋体" w:hAnsi="宋体"/>
                <w:b/>
                <w:sz w:val="18"/>
                <w:szCs w:val="18"/>
                <w:highlight w:val="none"/>
              </w:rPr>
              <w:t>污染物</w:t>
            </w:r>
          </w:p>
        </w:tc>
        <w:tc>
          <w:tcPr>
            <w:tcW w:w="795" w:type="dxa"/>
            <w:tcMar>
              <w:left w:w="0" w:type="dxa"/>
              <w:right w:w="0" w:type="dxa"/>
            </w:tcMar>
            <w:vAlign w:val="center"/>
          </w:tcPr>
          <w:p>
            <w:pPr>
              <w:spacing w:line="200" w:lineRule="exact"/>
              <w:jc w:val="center"/>
              <w:rPr>
                <w:rFonts w:ascii="宋体" w:hAnsi="宋体"/>
                <w:b/>
                <w:sz w:val="18"/>
                <w:szCs w:val="18"/>
                <w:highlight w:val="none"/>
              </w:rPr>
            </w:pPr>
            <w:r>
              <w:rPr>
                <w:rFonts w:ascii="宋体" w:hAnsi="宋体"/>
                <w:b/>
                <w:sz w:val="18"/>
                <w:szCs w:val="18"/>
                <w:highlight w:val="none"/>
              </w:rPr>
              <w:t>原有排</w:t>
            </w:r>
          </w:p>
          <w:p>
            <w:pPr>
              <w:spacing w:line="200" w:lineRule="exact"/>
              <w:jc w:val="center"/>
              <w:rPr>
                <w:rFonts w:ascii="宋体" w:hAnsi="宋体"/>
                <w:b/>
                <w:sz w:val="18"/>
                <w:szCs w:val="18"/>
                <w:highlight w:val="none"/>
              </w:rPr>
            </w:pPr>
            <w:r>
              <w:rPr>
                <w:rFonts w:ascii="宋体" w:hAnsi="宋体"/>
                <w:b/>
                <w:sz w:val="18"/>
                <w:szCs w:val="18"/>
                <w:highlight w:val="none"/>
              </w:rPr>
              <w:t>放量(1)</w:t>
            </w:r>
          </w:p>
        </w:tc>
        <w:tc>
          <w:tcPr>
            <w:tcW w:w="1327" w:type="dxa"/>
            <w:tcMar>
              <w:left w:w="0" w:type="dxa"/>
              <w:right w:w="0" w:type="dxa"/>
            </w:tcMar>
            <w:vAlign w:val="center"/>
          </w:tcPr>
          <w:p>
            <w:pPr>
              <w:spacing w:line="200" w:lineRule="exact"/>
              <w:jc w:val="center"/>
              <w:rPr>
                <w:rFonts w:ascii="宋体" w:hAnsi="宋体"/>
                <w:b/>
                <w:sz w:val="18"/>
                <w:szCs w:val="18"/>
                <w:highlight w:val="none"/>
              </w:rPr>
            </w:pPr>
            <w:r>
              <w:rPr>
                <w:rFonts w:ascii="宋体" w:hAnsi="宋体"/>
                <w:b/>
                <w:sz w:val="18"/>
                <w:szCs w:val="18"/>
                <w:highlight w:val="none"/>
              </w:rPr>
              <w:t>本期工程实际排放浓度(2)</w:t>
            </w:r>
          </w:p>
        </w:tc>
        <w:tc>
          <w:tcPr>
            <w:tcW w:w="1052" w:type="dxa"/>
            <w:tcMar>
              <w:left w:w="0" w:type="dxa"/>
              <w:right w:w="0" w:type="dxa"/>
            </w:tcMar>
            <w:vAlign w:val="center"/>
          </w:tcPr>
          <w:p>
            <w:pPr>
              <w:spacing w:line="200" w:lineRule="exact"/>
              <w:jc w:val="center"/>
              <w:rPr>
                <w:rFonts w:ascii="宋体" w:hAnsi="宋体"/>
                <w:b/>
                <w:sz w:val="18"/>
                <w:szCs w:val="18"/>
                <w:highlight w:val="none"/>
              </w:rPr>
            </w:pPr>
            <w:r>
              <w:rPr>
                <w:rFonts w:ascii="宋体" w:hAnsi="宋体"/>
                <w:b/>
                <w:sz w:val="18"/>
                <w:szCs w:val="18"/>
                <w:highlight w:val="none"/>
              </w:rPr>
              <w:t>本期工程允许排放浓度(3)</w:t>
            </w:r>
          </w:p>
        </w:tc>
        <w:tc>
          <w:tcPr>
            <w:tcW w:w="958" w:type="dxa"/>
            <w:tcMar>
              <w:left w:w="0" w:type="dxa"/>
              <w:right w:w="0" w:type="dxa"/>
            </w:tcMar>
            <w:vAlign w:val="center"/>
          </w:tcPr>
          <w:p>
            <w:pPr>
              <w:spacing w:line="200" w:lineRule="exact"/>
              <w:jc w:val="center"/>
              <w:rPr>
                <w:rFonts w:ascii="宋体" w:hAnsi="宋体"/>
                <w:b/>
                <w:sz w:val="18"/>
                <w:szCs w:val="18"/>
                <w:highlight w:val="none"/>
              </w:rPr>
            </w:pPr>
            <w:r>
              <w:rPr>
                <w:rFonts w:ascii="宋体" w:hAnsi="宋体"/>
                <w:b/>
                <w:sz w:val="18"/>
                <w:szCs w:val="18"/>
                <w:highlight w:val="none"/>
              </w:rPr>
              <w:t>本期工程产生量(4)</w:t>
            </w:r>
          </w:p>
        </w:tc>
        <w:tc>
          <w:tcPr>
            <w:tcW w:w="1068" w:type="dxa"/>
            <w:gridSpan w:val="2"/>
            <w:tcMar>
              <w:left w:w="0" w:type="dxa"/>
              <w:right w:w="0" w:type="dxa"/>
            </w:tcMar>
            <w:vAlign w:val="center"/>
          </w:tcPr>
          <w:p>
            <w:pPr>
              <w:spacing w:line="200" w:lineRule="exact"/>
              <w:jc w:val="center"/>
              <w:rPr>
                <w:rFonts w:ascii="宋体" w:hAnsi="宋体"/>
                <w:b/>
                <w:sz w:val="18"/>
                <w:szCs w:val="18"/>
                <w:highlight w:val="none"/>
              </w:rPr>
            </w:pPr>
            <w:r>
              <w:rPr>
                <w:rFonts w:ascii="宋体" w:hAnsi="宋体"/>
                <w:b/>
                <w:sz w:val="18"/>
                <w:szCs w:val="18"/>
                <w:highlight w:val="none"/>
              </w:rPr>
              <w:t>本期工程自身削减量(5)</w:t>
            </w:r>
          </w:p>
        </w:tc>
        <w:tc>
          <w:tcPr>
            <w:tcW w:w="1092" w:type="dxa"/>
            <w:tcMar>
              <w:left w:w="0" w:type="dxa"/>
              <w:right w:w="0" w:type="dxa"/>
            </w:tcMar>
            <w:vAlign w:val="center"/>
          </w:tcPr>
          <w:p>
            <w:pPr>
              <w:spacing w:line="200" w:lineRule="exact"/>
              <w:jc w:val="center"/>
              <w:rPr>
                <w:rFonts w:ascii="宋体" w:hAnsi="宋体"/>
                <w:b/>
                <w:sz w:val="18"/>
                <w:szCs w:val="18"/>
                <w:highlight w:val="none"/>
              </w:rPr>
            </w:pPr>
            <w:r>
              <w:rPr>
                <w:rFonts w:ascii="宋体" w:hAnsi="宋体"/>
                <w:b/>
                <w:sz w:val="18"/>
                <w:szCs w:val="18"/>
                <w:highlight w:val="none"/>
              </w:rPr>
              <w:t>本期工程实际排放量(6)</w:t>
            </w:r>
          </w:p>
        </w:tc>
        <w:tc>
          <w:tcPr>
            <w:tcW w:w="1149" w:type="dxa"/>
            <w:tcMar>
              <w:left w:w="0" w:type="dxa"/>
              <w:right w:w="0" w:type="dxa"/>
            </w:tcMar>
            <w:vAlign w:val="center"/>
          </w:tcPr>
          <w:p>
            <w:pPr>
              <w:spacing w:line="200" w:lineRule="exact"/>
              <w:jc w:val="center"/>
              <w:rPr>
                <w:rFonts w:ascii="宋体" w:hAnsi="宋体"/>
                <w:b/>
                <w:sz w:val="18"/>
                <w:szCs w:val="18"/>
                <w:highlight w:val="none"/>
              </w:rPr>
            </w:pPr>
            <w:r>
              <w:rPr>
                <w:rFonts w:ascii="宋体" w:hAnsi="宋体"/>
                <w:b/>
                <w:sz w:val="18"/>
                <w:szCs w:val="18"/>
                <w:highlight w:val="none"/>
              </w:rPr>
              <w:t>本期工程核定排放总量(7)</w:t>
            </w:r>
          </w:p>
        </w:tc>
        <w:tc>
          <w:tcPr>
            <w:tcW w:w="1530" w:type="dxa"/>
            <w:tcMar>
              <w:left w:w="0" w:type="dxa"/>
              <w:right w:w="0" w:type="dxa"/>
            </w:tcMar>
            <w:vAlign w:val="center"/>
          </w:tcPr>
          <w:p>
            <w:pPr>
              <w:spacing w:line="200" w:lineRule="exact"/>
              <w:jc w:val="center"/>
              <w:rPr>
                <w:rFonts w:ascii="宋体" w:hAnsi="宋体"/>
                <w:b/>
                <w:sz w:val="18"/>
                <w:szCs w:val="18"/>
                <w:highlight w:val="none"/>
              </w:rPr>
            </w:pPr>
            <w:r>
              <w:rPr>
                <w:rFonts w:ascii="宋体" w:hAnsi="宋体"/>
                <w:b/>
                <w:sz w:val="18"/>
                <w:szCs w:val="18"/>
                <w:highlight w:val="none"/>
              </w:rPr>
              <w:t>本期工程“以新带老”削减量(8)</w:t>
            </w:r>
          </w:p>
        </w:tc>
        <w:tc>
          <w:tcPr>
            <w:tcW w:w="986" w:type="dxa"/>
            <w:gridSpan w:val="2"/>
            <w:tcMar>
              <w:left w:w="0" w:type="dxa"/>
              <w:right w:w="0" w:type="dxa"/>
            </w:tcMar>
            <w:vAlign w:val="center"/>
          </w:tcPr>
          <w:p>
            <w:pPr>
              <w:spacing w:line="200" w:lineRule="exact"/>
              <w:jc w:val="center"/>
              <w:rPr>
                <w:rFonts w:ascii="宋体" w:hAnsi="宋体"/>
                <w:b/>
                <w:sz w:val="18"/>
                <w:szCs w:val="18"/>
                <w:highlight w:val="none"/>
              </w:rPr>
            </w:pPr>
            <w:r>
              <w:rPr>
                <w:rFonts w:ascii="宋体" w:hAnsi="宋体"/>
                <w:b/>
                <w:sz w:val="18"/>
                <w:szCs w:val="18"/>
                <w:highlight w:val="none"/>
              </w:rPr>
              <w:t>全厂实际排放总量(9)</w:t>
            </w:r>
          </w:p>
        </w:tc>
        <w:tc>
          <w:tcPr>
            <w:tcW w:w="1204" w:type="dxa"/>
            <w:gridSpan w:val="2"/>
            <w:tcMar>
              <w:left w:w="0" w:type="dxa"/>
              <w:right w:w="0" w:type="dxa"/>
            </w:tcMar>
            <w:vAlign w:val="center"/>
          </w:tcPr>
          <w:p>
            <w:pPr>
              <w:spacing w:line="200" w:lineRule="exact"/>
              <w:jc w:val="center"/>
              <w:rPr>
                <w:rFonts w:ascii="宋体" w:hAnsi="宋体"/>
                <w:b/>
                <w:sz w:val="18"/>
                <w:szCs w:val="18"/>
                <w:highlight w:val="none"/>
              </w:rPr>
            </w:pPr>
            <w:r>
              <w:rPr>
                <w:rFonts w:ascii="宋体" w:hAnsi="宋体"/>
                <w:b/>
                <w:sz w:val="18"/>
                <w:szCs w:val="18"/>
                <w:highlight w:val="none"/>
              </w:rPr>
              <w:t>全厂核定排放总量(10)</w:t>
            </w:r>
          </w:p>
        </w:tc>
        <w:tc>
          <w:tcPr>
            <w:tcW w:w="1061" w:type="dxa"/>
            <w:gridSpan w:val="2"/>
            <w:tcMar>
              <w:left w:w="0" w:type="dxa"/>
              <w:right w:w="0" w:type="dxa"/>
            </w:tcMar>
            <w:vAlign w:val="center"/>
          </w:tcPr>
          <w:p>
            <w:pPr>
              <w:spacing w:line="200" w:lineRule="exact"/>
              <w:jc w:val="center"/>
              <w:rPr>
                <w:rFonts w:ascii="宋体" w:hAnsi="宋体"/>
                <w:b/>
                <w:sz w:val="18"/>
                <w:szCs w:val="18"/>
                <w:highlight w:val="none"/>
              </w:rPr>
            </w:pPr>
            <w:r>
              <w:rPr>
                <w:rFonts w:ascii="宋体" w:hAnsi="宋体"/>
                <w:b/>
                <w:sz w:val="18"/>
                <w:szCs w:val="18"/>
                <w:highlight w:val="none"/>
              </w:rPr>
              <w:t>区域平衡替代削减量(11)</w:t>
            </w:r>
          </w:p>
        </w:tc>
        <w:tc>
          <w:tcPr>
            <w:tcW w:w="767" w:type="dxa"/>
            <w:tcMar>
              <w:left w:w="0" w:type="dxa"/>
              <w:right w:w="0" w:type="dxa"/>
            </w:tcMar>
            <w:vAlign w:val="center"/>
          </w:tcPr>
          <w:p>
            <w:pPr>
              <w:spacing w:line="200" w:lineRule="exact"/>
              <w:jc w:val="center"/>
              <w:rPr>
                <w:rFonts w:ascii="宋体" w:hAnsi="宋体"/>
                <w:b/>
                <w:sz w:val="18"/>
                <w:szCs w:val="18"/>
                <w:highlight w:val="none"/>
              </w:rPr>
            </w:pPr>
            <w:r>
              <w:rPr>
                <w:rFonts w:ascii="宋体" w:hAnsi="宋体"/>
                <w:b/>
                <w:sz w:val="18"/>
                <w:szCs w:val="18"/>
                <w:highlight w:val="none"/>
              </w:rPr>
              <w:t>排放增减量(12)</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67" w:hRule="atLeast"/>
          <w:jc w:val="center"/>
        </w:trPr>
        <w:tc>
          <w:tcPr>
            <w:tcW w:w="579" w:type="dxa"/>
            <w:gridSpan w:val="2"/>
            <w:vMerge w:val="continue"/>
            <w:tcMar>
              <w:left w:w="0" w:type="dxa"/>
              <w:right w:w="0" w:type="dxa"/>
            </w:tcMar>
            <w:vAlign w:val="center"/>
          </w:tcPr>
          <w:p>
            <w:pPr>
              <w:spacing w:line="200" w:lineRule="exact"/>
              <w:jc w:val="center"/>
              <w:rPr>
                <w:rFonts w:ascii="宋体" w:hAnsi="宋体"/>
                <w:sz w:val="18"/>
                <w:szCs w:val="18"/>
                <w:highlight w:val="none"/>
              </w:rPr>
            </w:pPr>
          </w:p>
        </w:tc>
        <w:tc>
          <w:tcPr>
            <w:tcW w:w="1729" w:type="dxa"/>
            <w:tcMar>
              <w:left w:w="0" w:type="dxa"/>
              <w:right w:w="0" w:type="dxa"/>
            </w:tcMar>
            <w:vAlign w:val="center"/>
          </w:tcPr>
          <w:p>
            <w:pPr>
              <w:spacing w:line="200" w:lineRule="exact"/>
              <w:jc w:val="center"/>
              <w:rPr>
                <w:rFonts w:ascii="宋体" w:hAnsi="宋体"/>
                <w:sz w:val="18"/>
                <w:szCs w:val="18"/>
                <w:highlight w:val="none"/>
              </w:rPr>
            </w:pPr>
            <w:r>
              <w:rPr>
                <w:rFonts w:ascii="宋体" w:hAnsi="宋体"/>
                <w:b/>
                <w:sz w:val="18"/>
                <w:szCs w:val="18"/>
                <w:highlight w:val="none"/>
              </w:rPr>
              <w:t>废水</w:t>
            </w:r>
          </w:p>
        </w:tc>
        <w:tc>
          <w:tcPr>
            <w:tcW w:w="795"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327"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052"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958"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068" w:type="dxa"/>
            <w:gridSpan w:val="2"/>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092" w:type="dxa"/>
            <w:tcMar>
              <w:left w:w="0" w:type="dxa"/>
              <w:right w:w="0" w:type="dxa"/>
            </w:tcMar>
            <w:vAlign w:val="center"/>
          </w:tcPr>
          <w:p>
            <w:pPr>
              <w:spacing w:line="260" w:lineRule="exact"/>
              <w:jc w:val="center"/>
              <w:rPr>
                <w:rFonts w:hint="default" w:ascii="宋体" w:hAnsi="宋体" w:eastAsia="宋体"/>
                <w:sz w:val="18"/>
                <w:szCs w:val="18"/>
                <w:highlight w:val="none"/>
                <w:lang w:val="en-US" w:eastAsia="zh-CN"/>
              </w:rPr>
            </w:pPr>
            <w:r>
              <w:rPr>
                <w:rFonts w:hint="eastAsia" w:ascii="宋体" w:hAnsi="宋体"/>
                <w:sz w:val="18"/>
                <w:szCs w:val="18"/>
                <w:highlight w:val="none"/>
                <w:lang w:val="en-US" w:eastAsia="zh-CN"/>
              </w:rPr>
              <w:t>0.142</w:t>
            </w:r>
          </w:p>
        </w:tc>
        <w:tc>
          <w:tcPr>
            <w:tcW w:w="1149" w:type="dxa"/>
            <w:tcMar>
              <w:left w:w="0" w:type="dxa"/>
              <w:right w:w="0" w:type="dxa"/>
            </w:tcMar>
            <w:vAlign w:val="center"/>
          </w:tcPr>
          <w:p>
            <w:pPr>
              <w:spacing w:line="260" w:lineRule="exact"/>
              <w:jc w:val="center"/>
              <w:rPr>
                <w:rFonts w:hint="default" w:ascii="宋体" w:hAnsi="宋体" w:eastAsia="宋体"/>
                <w:sz w:val="18"/>
                <w:szCs w:val="18"/>
                <w:highlight w:val="none"/>
                <w:lang w:val="en-US" w:eastAsia="zh-CN"/>
              </w:rPr>
            </w:pPr>
            <w:r>
              <w:rPr>
                <w:rFonts w:hint="eastAsia" w:ascii="宋体" w:hAnsi="宋体"/>
                <w:sz w:val="18"/>
                <w:szCs w:val="18"/>
                <w:highlight w:val="none"/>
                <w:lang w:val="en-US" w:eastAsia="zh-CN"/>
              </w:rPr>
              <w:t>0.2948</w:t>
            </w:r>
          </w:p>
        </w:tc>
        <w:tc>
          <w:tcPr>
            <w:tcW w:w="1530"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986" w:type="dxa"/>
            <w:gridSpan w:val="2"/>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204" w:type="dxa"/>
            <w:gridSpan w:val="2"/>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061" w:type="dxa"/>
            <w:gridSpan w:val="2"/>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767"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67" w:hRule="atLeast"/>
          <w:jc w:val="center"/>
        </w:trPr>
        <w:tc>
          <w:tcPr>
            <w:tcW w:w="579" w:type="dxa"/>
            <w:gridSpan w:val="2"/>
            <w:vMerge w:val="continue"/>
            <w:tcMar>
              <w:left w:w="0" w:type="dxa"/>
              <w:right w:w="0" w:type="dxa"/>
            </w:tcMar>
            <w:vAlign w:val="center"/>
          </w:tcPr>
          <w:p>
            <w:pPr>
              <w:spacing w:line="200" w:lineRule="exact"/>
              <w:jc w:val="center"/>
              <w:rPr>
                <w:rFonts w:ascii="宋体" w:hAnsi="宋体"/>
                <w:sz w:val="18"/>
                <w:szCs w:val="18"/>
                <w:highlight w:val="none"/>
              </w:rPr>
            </w:pPr>
          </w:p>
        </w:tc>
        <w:tc>
          <w:tcPr>
            <w:tcW w:w="1729" w:type="dxa"/>
            <w:tcMar>
              <w:left w:w="0" w:type="dxa"/>
              <w:right w:w="0" w:type="dxa"/>
            </w:tcMar>
            <w:vAlign w:val="center"/>
          </w:tcPr>
          <w:p>
            <w:pPr>
              <w:spacing w:line="200" w:lineRule="exact"/>
              <w:jc w:val="center"/>
              <w:rPr>
                <w:rFonts w:ascii="宋体" w:hAnsi="宋体"/>
                <w:b/>
                <w:sz w:val="18"/>
                <w:szCs w:val="18"/>
                <w:highlight w:val="none"/>
              </w:rPr>
            </w:pPr>
            <w:r>
              <w:rPr>
                <w:rFonts w:ascii="宋体" w:hAnsi="宋体"/>
                <w:b/>
                <w:sz w:val="18"/>
                <w:szCs w:val="18"/>
                <w:highlight w:val="none"/>
              </w:rPr>
              <w:t>化学需氧量</w:t>
            </w:r>
          </w:p>
        </w:tc>
        <w:tc>
          <w:tcPr>
            <w:tcW w:w="795"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327"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052"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958"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068" w:type="dxa"/>
            <w:gridSpan w:val="2"/>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092" w:type="dxa"/>
            <w:tcMar>
              <w:left w:w="0" w:type="dxa"/>
              <w:right w:w="0" w:type="dxa"/>
            </w:tcMar>
            <w:vAlign w:val="center"/>
          </w:tcPr>
          <w:p>
            <w:pPr>
              <w:spacing w:line="260" w:lineRule="exact"/>
              <w:jc w:val="center"/>
              <w:rPr>
                <w:rFonts w:hint="default" w:ascii="宋体" w:hAnsi="宋体" w:eastAsia="宋体"/>
                <w:sz w:val="18"/>
                <w:szCs w:val="18"/>
                <w:highlight w:val="none"/>
                <w:lang w:val="en-US" w:eastAsia="zh-CN"/>
              </w:rPr>
            </w:pPr>
            <w:r>
              <w:rPr>
                <w:rFonts w:hint="eastAsia" w:ascii="宋体" w:hAnsi="宋体"/>
                <w:sz w:val="18"/>
                <w:szCs w:val="18"/>
                <w:highlight w:val="none"/>
                <w:lang w:val="en-US" w:eastAsia="zh-CN"/>
              </w:rPr>
              <w:t>/</w:t>
            </w:r>
          </w:p>
        </w:tc>
        <w:tc>
          <w:tcPr>
            <w:tcW w:w="1149" w:type="dxa"/>
            <w:tcMar>
              <w:left w:w="0" w:type="dxa"/>
              <w:right w:w="0" w:type="dxa"/>
            </w:tcMar>
            <w:vAlign w:val="center"/>
          </w:tcPr>
          <w:p>
            <w:pPr>
              <w:spacing w:line="260" w:lineRule="exact"/>
              <w:jc w:val="center"/>
              <w:rPr>
                <w:rFonts w:hint="default" w:ascii="宋体" w:hAnsi="宋体" w:eastAsia="宋体"/>
                <w:sz w:val="18"/>
                <w:szCs w:val="18"/>
                <w:highlight w:val="none"/>
                <w:lang w:val="en-US" w:eastAsia="zh-CN"/>
              </w:rPr>
            </w:pPr>
            <w:r>
              <w:rPr>
                <w:rFonts w:hint="eastAsia" w:ascii="宋体" w:hAnsi="宋体"/>
                <w:sz w:val="18"/>
                <w:szCs w:val="18"/>
                <w:highlight w:val="none"/>
                <w:lang w:val="en-US" w:eastAsia="zh-CN"/>
              </w:rPr>
              <w:t>0.0430</w:t>
            </w:r>
          </w:p>
        </w:tc>
        <w:tc>
          <w:tcPr>
            <w:tcW w:w="1530"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986" w:type="dxa"/>
            <w:gridSpan w:val="2"/>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204" w:type="dxa"/>
            <w:gridSpan w:val="2"/>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061" w:type="dxa"/>
            <w:gridSpan w:val="2"/>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767"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67" w:hRule="atLeast"/>
          <w:jc w:val="center"/>
        </w:trPr>
        <w:tc>
          <w:tcPr>
            <w:tcW w:w="579" w:type="dxa"/>
            <w:gridSpan w:val="2"/>
            <w:vMerge w:val="continue"/>
            <w:tcMar>
              <w:left w:w="0" w:type="dxa"/>
              <w:right w:w="0" w:type="dxa"/>
            </w:tcMar>
            <w:vAlign w:val="center"/>
          </w:tcPr>
          <w:p>
            <w:pPr>
              <w:spacing w:line="200" w:lineRule="exact"/>
              <w:jc w:val="center"/>
              <w:rPr>
                <w:rFonts w:ascii="宋体" w:hAnsi="宋体"/>
                <w:sz w:val="18"/>
                <w:szCs w:val="18"/>
                <w:highlight w:val="none"/>
              </w:rPr>
            </w:pPr>
          </w:p>
        </w:tc>
        <w:tc>
          <w:tcPr>
            <w:tcW w:w="1729" w:type="dxa"/>
            <w:tcMar>
              <w:left w:w="0" w:type="dxa"/>
              <w:right w:w="0" w:type="dxa"/>
            </w:tcMar>
            <w:vAlign w:val="center"/>
          </w:tcPr>
          <w:p>
            <w:pPr>
              <w:spacing w:line="200" w:lineRule="exact"/>
              <w:jc w:val="center"/>
              <w:rPr>
                <w:rFonts w:ascii="宋体" w:hAnsi="宋体"/>
                <w:b/>
                <w:sz w:val="18"/>
                <w:szCs w:val="18"/>
                <w:highlight w:val="none"/>
              </w:rPr>
            </w:pPr>
            <w:r>
              <w:rPr>
                <w:rFonts w:ascii="宋体" w:hAnsi="宋体"/>
                <w:b/>
                <w:sz w:val="18"/>
                <w:szCs w:val="18"/>
                <w:highlight w:val="none"/>
              </w:rPr>
              <w:t>氨氮</w:t>
            </w:r>
          </w:p>
        </w:tc>
        <w:tc>
          <w:tcPr>
            <w:tcW w:w="795"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327"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052"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958"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068" w:type="dxa"/>
            <w:gridSpan w:val="2"/>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092" w:type="dxa"/>
            <w:tcMar>
              <w:left w:w="0" w:type="dxa"/>
              <w:right w:w="0" w:type="dxa"/>
            </w:tcMar>
            <w:vAlign w:val="center"/>
          </w:tcPr>
          <w:p>
            <w:pPr>
              <w:spacing w:line="260" w:lineRule="exact"/>
              <w:jc w:val="center"/>
              <w:rPr>
                <w:rFonts w:hint="default" w:ascii="宋体" w:hAnsi="宋体" w:eastAsia="宋体"/>
                <w:sz w:val="18"/>
                <w:szCs w:val="18"/>
                <w:highlight w:val="none"/>
                <w:lang w:val="en-US" w:eastAsia="zh-CN"/>
              </w:rPr>
            </w:pPr>
            <w:r>
              <w:rPr>
                <w:rFonts w:hint="eastAsia" w:ascii="宋体" w:hAnsi="宋体"/>
                <w:sz w:val="18"/>
                <w:szCs w:val="18"/>
                <w:highlight w:val="none"/>
                <w:lang w:val="en-US" w:eastAsia="zh-CN"/>
              </w:rPr>
              <w:t>/</w:t>
            </w:r>
          </w:p>
        </w:tc>
        <w:tc>
          <w:tcPr>
            <w:tcW w:w="1149" w:type="dxa"/>
            <w:tcMar>
              <w:left w:w="0" w:type="dxa"/>
              <w:right w:w="0" w:type="dxa"/>
            </w:tcMar>
            <w:vAlign w:val="center"/>
          </w:tcPr>
          <w:p>
            <w:pPr>
              <w:spacing w:line="260" w:lineRule="exact"/>
              <w:jc w:val="center"/>
              <w:rPr>
                <w:rFonts w:hint="default" w:ascii="宋体" w:hAnsi="宋体" w:eastAsia="宋体"/>
                <w:sz w:val="18"/>
                <w:szCs w:val="18"/>
                <w:highlight w:val="none"/>
                <w:lang w:val="en-US" w:eastAsia="zh-CN"/>
              </w:rPr>
            </w:pPr>
            <w:r>
              <w:rPr>
                <w:rFonts w:hint="eastAsia" w:ascii="宋体" w:hAnsi="宋体"/>
                <w:sz w:val="18"/>
                <w:szCs w:val="18"/>
                <w:highlight w:val="none"/>
                <w:lang w:val="en-US" w:eastAsia="zh-CN"/>
              </w:rPr>
              <w:t>0.0043</w:t>
            </w:r>
          </w:p>
        </w:tc>
        <w:tc>
          <w:tcPr>
            <w:tcW w:w="1530"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986" w:type="dxa"/>
            <w:gridSpan w:val="2"/>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204" w:type="dxa"/>
            <w:gridSpan w:val="2"/>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061" w:type="dxa"/>
            <w:gridSpan w:val="2"/>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767"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57" w:hRule="atLeast"/>
          <w:jc w:val="center"/>
        </w:trPr>
        <w:tc>
          <w:tcPr>
            <w:tcW w:w="579" w:type="dxa"/>
            <w:gridSpan w:val="2"/>
            <w:vMerge w:val="continue"/>
            <w:tcMar>
              <w:left w:w="0" w:type="dxa"/>
              <w:right w:w="0" w:type="dxa"/>
            </w:tcMar>
            <w:vAlign w:val="center"/>
          </w:tcPr>
          <w:p>
            <w:pPr>
              <w:spacing w:line="200" w:lineRule="exact"/>
              <w:jc w:val="center"/>
              <w:rPr>
                <w:rFonts w:ascii="宋体" w:hAnsi="宋体"/>
                <w:sz w:val="18"/>
                <w:szCs w:val="18"/>
                <w:highlight w:val="none"/>
              </w:rPr>
            </w:pPr>
          </w:p>
        </w:tc>
        <w:tc>
          <w:tcPr>
            <w:tcW w:w="1729" w:type="dxa"/>
            <w:tcMar>
              <w:left w:w="0" w:type="dxa"/>
              <w:right w:w="0" w:type="dxa"/>
            </w:tcMar>
            <w:vAlign w:val="center"/>
          </w:tcPr>
          <w:p>
            <w:pPr>
              <w:spacing w:line="200" w:lineRule="exact"/>
              <w:jc w:val="center"/>
              <w:rPr>
                <w:rFonts w:ascii="宋体" w:hAnsi="宋体"/>
                <w:b/>
                <w:sz w:val="18"/>
                <w:szCs w:val="18"/>
                <w:highlight w:val="none"/>
              </w:rPr>
            </w:pPr>
            <w:r>
              <w:rPr>
                <w:rFonts w:hint="eastAsia" w:ascii="宋体" w:hAnsi="宋体"/>
                <w:b/>
                <w:sz w:val="18"/>
                <w:szCs w:val="18"/>
                <w:highlight w:val="none"/>
              </w:rPr>
              <w:t>悬浮物</w:t>
            </w:r>
          </w:p>
        </w:tc>
        <w:tc>
          <w:tcPr>
            <w:tcW w:w="795"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327"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052"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958"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068" w:type="dxa"/>
            <w:gridSpan w:val="2"/>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092" w:type="dxa"/>
            <w:tcMar>
              <w:left w:w="0" w:type="dxa"/>
              <w:right w:w="0" w:type="dxa"/>
            </w:tcMar>
            <w:vAlign w:val="center"/>
          </w:tcPr>
          <w:p>
            <w:pPr>
              <w:spacing w:line="200" w:lineRule="exact"/>
              <w:jc w:val="center"/>
              <w:rPr>
                <w:rFonts w:ascii="宋体" w:hAnsi="宋体"/>
                <w:sz w:val="18"/>
                <w:szCs w:val="18"/>
                <w:highlight w:val="yellow"/>
              </w:rPr>
            </w:pPr>
            <w:r>
              <w:rPr>
                <w:rFonts w:hint="eastAsia" w:ascii="宋体" w:hAnsi="宋体"/>
                <w:sz w:val="18"/>
                <w:szCs w:val="18"/>
                <w:highlight w:val="none"/>
              </w:rPr>
              <w:t>-</w:t>
            </w:r>
            <w:r>
              <w:rPr>
                <w:rFonts w:ascii="宋体" w:hAnsi="宋体"/>
                <w:sz w:val="18"/>
                <w:szCs w:val="18"/>
                <w:highlight w:val="none"/>
              </w:rPr>
              <w:t>-</w:t>
            </w:r>
          </w:p>
        </w:tc>
        <w:tc>
          <w:tcPr>
            <w:tcW w:w="1149"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530"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986" w:type="dxa"/>
            <w:gridSpan w:val="2"/>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204" w:type="dxa"/>
            <w:gridSpan w:val="2"/>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061" w:type="dxa"/>
            <w:gridSpan w:val="2"/>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767"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57" w:hRule="atLeast"/>
          <w:jc w:val="center"/>
        </w:trPr>
        <w:tc>
          <w:tcPr>
            <w:tcW w:w="579" w:type="dxa"/>
            <w:gridSpan w:val="2"/>
            <w:vMerge w:val="continue"/>
            <w:tcMar>
              <w:left w:w="0" w:type="dxa"/>
              <w:right w:w="0" w:type="dxa"/>
            </w:tcMar>
            <w:vAlign w:val="center"/>
          </w:tcPr>
          <w:p>
            <w:pPr>
              <w:spacing w:line="200" w:lineRule="exact"/>
              <w:jc w:val="center"/>
              <w:rPr>
                <w:rFonts w:ascii="宋体" w:hAnsi="宋体"/>
                <w:sz w:val="18"/>
                <w:szCs w:val="18"/>
                <w:highlight w:val="none"/>
              </w:rPr>
            </w:pPr>
          </w:p>
        </w:tc>
        <w:tc>
          <w:tcPr>
            <w:tcW w:w="1729" w:type="dxa"/>
            <w:tcMar>
              <w:left w:w="0" w:type="dxa"/>
              <w:right w:w="0" w:type="dxa"/>
            </w:tcMar>
            <w:vAlign w:val="center"/>
          </w:tcPr>
          <w:p>
            <w:pPr>
              <w:spacing w:line="200" w:lineRule="exact"/>
              <w:jc w:val="center"/>
              <w:rPr>
                <w:rFonts w:ascii="宋体" w:hAnsi="宋体"/>
                <w:b/>
                <w:sz w:val="18"/>
                <w:szCs w:val="18"/>
                <w:highlight w:val="none"/>
              </w:rPr>
            </w:pPr>
            <w:r>
              <w:rPr>
                <w:rFonts w:ascii="宋体" w:hAnsi="宋体"/>
                <w:b/>
                <w:sz w:val="18"/>
                <w:szCs w:val="18"/>
                <w:highlight w:val="none"/>
              </w:rPr>
              <w:t>石油类</w:t>
            </w:r>
          </w:p>
        </w:tc>
        <w:tc>
          <w:tcPr>
            <w:tcW w:w="795"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327"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052"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958"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068" w:type="dxa"/>
            <w:gridSpan w:val="2"/>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092" w:type="dxa"/>
            <w:tcMar>
              <w:left w:w="0" w:type="dxa"/>
              <w:right w:w="0" w:type="dxa"/>
            </w:tcMar>
            <w:vAlign w:val="center"/>
          </w:tcPr>
          <w:p>
            <w:pPr>
              <w:spacing w:line="200" w:lineRule="exact"/>
              <w:jc w:val="center"/>
              <w:rPr>
                <w:rFonts w:ascii="宋体" w:hAnsi="宋体"/>
                <w:sz w:val="18"/>
                <w:szCs w:val="18"/>
                <w:highlight w:val="yellow"/>
              </w:rPr>
            </w:pPr>
            <w:r>
              <w:rPr>
                <w:rFonts w:hint="eastAsia" w:ascii="宋体" w:hAnsi="宋体"/>
                <w:sz w:val="18"/>
                <w:szCs w:val="18"/>
                <w:highlight w:val="none"/>
              </w:rPr>
              <w:t>-</w:t>
            </w:r>
            <w:r>
              <w:rPr>
                <w:rFonts w:ascii="宋体" w:hAnsi="宋体"/>
                <w:sz w:val="18"/>
                <w:szCs w:val="18"/>
                <w:highlight w:val="none"/>
              </w:rPr>
              <w:t>-</w:t>
            </w:r>
          </w:p>
        </w:tc>
        <w:tc>
          <w:tcPr>
            <w:tcW w:w="1149"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530"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986" w:type="dxa"/>
            <w:gridSpan w:val="2"/>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204" w:type="dxa"/>
            <w:gridSpan w:val="2"/>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061" w:type="dxa"/>
            <w:gridSpan w:val="2"/>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767"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57" w:hRule="atLeast"/>
          <w:jc w:val="center"/>
        </w:trPr>
        <w:tc>
          <w:tcPr>
            <w:tcW w:w="579" w:type="dxa"/>
            <w:gridSpan w:val="2"/>
            <w:vMerge w:val="continue"/>
            <w:tcMar>
              <w:left w:w="0" w:type="dxa"/>
              <w:right w:w="0" w:type="dxa"/>
            </w:tcMar>
            <w:vAlign w:val="center"/>
          </w:tcPr>
          <w:p>
            <w:pPr>
              <w:spacing w:line="200" w:lineRule="exact"/>
              <w:jc w:val="center"/>
              <w:rPr>
                <w:rFonts w:ascii="宋体" w:hAnsi="宋体"/>
                <w:sz w:val="18"/>
                <w:szCs w:val="18"/>
                <w:highlight w:val="none"/>
              </w:rPr>
            </w:pPr>
          </w:p>
        </w:tc>
        <w:tc>
          <w:tcPr>
            <w:tcW w:w="1729" w:type="dxa"/>
            <w:tcMar>
              <w:left w:w="0" w:type="dxa"/>
              <w:right w:w="0" w:type="dxa"/>
            </w:tcMar>
            <w:vAlign w:val="center"/>
          </w:tcPr>
          <w:p>
            <w:pPr>
              <w:spacing w:line="200" w:lineRule="exact"/>
              <w:jc w:val="center"/>
              <w:rPr>
                <w:rFonts w:ascii="宋体" w:hAnsi="宋体"/>
                <w:b/>
                <w:sz w:val="18"/>
                <w:szCs w:val="18"/>
                <w:highlight w:val="none"/>
              </w:rPr>
            </w:pPr>
            <w:r>
              <w:rPr>
                <w:rFonts w:ascii="宋体" w:hAnsi="宋体"/>
                <w:b/>
                <w:sz w:val="18"/>
                <w:szCs w:val="18"/>
                <w:highlight w:val="none"/>
              </w:rPr>
              <w:t>废气</w:t>
            </w:r>
          </w:p>
        </w:tc>
        <w:tc>
          <w:tcPr>
            <w:tcW w:w="795"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327"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052"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958"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068" w:type="dxa"/>
            <w:gridSpan w:val="2"/>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092" w:type="dxa"/>
            <w:tcMar>
              <w:left w:w="0" w:type="dxa"/>
              <w:right w:w="0" w:type="dxa"/>
            </w:tcMar>
            <w:vAlign w:val="center"/>
          </w:tcPr>
          <w:p>
            <w:pPr>
              <w:spacing w:line="200" w:lineRule="exact"/>
              <w:jc w:val="center"/>
              <w:rPr>
                <w:rFonts w:ascii="宋体" w:hAnsi="宋体"/>
                <w:sz w:val="18"/>
                <w:szCs w:val="18"/>
                <w:highlight w:val="yellow"/>
              </w:rPr>
            </w:pPr>
            <w:r>
              <w:rPr>
                <w:rFonts w:hint="eastAsia" w:ascii="宋体" w:hAnsi="宋体"/>
                <w:sz w:val="18"/>
                <w:szCs w:val="18"/>
                <w:highlight w:val="none"/>
              </w:rPr>
              <w:t>-</w:t>
            </w:r>
            <w:r>
              <w:rPr>
                <w:rFonts w:ascii="宋体" w:hAnsi="宋体"/>
                <w:sz w:val="18"/>
                <w:szCs w:val="18"/>
                <w:highlight w:val="none"/>
              </w:rPr>
              <w:t>-</w:t>
            </w:r>
          </w:p>
        </w:tc>
        <w:tc>
          <w:tcPr>
            <w:tcW w:w="1149"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530"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986" w:type="dxa"/>
            <w:gridSpan w:val="2"/>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204" w:type="dxa"/>
            <w:gridSpan w:val="2"/>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061" w:type="dxa"/>
            <w:gridSpan w:val="2"/>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767"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57" w:hRule="atLeast"/>
          <w:jc w:val="center"/>
        </w:trPr>
        <w:tc>
          <w:tcPr>
            <w:tcW w:w="579" w:type="dxa"/>
            <w:gridSpan w:val="2"/>
            <w:vMerge w:val="continue"/>
            <w:tcMar>
              <w:left w:w="0" w:type="dxa"/>
              <w:right w:w="0" w:type="dxa"/>
            </w:tcMar>
            <w:vAlign w:val="center"/>
          </w:tcPr>
          <w:p>
            <w:pPr>
              <w:spacing w:line="200" w:lineRule="exact"/>
              <w:jc w:val="center"/>
              <w:rPr>
                <w:rFonts w:ascii="宋体" w:hAnsi="宋体"/>
                <w:sz w:val="18"/>
                <w:szCs w:val="18"/>
                <w:highlight w:val="none"/>
              </w:rPr>
            </w:pPr>
          </w:p>
        </w:tc>
        <w:tc>
          <w:tcPr>
            <w:tcW w:w="1729" w:type="dxa"/>
            <w:tcMar>
              <w:left w:w="0" w:type="dxa"/>
              <w:right w:w="0" w:type="dxa"/>
            </w:tcMar>
            <w:vAlign w:val="center"/>
          </w:tcPr>
          <w:p>
            <w:pPr>
              <w:spacing w:line="200" w:lineRule="exact"/>
              <w:jc w:val="center"/>
              <w:rPr>
                <w:rFonts w:ascii="宋体" w:hAnsi="宋体"/>
                <w:b/>
                <w:sz w:val="18"/>
                <w:szCs w:val="18"/>
                <w:highlight w:val="none"/>
              </w:rPr>
            </w:pPr>
            <w:r>
              <w:rPr>
                <w:rFonts w:hint="eastAsia" w:ascii="宋体" w:hAnsi="宋体"/>
                <w:b/>
                <w:sz w:val="18"/>
                <w:szCs w:val="18"/>
                <w:highlight w:val="none"/>
              </w:rPr>
              <w:t>烟尘</w:t>
            </w:r>
          </w:p>
        </w:tc>
        <w:tc>
          <w:tcPr>
            <w:tcW w:w="795"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327"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052"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958"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068" w:type="dxa"/>
            <w:gridSpan w:val="2"/>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092" w:type="dxa"/>
            <w:tcMar>
              <w:left w:w="0" w:type="dxa"/>
              <w:right w:w="0" w:type="dxa"/>
            </w:tcMar>
            <w:vAlign w:val="center"/>
          </w:tcPr>
          <w:p>
            <w:pPr>
              <w:spacing w:line="200" w:lineRule="exact"/>
              <w:jc w:val="center"/>
              <w:rPr>
                <w:rFonts w:hint="eastAsia" w:ascii="宋体" w:hAnsi="宋体" w:eastAsia="宋体"/>
                <w:sz w:val="18"/>
                <w:szCs w:val="18"/>
                <w:highlight w:val="yellow"/>
                <w:lang w:eastAsia="zh-CN"/>
              </w:rPr>
            </w:pPr>
            <w:r>
              <w:rPr>
                <w:rFonts w:hint="eastAsia" w:ascii="宋体" w:hAnsi="宋体"/>
                <w:sz w:val="18"/>
                <w:szCs w:val="18"/>
                <w:highlight w:val="none"/>
              </w:rPr>
              <w:t>-</w:t>
            </w:r>
            <w:r>
              <w:rPr>
                <w:rFonts w:ascii="宋体" w:hAnsi="宋体"/>
                <w:sz w:val="18"/>
                <w:szCs w:val="18"/>
                <w:highlight w:val="none"/>
              </w:rPr>
              <w:t>-</w:t>
            </w:r>
          </w:p>
        </w:tc>
        <w:tc>
          <w:tcPr>
            <w:tcW w:w="1149" w:type="dxa"/>
            <w:tcMar>
              <w:left w:w="0" w:type="dxa"/>
              <w:right w:w="0" w:type="dxa"/>
            </w:tcMar>
            <w:vAlign w:val="center"/>
          </w:tcPr>
          <w:p>
            <w:pPr>
              <w:spacing w:line="200" w:lineRule="exact"/>
              <w:jc w:val="center"/>
              <w:rPr>
                <w:rFonts w:hint="default" w:ascii="宋体" w:hAnsi="宋体" w:eastAsia="宋体"/>
                <w:sz w:val="18"/>
                <w:szCs w:val="18"/>
                <w:highlight w:val="none"/>
                <w:lang w:val="en-US" w:eastAsia="zh-CN"/>
              </w:rPr>
            </w:pPr>
            <w:r>
              <w:rPr>
                <w:rFonts w:hint="eastAsia" w:ascii="宋体" w:hAnsi="宋体"/>
                <w:sz w:val="18"/>
                <w:szCs w:val="18"/>
                <w:highlight w:val="none"/>
                <w:lang w:val="en-US" w:eastAsia="zh-CN"/>
              </w:rPr>
              <w:t>--</w:t>
            </w:r>
          </w:p>
        </w:tc>
        <w:tc>
          <w:tcPr>
            <w:tcW w:w="1530"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986" w:type="dxa"/>
            <w:gridSpan w:val="2"/>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204" w:type="dxa"/>
            <w:gridSpan w:val="2"/>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061" w:type="dxa"/>
            <w:gridSpan w:val="2"/>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767"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57" w:hRule="atLeast"/>
          <w:jc w:val="center"/>
        </w:trPr>
        <w:tc>
          <w:tcPr>
            <w:tcW w:w="579" w:type="dxa"/>
            <w:gridSpan w:val="2"/>
            <w:vMerge w:val="continue"/>
            <w:tcMar>
              <w:left w:w="0" w:type="dxa"/>
              <w:right w:w="0" w:type="dxa"/>
            </w:tcMar>
            <w:vAlign w:val="center"/>
          </w:tcPr>
          <w:p>
            <w:pPr>
              <w:spacing w:line="200" w:lineRule="exact"/>
              <w:jc w:val="center"/>
              <w:rPr>
                <w:rFonts w:ascii="宋体" w:hAnsi="宋体"/>
                <w:sz w:val="18"/>
                <w:szCs w:val="18"/>
                <w:highlight w:val="none"/>
              </w:rPr>
            </w:pPr>
          </w:p>
        </w:tc>
        <w:tc>
          <w:tcPr>
            <w:tcW w:w="1729" w:type="dxa"/>
            <w:tcMar>
              <w:left w:w="0" w:type="dxa"/>
              <w:right w:w="0" w:type="dxa"/>
            </w:tcMar>
            <w:vAlign w:val="center"/>
          </w:tcPr>
          <w:p>
            <w:pPr>
              <w:spacing w:line="200" w:lineRule="exact"/>
              <w:jc w:val="center"/>
              <w:rPr>
                <w:rFonts w:ascii="宋体" w:hAnsi="宋体"/>
                <w:b/>
                <w:sz w:val="18"/>
                <w:szCs w:val="18"/>
                <w:highlight w:val="none"/>
              </w:rPr>
            </w:pPr>
            <w:r>
              <w:rPr>
                <w:rFonts w:hint="eastAsia" w:ascii="宋体" w:hAnsi="宋体"/>
                <w:b/>
                <w:sz w:val="18"/>
                <w:szCs w:val="18"/>
                <w:highlight w:val="none"/>
              </w:rPr>
              <w:t>二氧化硫</w:t>
            </w:r>
          </w:p>
        </w:tc>
        <w:tc>
          <w:tcPr>
            <w:tcW w:w="795"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327"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052"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958"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068" w:type="dxa"/>
            <w:gridSpan w:val="2"/>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092" w:type="dxa"/>
            <w:tcMar>
              <w:left w:w="0" w:type="dxa"/>
              <w:right w:w="0" w:type="dxa"/>
            </w:tcMar>
            <w:vAlign w:val="center"/>
          </w:tcPr>
          <w:p>
            <w:pPr>
              <w:spacing w:line="200" w:lineRule="exact"/>
              <w:jc w:val="center"/>
              <w:rPr>
                <w:rFonts w:ascii="宋体" w:hAnsi="宋体"/>
                <w:sz w:val="18"/>
                <w:szCs w:val="18"/>
                <w:highlight w:val="yellow"/>
              </w:rPr>
            </w:pPr>
            <w:r>
              <w:rPr>
                <w:rFonts w:hint="eastAsia" w:ascii="宋体" w:hAnsi="宋体"/>
                <w:sz w:val="18"/>
                <w:szCs w:val="18"/>
                <w:highlight w:val="none"/>
              </w:rPr>
              <w:t>-</w:t>
            </w:r>
            <w:r>
              <w:rPr>
                <w:rFonts w:ascii="宋体" w:hAnsi="宋体"/>
                <w:sz w:val="18"/>
                <w:szCs w:val="18"/>
                <w:highlight w:val="none"/>
              </w:rPr>
              <w:t>-</w:t>
            </w:r>
          </w:p>
        </w:tc>
        <w:tc>
          <w:tcPr>
            <w:tcW w:w="1149"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530"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986" w:type="dxa"/>
            <w:gridSpan w:val="2"/>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204" w:type="dxa"/>
            <w:gridSpan w:val="2"/>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061" w:type="dxa"/>
            <w:gridSpan w:val="2"/>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767"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57" w:hRule="atLeast"/>
          <w:jc w:val="center"/>
        </w:trPr>
        <w:tc>
          <w:tcPr>
            <w:tcW w:w="579" w:type="dxa"/>
            <w:gridSpan w:val="2"/>
            <w:vMerge w:val="continue"/>
            <w:tcMar>
              <w:left w:w="0" w:type="dxa"/>
              <w:right w:w="0" w:type="dxa"/>
            </w:tcMar>
            <w:vAlign w:val="center"/>
          </w:tcPr>
          <w:p>
            <w:pPr>
              <w:spacing w:line="200" w:lineRule="exact"/>
              <w:jc w:val="center"/>
              <w:rPr>
                <w:rFonts w:ascii="宋体" w:hAnsi="宋体"/>
                <w:sz w:val="18"/>
                <w:szCs w:val="18"/>
                <w:highlight w:val="none"/>
              </w:rPr>
            </w:pPr>
          </w:p>
        </w:tc>
        <w:tc>
          <w:tcPr>
            <w:tcW w:w="1729" w:type="dxa"/>
            <w:tcMar>
              <w:left w:w="0" w:type="dxa"/>
              <w:right w:w="0" w:type="dxa"/>
            </w:tcMar>
            <w:vAlign w:val="center"/>
          </w:tcPr>
          <w:p>
            <w:pPr>
              <w:spacing w:line="200" w:lineRule="exact"/>
              <w:jc w:val="center"/>
              <w:rPr>
                <w:rFonts w:ascii="宋体" w:hAnsi="宋体"/>
                <w:b/>
                <w:sz w:val="18"/>
                <w:szCs w:val="18"/>
                <w:highlight w:val="none"/>
              </w:rPr>
            </w:pPr>
            <w:r>
              <w:rPr>
                <w:rFonts w:hint="eastAsia" w:ascii="宋体" w:hAnsi="宋体"/>
                <w:b/>
                <w:sz w:val="18"/>
                <w:szCs w:val="18"/>
                <w:highlight w:val="none"/>
              </w:rPr>
              <w:t>氮氧化物</w:t>
            </w:r>
          </w:p>
        </w:tc>
        <w:tc>
          <w:tcPr>
            <w:tcW w:w="795"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327"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052"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958"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068" w:type="dxa"/>
            <w:gridSpan w:val="2"/>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092" w:type="dxa"/>
            <w:tcMar>
              <w:left w:w="0" w:type="dxa"/>
              <w:right w:w="0" w:type="dxa"/>
            </w:tcMar>
            <w:vAlign w:val="center"/>
          </w:tcPr>
          <w:p>
            <w:pPr>
              <w:spacing w:line="200" w:lineRule="exact"/>
              <w:jc w:val="center"/>
              <w:rPr>
                <w:rFonts w:ascii="宋体" w:hAnsi="宋体"/>
                <w:sz w:val="18"/>
                <w:szCs w:val="18"/>
                <w:highlight w:val="yellow"/>
              </w:rPr>
            </w:pPr>
            <w:r>
              <w:rPr>
                <w:rFonts w:hint="eastAsia" w:ascii="宋体" w:hAnsi="宋体"/>
                <w:sz w:val="18"/>
                <w:szCs w:val="18"/>
                <w:highlight w:val="none"/>
              </w:rPr>
              <w:t>-</w:t>
            </w:r>
            <w:r>
              <w:rPr>
                <w:rFonts w:ascii="宋体" w:hAnsi="宋体"/>
                <w:sz w:val="18"/>
                <w:szCs w:val="18"/>
                <w:highlight w:val="none"/>
              </w:rPr>
              <w:t>-</w:t>
            </w:r>
          </w:p>
        </w:tc>
        <w:tc>
          <w:tcPr>
            <w:tcW w:w="1149"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530"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986" w:type="dxa"/>
            <w:gridSpan w:val="2"/>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204" w:type="dxa"/>
            <w:gridSpan w:val="2"/>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061" w:type="dxa"/>
            <w:gridSpan w:val="2"/>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767"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57" w:hRule="atLeast"/>
          <w:jc w:val="center"/>
        </w:trPr>
        <w:tc>
          <w:tcPr>
            <w:tcW w:w="579" w:type="dxa"/>
            <w:gridSpan w:val="2"/>
            <w:vMerge w:val="continue"/>
            <w:tcMar>
              <w:left w:w="0" w:type="dxa"/>
              <w:right w:w="0" w:type="dxa"/>
            </w:tcMar>
            <w:vAlign w:val="center"/>
          </w:tcPr>
          <w:p>
            <w:pPr>
              <w:spacing w:line="200" w:lineRule="exact"/>
              <w:jc w:val="center"/>
              <w:rPr>
                <w:rFonts w:ascii="宋体" w:hAnsi="宋体"/>
                <w:sz w:val="18"/>
                <w:szCs w:val="18"/>
                <w:highlight w:val="none"/>
              </w:rPr>
            </w:pPr>
          </w:p>
        </w:tc>
        <w:tc>
          <w:tcPr>
            <w:tcW w:w="1729" w:type="dxa"/>
            <w:tcMar>
              <w:left w:w="0" w:type="dxa"/>
              <w:right w:w="0" w:type="dxa"/>
            </w:tcMar>
            <w:vAlign w:val="center"/>
          </w:tcPr>
          <w:p>
            <w:pPr>
              <w:spacing w:line="200" w:lineRule="exact"/>
              <w:jc w:val="center"/>
              <w:rPr>
                <w:rFonts w:hint="default" w:ascii="宋体" w:hAnsi="宋体" w:eastAsia="宋体"/>
                <w:b/>
                <w:sz w:val="18"/>
                <w:szCs w:val="18"/>
                <w:highlight w:val="none"/>
                <w:lang w:val="en-US" w:eastAsia="zh-CN"/>
              </w:rPr>
            </w:pPr>
            <w:r>
              <w:rPr>
                <w:rFonts w:hint="eastAsia" w:ascii="宋体" w:hAnsi="宋体"/>
                <w:b/>
                <w:sz w:val="18"/>
                <w:szCs w:val="18"/>
                <w:highlight w:val="none"/>
                <w:lang w:val="en-US" w:eastAsia="zh-CN"/>
              </w:rPr>
              <w:t>挥发性有机物</w:t>
            </w:r>
          </w:p>
        </w:tc>
        <w:tc>
          <w:tcPr>
            <w:tcW w:w="795" w:type="dxa"/>
            <w:tcMar>
              <w:left w:w="0" w:type="dxa"/>
              <w:right w:w="0" w:type="dxa"/>
            </w:tcMar>
            <w:vAlign w:val="center"/>
          </w:tcPr>
          <w:p>
            <w:pPr>
              <w:spacing w:line="200" w:lineRule="exact"/>
              <w:jc w:val="center"/>
              <w:rPr>
                <w:rFonts w:hint="eastAsia"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327" w:type="dxa"/>
            <w:tcMar>
              <w:left w:w="0" w:type="dxa"/>
              <w:right w:w="0" w:type="dxa"/>
            </w:tcMar>
            <w:vAlign w:val="center"/>
          </w:tcPr>
          <w:p>
            <w:pPr>
              <w:spacing w:line="200" w:lineRule="exact"/>
              <w:jc w:val="center"/>
              <w:rPr>
                <w:rFonts w:hint="eastAsia"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052" w:type="dxa"/>
            <w:tcMar>
              <w:left w:w="0" w:type="dxa"/>
              <w:right w:w="0" w:type="dxa"/>
            </w:tcMar>
            <w:vAlign w:val="center"/>
          </w:tcPr>
          <w:p>
            <w:pPr>
              <w:spacing w:line="200" w:lineRule="exact"/>
              <w:jc w:val="center"/>
              <w:rPr>
                <w:rFonts w:hint="eastAsia"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958" w:type="dxa"/>
            <w:tcMar>
              <w:left w:w="0" w:type="dxa"/>
              <w:right w:w="0" w:type="dxa"/>
            </w:tcMar>
            <w:vAlign w:val="center"/>
          </w:tcPr>
          <w:p>
            <w:pPr>
              <w:spacing w:line="200" w:lineRule="exact"/>
              <w:jc w:val="center"/>
              <w:rPr>
                <w:rFonts w:hint="eastAsia"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068" w:type="dxa"/>
            <w:gridSpan w:val="2"/>
            <w:tcMar>
              <w:left w:w="0" w:type="dxa"/>
              <w:right w:w="0" w:type="dxa"/>
            </w:tcMar>
            <w:vAlign w:val="center"/>
          </w:tcPr>
          <w:p>
            <w:pPr>
              <w:spacing w:line="200" w:lineRule="exact"/>
              <w:jc w:val="center"/>
              <w:rPr>
                <w:rFonts w:hint="eastAsia"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092" w:type="dxa"/>
            <w:tcMar>
              <w:left w:w="0" w:type="dxa"/>
              <w:right w:w="0" w:type="dxa"/>
            </w:tcMar>
            <w:vAlign w:val="center"/>
          </w:tcPr>
          <w:p>
            <w:pPr>
              <w:spacing w:line="200" w:lineRule="exact"/>
              <w:jc w:val="center"/>
              <w:rPr>
                <w:rFonts w:hint="default" w:ascii="宋体" w:hAnsi="宋体" w:eastAsia="宋体"/>
                <w:sz w:val="18"/>
                <w:szCs w:val="18"/>
                <w:highlight w:val="yellow"/>
                <w:lang w:val="en-US" w:eastAsia="zh-CN"/>
              </w:rPr>
            </w:pPr>
            <w:r>
              <w:rPr>
                <w:rFonts w:hint="eastAsia" w:ascii="宋体" w:hAnsi="宋体"/>
                <w:sz w:val="18"/>
                <w:szCs w:val="18"/>
                <w:highlight w:val="none"/>
                <w:lang w:val="en-US" w:eastAsia="zh-CN"/>
              </w:rPr>
              <w:t>0.241</w:t>
            </w:r>
          </w:p>
        </w:tc>
        <w:tc>
          <w:tcPr>
            <w:tcW w:w="1149" w:type="dxa"/>
            <w:tcMar>
              <w:left w:w="0" w:type="dxa"/>
              <w:right w:w="0" w:type="dxa"/>
            </w:tcMar>
            <w:vAlign w:val="center"/>
          </w:tcPr>
          <w:p>
            <w:pPr>
              <w:spacing w:line="200" w:lineRule="exact"/>
              <w:jc w:val="center"/>
              <w:rPr>
                <w:rFonts w:hint="default" w:ascii="宋体" w:hAnsi="宋体" w:eastAsia="宋体"/>
                <w:sz w:val="18"/>
                <w:szCs w:val="18"/>
                <w:highlight w:val="none"/>
                <w:lang w:val="en-US" w:eastAsia="zh-CN"/>
              </w:rPr>
            </w:pPr>
            <w:r>
              <w:rPr>
                <w:rFonts w:hint="eastAsia" w:ascii="宋体" w:hAnsi="宋体"/>
                <w:sz w:val="18"/>
                <w:szCs w:val="18"/>
                <w:highlight w:val="none"/>
                <w:lang w:val="en-US" w:eastAsia="zh-CN"/>
              </w:rPr>
              <w:t>1.82</w:t>
            </w:r>
          </w:p>
        </w:tc>
        <w:tc>
          <w:tcPr>
            <w:tcW w:w="1530" w:type="dxa"/>
            <w:tcMar>
              <w:left w:w="0" w:type="dxa"/>
              <w:right w:w="0" w:type="dxa"/>
            </w:tcMar>
            <w:vAlign w:val="center"/>
          </w:tcPr>
          <w:p>
            <w:pPr>
              <w:spacing w:line="200" w:lineRule="exact"/>
              <w:jc w:val="center"/>
              <w:rPr>
                <w:rFonts w:hint="default" w:ascii="宋体" w:hAnsi="宋体" w:eastAsia="宋体"/>
                <w:sz w:val="18"/>
                <w:szCs w:val="18"/>
                <w:highlight w:val="none"/>
                <w:lang w:val="en-US" w:eastAsia="zh-CN"/>
              </w:rPr>
            </w:pPr>
            <w:r>
              <w:rPr>
                <w:rFonts w:hint="eastAsia" w:ascii="宋体" w:hAnsi="宋体"/>
                <w:sz w:val="18"/>
                <w:szCs w:val="18"/>
                <w:highlight w:val="none"/>
                <w:lang w:val="en-US" w:eastAsia="zh-CN"/>
              </w:rPr>
              <w:t>--</w:t>
            </w:r>
          </w:p>
        </w:tc>
        <w:tc>
          <w:tcPr>
            <w:tcW w:w="986" w:type="dxa"/>
            <w:gridSpan w:val="2"/>
            <w:tcMar>
              <w:left w:w="0" w:type="dxa"/>
              <w:right w:w="0" w:type="dxa"/>
            </w:tcMar>
            <w:vAlign w:val="center"/>
          </w:tcPr>
          <w:p>
            <w:pPr>
              <w:spacing w:line="200" w:lineRule="exact"/>
              <w:jc w:val="center"/>
              <w:rPr>
                <w:rFonts w:hint="eastAsia"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204" w:type="dxa"/>
            <w:gridSpan w:val="2"/>
            <w:tcMar>
              <w:left w:w="0" w:type="dxa"/>
              <w:right w:w="0" w:type="dxa"/>
            </w:tcMar>
            <w:vAlign w:val="center"/>
          </w:tcPr>
          <w:p>
            <w:pPr>
              <w:spacing w:line="200" w:lineRule="exact"/>
              <w:jc w:val="center"/>
              <w:rPr>
                <w:rFonts w:hint="eastAsia"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061" w:type="dxa"/>
            <w:gridSpan w:val="2"/>
            <w:tcMar>
              <w:left w:w="0" w:type="dxa"/>
              <w:right w:w="0" w:type="dxa"/>
            </w:tcMar>
            <w:vAlign w:val="center"/>
          </w:tcPr>
          <w:p>
            <w:pPr>
              <w:spacing w:line="200" w:lineRule="exact"/>
              <w:jc w:val="center"/>
              <w:rPr>
                <w:rFonts w:hint="eastAsia"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767" w:type="dxa"/>
            <w:tcMar>
              <w:left w:w="0" w:type="dxa"/>
              <w:right w:w="0" w:type="dxa"/>
            </w:tcMar>
            <w:vAlign w:val="center"/>
          </w:tcPr>
          <w:p>
            <w:pPr>
              <w:spacing w:line="200" w:lineRule="exact"/>
              <w:jc w:val="center"/>
              <w:rPr>
                <w:rFonts w:hint="eastAsia"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57" w:hRule="atLeast"/>
          <w:jc w:val="center"/>
        </w:trPr>
        <w:tc>
          <w:tcPr>
            <w:tcW w:w="579" w:type="dxa"/>
            <w:gridSpan w:val="2"/>
            <w:vMerge w:val="continue"/>
            <w:tcMar>
              <w:left w:w="0" w:type="dxa"/>
              <w:right w:w="0" w:type="dxa"/>
            </w:tcMar>
            <w:vAlign w:val="center"/>
          </w:tcPr>
          <w:p>
            <w:pPr>
              <w:spacing w:line="200" w:lineRule="exact"/>
              <w:jc w:val="center"/>
              <w:rPr>
                <w:rFonts w:ascii="宋体" w:hAnsi="宋体"/>
                <w:sz w:val="18"/>
                <w:szCs w:val="18"/>
                <w:highlight w:val="none"/>
              </w:rPr>
            </w:pPr>
          </w:p>
        </w:tc>
        <w:tc>
          <w:tcPr>
            <w:tcW w:w="1729" w:type="dxa"/>
            <w:tcMar>
              <w:left w:w="0" w:type="dxa"/>
              <w:right w:w="0" w:type="dxa"/>
            </w:tcMar>
            <w:vAlign w:val="center"/>
          </w:tcPr>
          <w:p>
            <w:pPr>
              <w:spacing w:line="200" w:lineRule="exact"/>
              <w:jc w:val="center"/>
              <w:rPr>
                <w:rFonts w:ascii="宋体" w:hAnsi="宋体"/>
                <w:b/>
                <w:sz w:val="18"/>
                <w:szCs w:val="18"/>
                <w:highlight w:val="none"/>
              </w:rPr>
            </w:pPr>
            <w:r>
              <w:rPr>
                <w:rFonts w:ascii="宋体" w:hAnsi="宋体"/>
                <w:b/>
                <w:sz w:val="18"/>
                <w:szCs w:val="18"/>
                <w:highlight w:val="none"/>
              </w:rPr>
              <w:t>工业固体废物</w:t>
            </w:r>
          </w:p>
        </w:tc>
        <w:tc>
          <w:tcPr>
            <w:tcW w:w="795"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327"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052"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958"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068" w:type="dxa"/>
            <w:gridSpan w:val="2"/>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092"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149"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530"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986" w:type="dxa"/>
            <w:gridSpan w:val="2"/>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204" w:type="dxa"/>
            <w:gridSpan w:val="2"/>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061" w:type="dxa"/>
            <w:gridSpan w:val="2"/>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767"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25" w:hRule="atLeast"/>
          <w:jc w:val="center"/>
        </w:trPr>
        <w:tc>
          <w:tcPr>
            <w:tcW w:w="579" w:type="dxa"/>
            <w:gridSpan w:val="2"/>
            <w:vMerge w:val="continue"/>
            <w:tcMar>
              <w:left w:w="0" w:type="dxa"/>
              <w:right w:w="0" w:type="dxa"/>
            </w:tcMar>
            <w:vAlign w:val="center"/>
          </w:tcPr>
          <w:p>
            <w:pPr>
              <w:spacing w:line="200" w:lineRule="exact"/>
              <w:jc w:val="center"/>
              <w:rPr>
                <w:rFonts w:ascii="宋体" w:hAnsi="宋体"/>
                <w:sz w:val="18"/>
                <w:szCs w:val="18"/>
                <w:highlight w:val="none"/>
              </w:rPr>
            </w:pPr>
          </w:p>
        </w:tc>
        <w:tc>
          <w:tcPr>
            <w:tcW w:w="1729" w:type="dxa"/>
            <w:tcMar>
              <w:left w:w="0" w:type="dxa"/>
              <w:right w:w="0" w:type="dxa"/>
            </w:tcMar>
            <w:vAlign w:val="center"/>
          </w:tcPr>
          <w:p>
            <w:pPr>
              <w:spacing w:line="200" w:lineRule="exact"/>
              <w:jc w:val="center"/>
              <w:rPr>
                <w:rFonts w:ascii="宋体" w:hAnsi="宋体"/>
                <w:sz w:val="18"/>
                <w:szCs w:val="18"/>
                <w:highlight w:val="none"/>
              </w:rPr>
            </w:pPr>
            <w:r>
              <w:rPr>
                <w:rFonts w:ascii="宋体" w:hAnsi="宋体"/>
                <w:b/>
                <w:sz w:val="18"/>
                <w:szCs w:val="18"/>
                <w:highlight w:val="none"/>
              </w:rPr>
              <w:t>与项目有关的其</w:t>
            </w:r>
            <w:r>
              <w:rPr>
                <w:rFonts w:hint="eastAsia" w:ascii="宋体" w:hAnsi="宋体"/>
                <w:b/>
                <w:sz w:val="18"/>
                <w:szCs w:val="18"/>
                <w:highlight w:val="none"/>
              </w:rPr>
              <w:t>他</w:t>
            </w:r>
            <w:r>
              <w:rPr>
                <w:rFonts w:ascii="宋体" w:hAnsi="宋体"/>
                <w:b/>
                <w:sz w:val="18"/>
                <w:szCs w:val="18"/>
                <w:highlight w:val="none"/>
              </w:rPr>
              <w:t>特征污染物</w:t>
            </w:r>
          </w:p>
        </w:tc>
        <w:tc>
          <w:tcPr>
            <w:tcW w:w="795"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327"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052"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958"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068" w:type="dxa"/>
            <w:gridSpan w:val="2"/>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092"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149"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530"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986" w:type="dxa"/>
            <w:gridSpan w:val="2"/>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204" w:type="dxa"/>
            <w:gridSpan w:val="2"/>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061" w:type="dxa"/>
            <w:gridSpan w:val="2"/>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767"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r>
      <w:bookmarkEnd w:id="10"/>
    </w:tbl>
    <w:p>
      <w:pPr>
        <w:ind w:left="-708" w:leftChars="-337" w:right="-1210" w:rightChars="-576"/>
        <w:rPr>
          <w:rFonts w:ascii="宋体" w:hAnsi="宋体" w:cs="宋体"/>
          <w:sz w:val="24"/>
        </w:rPr>
      </w:pPr>
      <w:r>
        <w:rPr>
          <w:b/>
          <w:sz w:val="15"/>
          <w:szCs w:val="15"/>
          <w:highlight w:val="none"/>
        </w:rPr>
        <w:t>注</w:t>
      </w:r>
      <w:r>
        <w:rPr>
          <w:sz w:val="15"/>
          <w:szCs w:val="15"/>
          <w:highlight w:val="none"/>
        </w:rPr>
        <w:t>：1、</w:t>
      </w:r>
      <w:r>
        <w:rPr>
          <w:spacing w:val="-4"/>
          <w:sz w:val="15"/>
          <w:szCs w:val="15"/>
          <w:highlight w:val="none"/>
        </w:rPr>
        <w:t>排放增减量：（+）表示增加，（-）表示减少。2、(12)=(6)-(8)-(11)，（9）= (4)-(5)-(8)- (11) +（1）。3、计量单位：废水排放量——万吨/年；废气排放量——</w:t>
      </w:r>
      <w:r>
        <w:rPr>
          <w:rFonts w:hint="eastAsia"/>
          <w:sz w:val="15"/>
          <w:szCs w:val="15"/>
          <w:highlight w:val="none"/>
        </w:rPr>
        <w:t>吨/年</w:t>
      </w:r>
      <w:r>
        <w:rPr>
          <w:spacing w:val="-4"/>
          <w:sz w:val="15"/>
          <w:szCs w:val="15"/>
          <w:highlight w:val="none"/>
        </w:rPr>
        <w:t>；工业固体废物排放</w:t>
      </w:r>
      <w:r>
        <w:rPr>
          <w:sz w:val="15"/>
          <w:szCs w:val="15"/>
          <w:highlight w:val="none"/>
        </w:rPr>
        <w:t>量——万吨/年；水</w:t>
      </w:r>
      <w:r>
        <w:rPr>
          <w:rFonts w:hint="eastAsia"/>
          <w:sz w:val="15"/>
          <w:szCs w:val="15"/>
          <w:highlight w:val="none"/>
        </w:rPr>
        <w:t>、气</w:t>
      </w:r>
      <w:r>
        <w:rPr>
          <w:sz w:val="15"/>
          <w:szCs w:val="15"/>
          <w:highlight w:val="none"/>
        </w:rPr>
        <w:t>污染物排放浓度——</w:t>
      </w:r>
      <w:r>
        <w:rPr>
          <w:rFonts w:hint="eastAsia"/>
          <w:sz w:val="15"/>
          <w:szCs w:val="15"/>
          <w:highlight w:val="none"/>
        </w:rPr>
        <w:t>吨/</w:t>
      </w:r>
      <w:r>
        <w:rPr>
          <w:rFonts w:hint="eastAsia"/>
          <w:sz w:val="15"/>
          <w:szCs w:val="15"/>
        </w:rPr>
        <w:t>年</w:t>
      </w:r>
    </w:p>
    <w:sectPr>
      <w:footerReference r:id="rId8" w:type="default"/>
      <w:pgSz w:w="16838" w:h="11906" w:orient="landscape"/>
      <w:pgMar w:top="510" w:right="1418" w:bottom="1417" w:left="1418" w:header="850" w:footer="1191"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楷体_GB2312">
    <w:altName w:val="楷体"/>
    <w:panose1 w:val="00000000000000000000"/>
    <w:charset w:val="86"/>
    <w:family w:val="modern"/>
    <w:pitch w:val="default"/>
    <w:sig w:usb0="00000000" w:usb1="00000000" w:usb2="00000000" w:usb3="00000000" w:csb0="00000000" w:csb1="00000000"/>
  </w:font>
  <w:font w:name="等线">
    <w:panose1 w:val="02010600030101010101"/>
    <w:charset w:val="86"/>
    <w:family w:val="auto"/>
    <w:pitch w:val="default"/>
    <w:sig w:usb0="A00002BF" w:usb1="38CF7CFA" w:usb2="00000016" w:usb3="00000000" w:csb0="0004000F" w:csb1="00000000"/>
  </w:font>
  <w:font w:name="华文中宋">
    <w:altName w:val="宋体"/>
    <w:panose1 w:val="02010600040101010101"/>
    <w:charset w:val="86"/>
    <w:family w:val="auto"/>
    <w:pitch w:val="default"/>
    <w:sig w:usb0="00000000" w:usb1="00000000" w:usb2="00000010" w:usb3="00000000" w:csb0="0004009F" w:csb1="00000000"/>
  </w:font>
  <w:font w:name="方正书宋简体">
    <w:altName w:val="宋体"/>
    <w:panose1 w:val="00000000000000000000"/>
    <w:charset w:val="86"/>
    <w:family w:val="auto"/>
    <w:pitch w:val="default"/>
    <w:sig w:usb0="00000000" w:usb1="00000000" w:usb2="00000000" w:usb3="00000000" w:csb0="00040001"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0000000000000000000"/>
    <w:charset w:val="86"/>
    <w:family w:val="modern"/>
    <w:pitch w:val="default"/>
    <w:sig w:usb0="00000000" w:usb1="00000000" w:usb2="00000000" w:usb3="00000000" w:csb0="00000000" w:csb1="00000000"/>
  </w:font>
  <w:font w:name="Microsoft YaHei UI">
    <w:panose1 w:val="020B0503020204020204"/>
    <w:charset w:val="86"/>
    <w:family w:val="swiss"/>
    <w:pitch w:val="default"/>
    <w:sig w:usb0="80000287" w:usb1="2ACF3C50" w:usb2="00000016" w:usb3="00000000" w:csb0="0004001F" w:csb1="00000000"/>
  </w:font>
  <w:font w:name="Lucida Console">
    <w:panose1 w:val="020B0609040504020204"/>
    <w:charset w:val="00"/>
    <w:family w:val="modern"/>
    <w:pitch w:val="default"/>
    <w:sig w:usb0="8000028F" w:usb1="00001800" w:usb2="00000000" w:usb3="00000000" w:csb0="0000001F" w:csb1="D7D70000"/>
  </w:font>
  <w:font w:name="Segoe UI Emoji">
    <w:panose1 w:val="020B0502040204020203"/>
    <w:charset w:val="00"/>
    <w:family w:val="swiss"/>
    <w:pitch w:val="default"/>
    <w:sig w:usb0="00000001" w:usb1="02000000" w:usb2="00000000" w:usb3="00000000" w:csb0="00000001"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jc w:val="center"/>
    </w:pPr>
  </w:p>
  <w:p>
    <w:pPr>
      <w:pStyle w:val="19"/>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val="0"/>
      <w:tabs>
        <w:tab w:val="center" w:pos="4153"/>
        <w:tab w:val="right" w:pos="8306"/>
      </w:tabs>
      <w:autoSpaceDE w:val="0"/>
      <w:autoSpaceDN w:val="0"/>
      <w:snapToGrid w:val="0"/>
      <w:spacing w:before="0" w:after="0" w:line="360" w:lineRule="auto"/>
      <w:ind w:left="0" w:right="0" w:firstLine="360" w:firstLineChars="200"/>
      <w:jc w:val="left"/>
      <w:rPr>
        <w:rFonts w:ascii="Times New Roman" w:hAnsi="Times New Roman" w:eastAsia="宋体" w:cs="Times New Roman"/>
        <w:sz w:val="18"/>
        <w:szCs w:val="22"/>
        <w:lang w:val="zh-CN" w:eastAsia="zh-CN" w:bidi="zh-CN"/>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jc w:val="center"/>
    </w:pPr>
  </w:p>
  <w:sdt>
    <w:sdtPr>
      <w:id w:val="165759787"/>
      <w:docPartObj>
        <w:docPartGallery w:val="autotext"/>
      </w:docPartObj>
    </w:sdtPr>
    <w:sdtContent>
      <w:p>
        <w:pPr>
          <w:pStyle w:val="19"/>
          <w:jc w:val="center"/>
        </w:pPr>
        <w:r>
          <w:fldChar w:fldCharType="begin"/>
        </w:r>
        <w:r>
          <w:instrText xml:space="preserve">PAGE   \* MERGEFORMAT</w:instrText>
        </w:r>
        <w:r>
          <w:fldChar w:fldCharType="separate"/>
        </w:r>
        <w:r>
          <w:rPr>
            <w:lang w:val="zh-CN"/>
          </w:rPr>
          <w:t>2</w:t>
        </w:r>
        <w:r>
          <w:fldChar w:fldCharType="end"/>
        </w:r>
      </w:p>
    </w:sdtContent>
  </w:sdt>
  <w:p>
    <w:pPr>
      <w:pStyle w:val="19"/>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jc w:val="center"/>
    </w:pPr>
  </w:p>
  <w:p>
    <w:pPr>
      <w:pStyle w:val="19"/>
      <w:jc w:val="center"/>
    </w:pPr>
  </w:p>
  <w:p>
    <w:pPr>
      <w:pStyle w:val="19"/>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0"/>
      <w:pBdr>
        <w:bottom w:val="none" w:color="auto" w:sz="0" w:space="1"/>
      </w:pBdr>
      <w:rPr>
        <w:rFonts w:hint="default"/>
        <w:lang w:val="en-US" w:eastAsia="zh-CN"/>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B9950B6"/>
    <w:multiLevelType w:val="singleLevel"/>
    <w:tmpl w:val="2B9950B6"/>
    <w:lvl w:ilvl="0" w:tentative="0">
      <w:start w:val="1"/>
      <w:numFmt w:val="decimal"/>
      <w:suff w:val="nothing"/>
      <w:lvlText w:val="%1．"/>
      <w:lvlJc w:val="left"/>
      <w:pPr>
        <w:ind w:left="25" w:firstLine="400"/>
      </w:pPr>
      <w:rPr>
        <w:rFonts w:hint="default"/>
      </w:rPr>
    </w:lvl>
  </w:abstractNum>
  <w:abstractNum w:abstractNumId="1">
    <w:nsid w:val="43FD0980"/>
    <w:multiLevelType w:val="multilevel"/>
    <w:tmpl w:val="43FD0980"/>
    <w:lvl w:ilvl="0" w:tentative="0">
      <w:start w:val="1"/>
      <w:numFmt w:val="decimal"/>
      <w:suff w:val="nothing"/>
      <w:lvlText w:val="%1．"/>
      <w:lvlJc w:val="left"/>
      <w:pPr>
        <w:ind w:left="0" w:firstLine="40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44F93E17"/>
    <w:multiLevelType w:val="singleLevel"/>
    <w:tmpl w:val="44F93E17"/>
    <w:lvl w:ilvl="0" w:tentative="0">
      <w:start w:val="1"/>
      <w:numFmt w:val="decimal"/>
      <w:suff w:val="nothing"/>
      <w:lvlText w:val="%1．"/>
      <w:lvlJc w:val="left"/>
      <w:pPr>
        <w:ind w:left="25" w:firstLine="400"/>
      </w:pPr>
      <w:rPr>
        <w:rFonts w:hint="default"/>
      </w:rPr>
    </w:lvl>
  </w:abstractNum>
  <w:abstractNum w:abstractNumId="3">
    <w:nsid w:val="53C681AC"/>
    <w:multiLevelType w:val="singleLevel"/>
    <w:tmpl w:val="53C681AC"/>
    <w:lvl w:ilvl="0" w:tentative="0">
      <w:start w:val="1"/>
      <w:numFmt w:val="decimal"/>
      <w:suff w:val="nothing"/>
      <w:lvlText w:val="%1．"/>
      <w:lvlJc w:val="left"/>
      <w:pPr>
        <w:ind w:left="0" w:firstLine="400"/>
      </w:pPr>
      <w:rPr>
        <w:rFonts w:hint="default"/>
      </w:rPr>
    </w:lvl>
  </w:abstractNum>
  <w:num w:numId="1">
    <w:abstractNumId w:val="3"/>
  </w:num>
  <w:num w:numId="2">
    <w:abstractNumId w:val="0"/>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5EBC"/>
    <w:rsid w:val="000002B6"/>
    <w:rsid w:val="000011B3"/>
    <w:rsid w:val="00001D6F"/>
    <w:rsid w:val="000020A7"/>
    <w:rsid w:val="000028E0"/>
    <w:rsid w:val="00002E58"/>
    <w:rsid w:val="00003B6F"/>
    <w:rsid w:val="00003E30"/>
    <w:rsid w:val="00004430"/>
    <w:rsid w:val="00004CF3"/>
    <w:rsid w:val="000050ED"/>
    <w:rsid w:val="000053E9"/>
    <w:rsid w:val="00007178"/>
    <w:rsid w:val="000073F2"/>
    <w:rsid w:val="00007499"/>
    <w:rsid w:val="0000752A"/>
    <w:rsid w:val="0000768E"/>
    <w:rsid w:val="0000769E"/>
    <w:rsid w:val="00007806"/>
    <w:rsid w:val="000079D2"/>
    <w:rsid w:val="000100DB"/>
    <w:rsid w:val="00010D16"/>
    <w:rsid w:val="00010E13"/>
    <w:rsid w:val="00011361"/>
    <w:rsid w:val="00011A4A"/>
    <w:rsid w:val="000126C2"/>
    <w:rsid w:val="000135E0"/>
    <w:rsid w:val="00014752"/>
    <w:rsid w:val="00014ED4"/>
    <w:rsid w:val="00015106"/>
    <w:rsid w:val="0001529B"/>
    <w:rsid w:val="00015625"/>
    <w:rsid w:val="00015CF5"/>
    <w:rsid w:val="000167E1"/>
    <w:rsid w:val="00016DFD"/>
    <w:rsid w:val="00016F1B"/>
    <w:rsid w:val="00016F48"/>
    <w:rsid w:val="000171D9"/>
    <w:rsid w:val="00017740"/>
    <w:rsid w:val="000178B6"/>
    <w:rsid w:val="00020734"/>
    <w:rsid w:val="00020A25"/>
    <w:rsid w:val="00020E20"/>
    <w:rsid w:val="00021129"/>
    <w:rsid w:val="0002155E"/>
    <w:rsid w:val="0002297D"/>
    <w:rsid w:val="00022CB8"/>
    <w:rsid w:val="000232C1"/>
    <w:rsid w:val="0002391C"/>
    <w:rsid w:val="00024898"/>
    <w:rsid w:val="00024BA4"/>
    <w:rsid w:val="000256C8"/>
    <w:rsid w:val="00026BF0"/>
    <w:rsid w:val="000304B9"/>
    <w:rsid w:val="00031767"/>
    <w:rsid w:val="00032753"/>
    <w:rsid w:val="00034123"/>
    <w:rsid w:val="00034153"/>
    <w:rsid w:val="0003431C"/>
    <w:rsid w:val="000343B0"/>
    <w:rsid w:val="00034682"/>
    <w:rsid w:val="0003502B"/>
    <w:rsid w:val="000350A6"/>
    <w:rsid w:val="000353AC"/>
    <w:rsid w:val="00035416"/>
    <w:rsid w:val="00037636"/>
    <w:rsid w:val="0004046B"/>
    <w:rsid w:val="00041DC9"/>
    <w:rsid w:val="00042985"/>
    <w:rsid w:val="00042F3E"/>
    <w:rsid w:val="000433FF"/>
    <w:rsid w:val="00043C7A"/>
    <w:rsid w:val="00043F11"/>
    <w:rsid w:val="00045BFB"/>
    <w:rsid w:val="00045CB6"/>
    <w:rsid w:val="00045E61"/>
    <w:rsid w:val="0004646E"/>
    <w:rsid w:val="0004674A"/>
    <w:rsid w:val="00051D4F"/>
    <w:rsid w:val="00052FE2"/>
    <w:rsid w:val="00053227"/>
    <w:rsid w:val="00054457"/>
    <w:rsid w:val="00054713"/>
    <w:rsid w:val="00055325"/>
    <w:rsid w:val="00056651"/>
    <w:rsid w:val="0005668F"/>
    <w:rsid w:val="00056FA2"/>
    <w:rsid w:val="00057D08"/>
    <w:rsid w:val="0006102E"/>
    <w:rsid w:val="0006105B"/>
    <w:rsid w:val="0006203D"/>
    <w:rsid w:val="00062BE5"/>
    <w:rsid w:val="0006309C"/>
    <w:rsid w:val="0006315C"/>
    <w:rsid w:val="0006380B"/>
    <w:rsid w:val="00064065"/>
    <w:rsid w:val="000642EB"/>
    <w:rsid w:val="000651DA"/>
    <w:rsid w:val="0006530F"/>
    <w:rsid w:val="00066104"/>
    <w:rsid w:val="00066215"/>
    <w:rsid w:val="000663FB"/>
    <w:rsid w:val="00066869"/>
    <w:rsid w:val="000668C4"/>
    <w:rsid w:val="0006698E"/>
    <w:rsid w:val="00066D6C"/>
    <w:rsid w:val="00067AC1"/>
    <w:rsid w:val="000707FA"/>
    <w:rsid w:val="00070F06"/>
    <w:rsid w:val="0007102A"/>
    <w:rsid w:val="0007158F"/>
    <w:rsid w:val="00071DE9"/>
    <w:rsid w:val="00072000"/>
    <w:rsid w:val="000726F0"/>
    <w:rsid w:val="00072A67"/>
    <w:rsid w:val="000732F8"/>
    <w:rsid w:val="00073443"/>
    <w:rsid w:val="00073C43"/>
    <w:rsid w:val="00073D3C"/>
    <w:rsid w:val="00074010"/>
    <w:rsid w:val="000747D0"/>
    <w:rsid w:val="00075406"/>
    <w:rsid w:val="00075C5C"/>
    <w:rsid w:val="0007660E"/>
    <w:rsid w:val="000769AA"/>
    <w:rsid w:val="00076CB0"/>
    <w:rsid w:val="00076F31"/>
    <w:rsid w:val="000776A6"/>
    <w:rsid w:val="00080C21"/>
    <w:rsid w:val="000818AF"/>
    <w:rsid w:val="00081B6B"/>
    <w:rsid w:val="00082303"/>
    <w:rsid w:val="00082333"/>
    <w:rsid w:val="00083CF3"/>
    <w:rsid w:val="00083F50"/>
    <w:rsid w:val="00084764"/>
    <w:rsid w:val="00084F33"/>
    <w:rsid w:val="0008535C"/>
    <w:rsid w:val="000853AB"/>
    <w:rsid w:val="000853CC"/>
    <w:rsid w:val="000857DF"/>
    <w:rsid w:val="00085E78"/>
    <w:rsid w:val="0008603D"/>
    <w:rsid w:val="000860C7"/>
    <w:rsid w:val="0008610A"/>
    <w:rsid w:val="000871EF"/>
    <w:rsid w:val="0008720D"/>
    <w:rsid w:val="00087BA7"/>
    <w:rsid w:val="00087C9B"/>
    <w:rsid w:val="000900E0"/>
    <w:rsid w:val="00090392"/>
    <w:rsid w:val="00091065"/>
    <w:rsid w:val="00091AFD"/>
    <w:rsid w:val="000933FA"/>
    <w:rsid w:val="0009374E"/>
    <w:rsid w:val="00093B25"/>
    <w:rsid w:val="00094805"/>
    <w:rsid w:val="0009517A"/>
    <w:rsid w:val="00095301"/>
    <w:rsid w:val="00095D03"/>
    <w:rsid w:val="00096337"/>
    <w:rsid w:val="0009685B"/>
    <w:rsid w:val="0009778C"/>
    <w:rsid w:val="000A09FA"/>
    <w:rsid w:val="000A1977"/>
    <w:rsid w:val="000A1B9F"/>
    <w:rsid w:val="000A34C6"/>
    <w:rsid w:val="000A3523"/>
    <w:rsid w:val="000A490C"/>
    <w:rsid w:val="000A4B27"/>
    <w:rsid w:val="000A4E42"/>
    <w:rsid w:val="000A5A0F"/>
    <w:rsid w:val="000A6F10"/>
    <w:rsid w:val="000A7D28"/>
    <w:rsid w:val="000B070E"/>
    <w:rsid w:val="000B197A"/>
    <w:rsid w:val="000B1DB8"/>
    <w:rsid w:val="000B26C3"/>
    <w:rsid w:val="000B29A4"/>
    <w:rsid w:val="000B3DC4"/>
    <w:rsid w:val="000B41AA"/>
    <w:rsid w:val="000B4E4C"/>
    <w:rsid w:val="000B504D"/>
    <w:rsid w:val="000B5691"/>
    <w:rsid w:val="000B5A53"/>
    <w:rsid w:val="000B5BE0"/>
    <w:rsid w:val="000B60C4"/>
    <w:rsid w:val="000B66AE"/>
    <w:rsid w:val="000B7110"/>
    <w:rsid w:val="000B7699"/>
    <w:rsid w:val="000B7E9E"/>
    <w:rsid w:val="000B7F9B"/>
    <w:rsid w:val="000C06EC"/>
    <w:rsid w:val="000C07D8"/>
    <w:rsid w:val="000C0B69"/>
    <w:rsid w:val="000C0CBB"/>
    <w:rsid w:val="000C1063"/>
    <w:rsid w:val="000C14B6"/>
    <w:rsid w:val="000C17F7"/>
    <w:rsid w:val="000C1877"/>
    <w:rsid w:val="000C1EC4"/>
    <w:rsid w:val="000C215C"/>
    <w:rsid w:val="000C2AA7"/>
    <w:rsid w:val="000C3092"/>
    <w:rsid w:val="000C367B"/>
    <w:rsid w:val="000C4033"/>
    <w:rsid w:val="000C44E5"/>
    <w:rsid w:val="000C4BF9"/>
    <w:rsid w:val="000C55B0"/>
    <w:rsid w:val="000C5B2A"/>
    <w:rsid w:val="000C5E5D"/>
    <w:rsid w:val="000C72B0"/>
    <w:rsid w:val="000C77C2"/>
    <w:rsid w:val="000D0246"/>
    <w:rsid w:val="000D04DE"/>
    <w:rsid w:val="000D0B61"/>
    <w:rsid w:val="000D1265"/>
    <w:rsid w:val="000D2989"/>
    <w:rsid w:val="000D2EDC"/>
    <w:rsid w:val="000D3062"/>
    <w:rsid w:val="000D3536"/>
    <w:rsid w:val="000D39CB"/>
    <w:rsid w:val="000D3F6B"/>
    <w:rsid w:val="000D4B40"/>
    <w:rsid w:val="000D4CF3"/>
    <w:rsid w:val="000D58C0"/>
    <w:rsid w:val="000D6584"/>
    <w:rsid w:val="000D7290"/>
    <w:rsid w:val="000D7AD6"/>
    <w:rsid w:val="000E064E"/>
    <w:rsid w:val="000E135C"/>
    <w:rsid w:val="000E1B18"/>
    <w:rsid w:val="000E22D7"/>
    <w:rsid w:val="000E2AD2"/>
    <w:rsid w:val="000E2D03"/>
    <w:rsid w:val="000E2F6C"/>
    <w:rsid w:val="000E33C8"/>
    <w:rsid w:val="000E44A9"/>
    <w:rsid w:val="000E5821"/>
    <w:rsid w:val="000E70F7"/>
    <w:rsid w:val="000F02D2"/>
    <w:rsid w:val="000F0A7B"/>
    <w:rsid w:val="000F0BA6"/>
    <w:rsid w:val="000F112B"/>
    <w:rsid w:val="000F1436"/>
    <w:rsid w:val="000F24C1"/>
    <w:rsid w:val="000F2809"/>
    <w:rsid w:val="000F2993"/>
    <w:rsid w:val="000F2A49"/>
    <w:rsid w:val="000F2FA2"/>
    <w:rsid w:val="000F35AD"/>
    <w:rsid w:val="000F395E"/>
    <w:rsid w:val="000F39EB"/>
    <w:rsid w:val="000F44FD"/>
    <w:rsid w:val="000F50C7"/>
    <w:rsid w:val="000F67D8"/>
    <w:rsid w:val="000F6B55"/>
    <w:rsid w:val="000F7BBA"/>
    <w:rsid w:val="001006B8"/>
    <w:rsid w:val="001009D0"/>
    <w:rsid w:val="00101F03"/>
    <w:rsid w:val="00102262"/>
    <w:rsid w:val="0010254E"/>
    <w:rsid w:val="001029E4"/>
    <w:rsid w:val="001034AB"/>
    <w:rsid w:val="00103571"/>
    <w:rsid w:val="001041FA"/>
    <w:rsid w:val="00104A28"/>
    <w:rsid w:val="00104E57"/>
    <w:rsid w:val="001055C8"/>
    <w:rsid w:val="00105840"/>
    <w:rsid w:val="0010586F"/>
    <w:rsid w:val="00106A5C"/>
    <w:rsid w:val="00106E2F"/>
    <w:rsid w:val="001101A1"/>
    <w:rsid w:val="00110A45"/>
    <w:rsid w:val="001110B8"/>
    <w:rsid w:val="0011116E"/>
    <w:rsid w:val="00111AFC"/>
    <w:rsid w:val="00111E3A"/>
    <w:rsid w:val="00113041"/>
    <w:rsid w:val="001135FD"/>
    <w:rsid w:val="00113AA7"/>
    <w:rsid w:val="00113E8D"/>
    <w:rsid w:val="00114120"/>
    <w:rsid w:val="0011420F"/>
    <w:rsid w:val="001144AD"/>
    <w:rsid w:val="00114626"/>
    <w:rsid w:val="00114835"/>
    <w:rsid w:val="001151FE"/>
    <w:rsid w:val="00117981"/>
    <w:rsid w:val="00117BC0"/>
    <w:rsid w:val="00117C40"/>
    <w:rsid w:val="00120AE8"/>
    <w:rsid w:val="00120F7E"/>
    <w:rsid w:val="00121B14"/>
    <w:rsid w:val="00122065"/>
    <w:rsid w:val="001226B9"/>
    <w:rsid w:val="001226EB"/>
    <w:rsid w:val="0012298E"/>
    <w:rsid w:val="00122ED5"/>
    <w:rsid w:val="00122F1D"/>
    <w:rsid w:val="00123222"/>
    <w:rsid w:val="001244F6"/>
    <w:rsid w:val="00124943"/>
    <w:rsid w:val="00124AA1"/>
    <w:rsid w:val="00124D2F"/>
    <w:rsid w:val="001256B3"/>
    <w:rsid w:val="001261E9"/>
    <w:rsid w:val="0012684E"/>
    <w:rsid w:val="00126D4E"/>
    <w:rsid w:val="00127810"/>
    <w:rsid w:val="001300FA"/>
    <w:rsid w:val="0013230A"/>
    <w:rsid w:val="0013239C"/>
    <w:rsid w:val="00132929"/>
    <w:rsid w:val="00132A0B"/>
    <w:rsid w:val="0013391F"/>
    <w:rsid w:val="0013464B"/>
    <w:rsid w:val="0013521D"/>
    <w:rsid w:val="00135A15"/>
    <w:rsid w:val="001366C5"/>
    <w:rsid w:val="00137412"/>
    <w:rsid w:val="0013747F"/>
    <w:rsid w:val="0013774C"/>
    <w:rsid w:val="00137DCA"/>
    <w:rsid w:val="00140A4E"/>
    <w:rsid w:val="001419D8"/>
    <w:rsid w:val="00141AC2"/>
    <w:rsid w:val="001422AF"/>
    <w:rsid w:val="00142C8D"/>
    <w:rsid w:val="001433EC"/>
    <w:rsid w:val="00143786"/>
    <w:rsid w:val="00143CCC"/>
    <w:rsid w:val="00143D0C"/>
    <w:rsid w:val="00143EC2"/>
    <w:rsid w:val="0014432F"/>
    <w:rsid w:val="00144577"/>
    <w:rsid w:val="00144685"/>
    <w:rsid w:val="0014585E"/>
    <w:rsid w:val="00145DA7"/>
    <w:rsid w:val="001466C9"/>
    <w:rsid w:val="00146EC0"/>
    <w:rsid w:val="00147255"/>
    <w:rsid w:val="00147573"/>
    <w:rsid w:val="0014769A"/>
    <w:rsid w:val="00147E1D"/>
    <w:rsid w:val="0015030A"/>
    <w:rsid w:val="00150DBC"/>
    <w:rsid w:val="00151D2F"/>
    <w:rsid w:val="001520FF"/>
    <w:rsid w:val="00152511"/>
    <w:rsid w:val="00152D08"/>
    <w:rsid w:val="00154264"/>
    <w:rsid w:val="001547E0"/>
    <w:rsid w:val="00155750"/>
    <w:rsid w:val="001559C4"/>
    <w:rsid w:val="00155A66"/>
    <w:rsid w:val="001569D2"/>
    <w:rsid w:val="00157657"/>
    <w:rsid w:val="00160587"/>
    <w:rsid w:val="001608CC"/>
    <w:rsid w:val="0016209C"/>
    <w:rsid w:val="00162D87"/>
    <w:rsid w:val="00162E46"/>
    <w:rsid w:val="00162F39"/>
    <w:rsid w:val="0016368D"/>
    <w:rsid w:val="001636BC"/>
    <w:rsid w:val="0016434F"/>
    <w:rsid w:val="00164BC3"/>
    <w:rsid w:val="00165EEB"/>
    <w:rsid w:val="00165F88"/>
    <w:rsid w:val="0016606D"/>
    <w:rsid w:val="00166B16"/>
    <w:rsid w:val="0016710B"/>
    <w:rsid w:val="001671BE"/>
    <w:rsid w:val="00167522"/>
    <w:rsid w:val="0016754E"/>
    <w:rsid w:val="0016798D"/>
    <w:rsid w:val="001702A4"/>
    <w:rsid w:val="00170505"/>
    <w:rsid w:val="00170DB4"/>
    <w:rsid w:val="00171EA5"/>
    <w:rsid w:val="001732ED"/>
    <w:rsid w:val="00173CAC"/>
    <w:rsid w:val="0017441D"/>
    <w:rsid w:val="001751F3"/>
    <w:rsid w:val="001756CE"/>
    <w:rsid w:val="00175D6E"/>
    <w:rsid w:val="00176D3C"/>
    <w:rsid w:val="00176FBA"/>
    <w:rsid w:val="00177F76"/>
    <w:rsid w:val="00180DE6"/>
    <w:rsid w:val="00180EE4"/>
    <w:rsid w:val="0018140C"/>
    <w:rsid w:val="00181A0A"/>
    <w:rsid w:val="00182419"/>
    <w:rsid w:val="001826A4"/>
    <w:rsid w:val="0018356D"/>
    <w:rsid w:val="001838C7"/>
    <w:rsid w:val="00183AAA"/>
    <w:rsid w:val="0018402A"/>
    <w:rsid w:val="00186453"/>
    <w:rsid w:val="0018653F"/>
    <w:rsid w:val="00186615"/>
    <w:rsid w:val="00186AC8"/>
    <w:rsid w:val="00186B30"/>
    <w:rsid w:val="001870C4"/>
    <w:rsid w:val="001901BE"/>
    <w:rsid w:val="001901DB"/>
    <w:rsid w:val="00190765"/>
    <w:rsid w:val="00190A40"/>
    <w:rsid w:val="00191E31"/>
    <w:rsid w:val="00191E36"/>
    <w:rsid w:val="00191F61"/>
    <w:rsid w:val="001921C0"/>
    <w:rsid w:val="00192502"/>
    <w:rsid w:val="00192A72"/>
    <w:rsid w:val="00192A80"/>
    <w:rsid w:val="00192DFB"/>
    <w:rsid w:val="00193F4C"/>
    <w:rsid w:val="00194093"/>
    <w:rsid w:val="00194E18"/>
    <w:rsid w:val="00194E3C"/>
    <w:rsid w:val="001957F7"/>
    <w:rsid w:val="00196BC0"/>
    <w:rsid w:val="00196F1A"/>
    <w:rsid w:val="001976EB"/>
    <w:rsid w:val="0019780D"/>
    <w:rsid w:val="001A0F2D"/>
    <w:rsid w:val="001A179A"/>
    <w:rsid w:val="001A334A"/>
    <w:rsid w:val="001A62F8"/>
    <w:rsid w:val="001A686E"/>
    <w:rsid w:val="001A6D03"/>
    <w:rsid w:val="001A7142"/>
    <w:rsid w:val="001A71A9"/>
    <w:rsid w:val="001B07CC"/>
    <w:rsid w:val="001B11A5"/>
    <w:rsid w:val="001B14BB"/>
    <w:rsid w:val="001B1B4E"/>
    <w:rsid w:val="001B2D5D"/>
    <w:rsid w:val="001B2DF7"/>
    <w:rsid w:val="001B319D"/>
    <w:rsid w:val="001B3807"/>
    <w:rsid w:val="001B3C56"/>
    <w:rsid w:val="001B413C"/>
    <w:rsid w:val="001B459E"/>
    <w:rsid w:val="001B45BA"/>
    <w:rsid w:val="001B4C8D"/>
    <w:rsid w:val="001B535A"/>
    <w:rsid w:val="001B5398"/>
    <w:rsid w:val="001B5E73"/>
    <w:rsid w:val="001B6750"/>
    <w:rsid w:val="001B75F0"/>
    <w:rsid w:val="001B7C46"/>
    <w:rsid w:val="001C0903"/>
    <w:rsid w:val="001C0EF5"/>
    <w:rsid w:val="001C1027"/>
    <w:rsid w:val="001C2053"/>
    <w:rsid w:val="001C21D7"/>
    <w:rsid w:val="001C2335"/>
    <w:rsid w:val="001C30DC"/>
    <w:rsid w:val="001C3847"/>
    <w:rsid w:val="001C426D"/>
    <w:rsid w:val="001C4992"/>
    <w:rsid w:val="001C4CC9"/>
    <w:rsid w:val="001C512C"/>
    <w:rsid w:val="001C53C2"/>
    <w:rsid w:val="001C5C76"/>
    <w:rsid w:val="001C6337"/>
    <w:rsid w:val="001C70FB"/>
    <w:rsid w:val="001C75BB"/>
    <w:rsid w:val="001D0206"/>
    <w:rsid w:val="001D130B"/>
    <w:rsid w:val="001D1BEC"/>
    <w:rsid w:val="001D1CC5"/>
    <w:rsid w:val="001D3E74"/>
    <w:rsid w:val="001D464F"/>
    <w:rsid w:val="001D4AAC"/>
    <w:rsid w:val="001D50F8"/>
    <w:rsid w:val="001D5955"/>
    <w:rsid w:val="001D5D53"/>
    <w:rsid w:val="001D6702"/>
    <w:rsid w:val="001D6A30"/>
    <w:rsid w:val="001D7422"/>
    <w:rsid w:val="001D7553"/>
    <w:rsid w:val="001E087E"/>
    <w:rsid w:val="001E0E58"/>
    <w:rsid w:val="001E295A"/>
    <w:rsid w:val="001E29A3"/>
    <w:rsid w:val="001E3178"/>
    <w:rsid w:val="001E346A"/>
    <w:rsid w:val="001E3AF7"/>
    <w:rsid w:val="001E4131"/>
    <w:rsid w:val="001E437D"/>
    <w:rsid w:val="001E6670"/>
    <w:rsid w:val="001E687F"/>
    <w:rsid w:val="001E6DD1"/>
    <w:rsid w:val="001E6F5D"/>
    <w:rsid w:val="001E76BE"/>
    <w:rsid w:val="001F0005"/>
    <w:rsid w:val="001F02D2"/>
    <w:rsid w:val="001F1006"/>
    <w:rsid w:val="001F14F8"/>
    <w:rsid w:val="001F1E91"/>
    <w:rsid w:val="001F2695"/>
    <w:rsid w:val="001F29E5"/>
    <w:rsid w:val="001F30D8"/>
    <w:rsid w:val="001F3540"/>
    <w:rsid w:val="001F37A1"/>
    <w:rsid w:val="001F396E"/>
    <w:rsid w:val="001F39E5"/>
    <w:rsid w:val="001F4305"/>
    <w:rsid w:val="001F4879"/>
    <w:rsid w:val="001F4DB4"/>
    <w:rsid w:val="001F4F92"/>
    <w:rsid w:val="001F5783"/>
    <w:rsid w:val="001F58F1"/>
    <w:rsid w:val="001F61DF"/>
    <w:rsid w:val="001F66F8"/>
    <w:rsid w:val="001F7C83"/>
    <w:rsid w:val="002000A1"/>
    <w:rsid w:val="0020084F"/>
    <w:rsid w:val="002019AE"/>
    <w:rsid w:val="00201D4D"/>
    <w:rsid w:val="00201DEA"/>
    <w:rsid w:val="00202287"/>
    <w:rsid w:val="0020238D"/>
    <w:rsid w:val="00202760"/>
    <w:rsid w:val="002030A4"/>
    <w:rsid w:val="002034D6"/>
    <w:rsid w:val="00204329"/>
    <w:rsid w:val="00204580"/>
    <w:rsid w:val="00204D03"/>
    <w:rsid w:val="00204FBB"/>
    <w:rsid w:val="00205071"/>
    <w:rsid w:val="00205596"/>
    <w:rsid w:val="00205A78"/>
    <w:rsid w:val="00205B1E"/>
    <w:rsid w:val="00205BC5"/>
    <w:rsid w:val="00205F8F"/>
    <w:rsid w:val="00206278"/>
    <w:rsid w:val="002071DE"/>
    <w:rsid w:val="002076A2"/>
    <w:rsid w:val="00207833"/>
    <w:rsid w:val="00207899"/>
    <w:rsid w:val="002079B3"/>
    <w:rsid w:val="00207AD1"/>
    <w:rsid w:val="00207B01"/>
    <w:rsid w:val="00210D7A"/>
    <w:rsid w:val="002112B8"/>
    <w:rsid w:val="0021176A"/>
    <w:rsid w:val="00212221"/>
    <w:rsid w:val="002126AF"/>
    <w:rsid w:val="00212773"/>
    <w:rsid w:val="00213476"/>
    <w:rsid w:val="00213CD0"/>
    <w:rsid w:val="00213CDE"/>
    <w:rsid w:val="00215898"/>
    <w:rsid w:val="002158AA"/>
    <w:rsid w:val="00215C6B"/>
    <w:rsid w:val="00216524"/>
    <w:rsid w:val="002176EC"/>
    <w:rsid w:val="00220573"/>
    <w:rsid w:val="002208E0"/>
    <w:rsid w:val="00221FDF"/>
    <w:rsid w:val="002222A4"/>
    <w:rsid w:val="00222B85"/>
    <w:rsid w:val="00222E05"/>
    <w:rsid w:val="002252F5"/>
    <w:rsid w:val="00225914"/>
    <w:rsid w:val="00225F03"/>
    <w:rsid w:val="0022685C"/>
    <w:rsid w:val="00227271"/>
    <w:rsid w:val="002273AC"/>
    <w:rsid w:val="00231474"/>
    <w:rsid w:val="0023164B"/>
    <w:rsid w:val="00232160"/>
    <w:rsid w:val="00232FAD"/>
    <w:rsid w:val="002334C5"/>
    <w:rsid w:val="00234A6A"/>
    <w:rsid w:val="00234BB9"/>
    <w:rsid w:val="00235164"/>
    <w:rsid w:val="0023767C"/>
    <w:rsid w:val="00237E8F"/>
    <w:rsid w:val="0024035B"/>
    <w:rsid w:val="002422E8"/>
    <w:rsid w:val="00242842"/>
    <w:rsid w:val="00242990"/>
    <w:rsid w:val="002429DA"/>
    <w:rsid w:val="00243231"/>
    <w:rsid w:val="0024359B"/>
    <w:rsid w:val="00243D21"/>
    <w:rsid w:val="0024427C"/>
    <w:rsid w:val="00244AEA"/>
    <w:rsid w:val="00244EA4"/>
    <w:rsid w:val="002456B4"/>
    <w:rsid w:val="00245AC4"/>
    <w:rsid w:val="00245D0A"/>
    <w:rsid w:val="00246279"/>
    <w:rsid w:val="002467DA"/>
    <w:rsid w:val="00246CA9"/>
    <w:rsid w:val="0024715D"/>
    <w:rsid w:val="002471AC"/>
    <w:rsid w:val="00247256"/>
    <w:rsid w:val="00247390"/>
    <w:rsid w:val="0025014A"/>
    <w:rsid w:val="0025028B"/>
    <w:rsid w:val="002515CC"/>
    <w:rsid w:val="002516A7"/>
    <w:rsid w:val="002528A8"/>
    <w:rsid w:val="00252A4D"/>
    <w:rsid w:val="00252EB6"/>
    <w:rsid w:val="0025316C"/>
    <w:rsid w:val="002533A2"/>
    <w:rsid w:val="00253648"/>
    <w:rsid w:val="00253C84"/>
    <w:rsid w:val="00254260"/>
    <w:rsid w:val="00254CAE"/>
    <w:rsid w:val="00254D11"/>
    <w:rsid w:val="00255885"/>
    <w:rsid w:val="00255A97"/>
    <w:rsid w:val="00255EA5"/>
    <w:rsid w:val="002560A4"/>
    <w:rsid w:val="00256665"/>
    <w:rsid w:val="00256EF5"/>
    <w:rsid w:val="002604BE"/>
    <w:rsid w:val="00260A68"/>
    <w:rsid w:val="0026159D"/>
    <w:rsid w:val="002618C9"/>
    <w:rsid w:val="00261D0C"/>
    <w:rsid w:val="002620EE"/>
    <w:rsid w:val="0026263E"/>
    <w:rsid w:val="00262CA2"/>
    <w:rsid w:val="0026361F"/>
    <w:rsid w:val="00264439"/>
    <w:rsid w:val="0026456D"/>
    <w:rsid w:val="00265C77"/>
    <w:rsid w:val="00265D84"/>
    <w:rsid w:val="00270931"/>
    <w:rsid w:val="00270A39"/>
    <w:rsid w:val="00270B74"/>
    <w:rsid w:val="0027107F"/>
    <w:rsid w:val="002713C1"/>
    <w:rsid w:val="00271A6F"/>
    <w:rsid w:val="00272484"/>
    <w:rsid w:val="00273274"/>
    <w:rsid w:val="00273A4A"/>
    <w:rsid w:val="00273E4B"/>
    <w:rsid w:val="002741A6"/>
    <w:rsid w:val="002744B8"/>
    <w:rsid w:val="00274675"/>
    <w:rsid w:val="00275067"/>
    <w:rsid w:val="00275127"/>
    <w:rsid w:val="002753DB"/>
    <w:rsid w:val="002757DD"/>
    <w:rsid w:val="00275ACD"/>
    <w:rsid w:val="00275F97"/>
    <w:rsid w:val="0027637F"/>
    <w:rsid w:val="00276A43"/>
    <w:rsid w:val="002777DC"/>
    <w:rsid w:val="00277AD0"/>
    <w:rsid w:val="00277D1E"/>
    <w:rsid w:val="00280213"/>
    <w:rsid w:val="00283AB5"/>
    <w:rsid w:val="00283F65"/>
    <w:rsid w:val="00284258"/>
    <w:rsid w:val="002851F0"/>
    <w:rsid w:val="0028525E"/>
    <w:rsid w:val="00285373"/>
    <w:rsid w:val="002859F2"/>
    <w:rsid w:val="00285FE7"/>
    <w:rsid w:val="002863E8"/>
    <w:rsid w:val="00286C4F"/>
    <w:rsid w:val="00286D66"/>
    <w:rsid w:val="00286F8E"/>
    <w:rsid w:val="00287457"/>
    <w:rsid w:val="00287CCA"/>
    <w:rsid w:val="0029032C"/>
    <w:rsid w:val="0029071D"/>
    <w:rsid w:val="00290A14"/>
    <w:rsid w:val="00291EC8"/>
    <w:rsid w:val="002938FF"/>
    <w:rsid w:val="00294192"/>
    <w:rsid w:val="002951B2"/>
    <w:rsid w:val="00296340"/>
    <w:rsid w:val="002965FB"/>
    <w:rsid w:val="00296B7A"/>
    <w:rsid w:val="00296DB2"/>
    <w:rsid w:val="00296F5D"/>
    <w:rsid w:val="002971BD"/>
    <w:rsid w:val="002978B5"/>
    <w:rsid w:val="002A03FB"/>
    <w:rsid w:val="002A1652"/>
    <w:rsid w:val="002A1AA2"/>
    <w:rsid w:val="002A1B7B"/>
    <w:rsid w:val="002A1BD4"/>
    <w:rsid w:val="002A1DCF"/>
    <w:rsid w:val="002A1E0E"/>
    <w:rsid w:val="002A255D"/>
    <w:rsid w:val="002A2851"/>
    <w:rsid w:val="002A29D4"/>
    <w:rsid w:val="002A4B1E"/>
    <w:rsid w:val="002A4E51"/>
    <w:rsid w:val="002A5264"/>
    <w:rsid w:val="002A54D3"/>
    <w:rsid w:val="002A5AF2"/>
    <w:rsid w:val="002A601F"/>
    <w:rsid w:val="002A6755"/>
    <w:rsid w:val="002A6A98"/>
    <w:rsid w:val="002A6D45"/>
    <w:rsid w:val="002A74C3"/>
    <w:rsid w:val="002A7DF1"/>
    <w:rsid w:val="002B074C"/>
    <w:rsid w:val="002B0992"/>
    <w:rsid w:val="002B0ED7"/>
    <w:rsid w:val="002B115C"/>
    <w:rsid w:val="002B2038"/>
    <w:rsid w:val="002B2B26"/>
    <w:rsid w:val="002B3876"/>
    <w:rsid w:val="002B39A7"/>
    <w:rsid w:val="002B39B9"/>
    <w:rsid w:val="002B3D6B"/>
    <w:rsid w:val="002B42FB"/>
    <w:rsid w:val="002B4555"/>
    <w:rsid w:val="002B45B6"/>
    <w:rsid w:val="002B4DF2"/>
    <w:rsid w:val="002B4E89"/>
    <w:rsid w:val="002B52A0"/>
    <w:rsid w:val="002B5633"/>
    <w:rsid w:val="002B59CB"/>
    <w:rsid w:val="002B5B5C"/>
    <w:rsid w:val="002B64B9"/>
    <w:rsid w:val="002B6748"/>
    <w:rsid w:val="002B767C"/>
    <w:rsid w:val="002C079F"/>
    <w:rsid w:val="002C0DD6"/>
    <w:rsid w:val="002C1BA5"/>
    <w:rsid w:val="002C1F7A"/>
    <w:rsid w:val="002C318C"/>
    <w:rsid w:val="002C3676"/>
    <w:rsid w:val="002C368C"/>
    <w:rsid w:val="002C3E24"/>
    <w:rsid w:val="002C41B5"/>
    <w:rsid w:val="002C4620"/>
    <w:rsid w:val="002C4913"/>
    <w:rsid w:val="002C5C85"/>
    <w:rsid w:val="002C71E7"/>
    <w:rsid w:val="002C78B7"/>
    <w:rsid w:val="002C7EDB"/>
    <w:rsid w:val="002D0623"/>
    <w:rsid w:val="002D0849"/>
    <w:rsid w:val="002D0B50"/>
    <w:rsid w:val="002D1CFA"/>
    <w:rsid w:val="002D216B"/>
    <w:rsid w:val="002D31A3"/>
    <w:rsid w:val="002D3F99"/>
    <w:rsid w:val="002D46A5"/>
    <w:rsid w:val="002D4E0C"/>
    <w:rsid w:val="002D4F92"/>
    <w:rsid w:val="002D64B5"/>
    <w:rsid w:val="002D6C1C"/>
    <w:rsid w:val="002D6E99"/>
    <w:rsid w:val="002D7610"/>
    <w:rsid w:val="002E0013"/>
    <w:rsid w:val="002E0421"/>
    <w:rsid w:val="002E25F6"/>
    <w:rsid w:val="002E27D5"/>
    <w:rsid w:val="002E2A7F"/>
    <w:rsid w:val="002E3027"/>
    <w:rsid w:val="002E330C"/>
    <w:rsid w:val="002E34FD"/>
    <w:rsid w:val="002E3CBA"/>
    <w:rsid w:val="002E3D48"/>
    <w:rsid w:val="002E4B3F"/>
    <w:rsid w:val="002E4E9E"/>
    <w:rsid w:val="002E5186"/>
    <w:rsid w:val="002E5BDE"/>
    <w:rsid w:val="002E5E44"/>
    <w:rsid w:val="002E671D"/>
    <w:rsid w:val="002E69E6"/>
    <w:rsid w:val="002E74C3"/>
    <w:rsid w:val="002E75B9"/>
    <w:rsid w:val="002F0241"/>
    <w:rsid w:val="002F1241"/>
    <w:rsid w:val="002F13A5"/>
    <w:rsid w:val="002F1C92"/>
    <w:rsid w:val="002F252D"/>
    <w:rsid w:val="002F3983"/>
    <w:rsid w:val="002F3A78"/>
    <w:rsid w:val="002F3C2F"/>
    <w:rsid w:val="002F6044"/>
    <w:rsid w:val="002F615B"/>
    <w:rsid w:val="002F6362"/>
    <w:rsid w:val="002F686A"/>
    <w:rsid w:val="002F6D4C"/>
    <w:rsid w:val="003005ED"/>
    <w:rsid w:val="00300FB6"/>
    <w:rsid w:val="0030209B"/>
    <w:rsid w:val="003021BA"/>
    <w:rsid w:val="003026BC"/>
    <w:rsid w:val="00302AA9"/>
    <w:rsid w:val="00302B50"/>
    <w:rsid w:val="00302B57"/>
    <w:rsid w:val="0030441F"/>
    <w:rsid w:val="0030447C"/>
    <w:rsid w:val="003048EC"/>
    <w:rsid w:val="00304FFF"/>
    <w:rsid w:val="003052FB"/>
    <w:rsid w:val="00305527"/>
    <w:rsid w:val="0030657D"/>
    <w:rsid w:val="00306857"/>
    <w:rsid w:val="003068CE"/>
    <w:rsid w:val="00306ABD"/>
    <w:rsid w:val="00307284"/>
    <w:rsid w:val="0030736A"/>
    <w:rsid w:val="003118C1"/>
    <w:rsid w:val="003119F5"/>
    <w:rsid w:val="00311A28"/>
    <w:rsid w:val="00312129"/>
    <w:rsid w:val="003123B8"/>
    <w:rsid w:val="00312F76"/>
    <w:rsid w:val="003132C8"/>
    <w:rsid w:val="003134F3"/>
    <w:rsid w:val="00313866"/>
    <w:rsid w:val="0031412B"/>
    <w:rsid w:val="00315470"/>
    <w:rsid w:val="0031560A"/>
    <w:rsid w:val="00315E00"/>
    <w:rsid w:val="00315F59"/>
    <w:rsid w:val="00316271"/>
    <w:rsid w:val="00316C19"/>
    <w:rsid w:val="003170DB"/>
    <w:rsid w:val="0031761A"/>
    <w:rsid w:val="00317B47"/>
    <w:rsid w:val="00320BB1"/>
    <w:rsid w:val="00320C5C"/>
    <w:rsid w:val="0032175E"/>
    <w:rsid w:val="003227D7"/>
    <w:rsid w:val="00322C28"/>
    <w:rsid w:val="00322CF2"/>
    <w:rsid w:val="00323376"/>
    <w:rsid w:val="00323C75"/>
    <w:rsid w:val="00324017"/>
    <w:rsid w:val="00324941"/>
    <w:rsid w:val="003256CB"/>
    <w:rsid w:val="00325939"/>
    <w:rsid w:val="00326091"/>
    <w:rsid w:val="00326E61"/>
    <w:rsid w:val="00327CA9"/>
    <w:rsid w:val="00327E4B"/>
    <w:rsid w:val="00327EE6"/>
    <w:rsid w:val="00330ADD"/>
    <w:rsid w:val="00330EE0"/>
    <w:rsid w:val="00331FBB"/>
    <w:rsid w:val="0033231E"/>
    <w:rsid w:val="00332B5D"/>
    <w:rsid w:val="00332CE6"/>
    <w:rsid w:val="00333457"/>
    <w:rsid w:val="0033367E"/>
    <w:rsid w:val="00333758"/>
    <w:rsid w:val="00333933"/>
    <w:rsid w:val="0033443A"/>
    <w:rsid w:val="00334EBB"/>
    <w:rsid w:val="00335633"/>
    <w:rsid w:val="00335949"/>
    <w:rsid w:val="00335C10"/>
    <w:rsid w:val="00335F14"/>
    <w:rsid w:val="003365F9"/>
    <w:rsid w:val="00336DC1"/>
    <w:rsid w:val="00336F70"/>
    <w:rsid w:val="003371DE"/>
    <w:rsid w:val="003371E3"/>
    <w:rsid w:val="0033732A"/>
    <w:rsid w:val="003378AB"/>
    <w:rsid w:val="00340570"/>
    <w:rsid w:val="00340AA1"/>
    <w:rsid w:val="00340EF2"/>
    <w:rsid w:val="003418F6"/>
    <w:rsid w:val="003423B9"/>
    <w:rsid w:val="00342ECD"/>
    <w:rsid w:val="00342F7A"/>
    <w:rsid w:val="00342F87"/>
    <w:rsid w:val="00345DBC"/>
    <w:rsid w:val="00345FDC"/>
    <w:rsid w:val="00346118"/>
    <w:rsid w:val="00346246"/>
    <w:rsid w:val="003465E7"/>
    <w:rsid w:val="003467FF"/>
    <w:rsid w:val="00347CC8"/>
    <w:rsid w:val="00347E03"/>
    <w:rsid w:val="0035004A"/>
    <w:rsid w:val="0035013C"/>
    <w:rsid w:val="00351093"/>
    <w:rsid w:val="003510FC"/>
    <w:rsid w:val="00351255"/>
    <w:rsid w:val="00351464"/>
    <w:rsid w:val="00352189"/>
    <w:rsid w:val="00352347"/>
    <w:rsid w:val="00352F87"/>
    <w:rsid w:val="0035311A"/>
    <w:rsid w:val="00353973"/>
    <w:rsid w:val="00354973"/>
    <w:rsid w:val="00354B72"/>
    <w:rsid w:val="00355EE3"/>
    <w:rsid w:val="0035600B"/>
    <w:rsid w:val="003574A7"/>
    <w:rsid w:val="003576D4"/>
    <w:rsid w:val="00360117"/>
    <w:rsid w:val="003606E1"/>
    <w:rsid w:val="00361394"/>
    <w:rsid w:val="00361670"/>
    <w:rsid w:val="00362155"/>
    <w:rsid w:val="0036231F"/>
    <w:rsid w:val="00362A37"/>
    <w:rsid w:val="00362D40"/>
    <w:rsid w:val="003630CC"/>
    <w:rsid w:val="003636D2"/>
    <w:rsid w:val="003639BA"/>
    <w:rsid w:val="00363AC9"/>
    <w:rsid w:val="0036452D"/>
    <w:rsid w:val="003645F5"/>
    <w:rsid w:val="003648A1"/>
    <w:rsid w:val="00364955"/>
    <w:rsid w:val="00364B61"/>
    <w:rsid w:val="003675B6"/>
    <w:rsid w:val="00367875"/>
    <w:rsid w:val="00370091"/>
    <w:rsid w:val="003703B4"/>
    <w:rsid w:val="00370537"/>
    <w:rsid w:val="0037136A"/>
    <w:rsid w:val="00371A5B"/>
    <w:rsid w:val="003728BB"/>
    <w:rsid w:val="00373978"/>
    <w:rsid w:val="00374C50"/>
    <w:rsid w:val="0037502C"/>
    <w:rsid w:val="003750F7"/>
    <w:rsid w:val="00375118"/>
    <w:rsid w:val="003756C5"/>
    <w:rsid w:val="00375A08"/>
    <w:rsid w:val="00375BA4"/>
    <w:rsid w:val="0037642D"/>
    <w:rsid w:val="003766D7"/>
    <w:rsid w:val="00376F3E"/>
    <w:rsid w:val="00376F6F"/>
    <w:rsid w:val="00380B24"/>
    <w:rsid w:val="00380F0D"/>
    <w:rsid w:val="003818EB"/>
    <w:rsid w:val="003825A1"/>
    <w:rsid w:val="003826B6"/>
    <w:rsid w:val="00382BEB"/>
    <w:rsid w:val="00382CDC"/>
    <w:rsid w:val="003830CB"/>
    <w:rsid w:val="00383518"/>
    <w:rsid w:val="0038375F"/>
    <w:rsid w:val="00383F54"/>
    <w:rsid w:val="0038417B"/>
    <w:rsid w:val="003844DF"/>
    <w:rsid w:val="00385393"/>
    <w:rsid w:val="0038671A"/>
    <w:rsid w:val="00386963"/>
    <w:rsid w:val="00386D99"/>
    <w:rsid w:val="0038701C"/>
    <w:rsid w:val="003872D1"/>
    <w:rsid w:val="003900C2"/>
    <w:rsid w:val="0039068C"/>
    <w:rsid w:val="003910A3"/>
    <w:rsid w:val="00391130"/>
    <w:rsid w:val="00391252"/>
    <w:rsid w:val="0039281D"/>
    <w:rsid w:val="0039391C"/>
    <w:rsid w:val="00393A53"/>
    <w:rsid w:val="00393F40"/>
    <w:rsid w:val="0039462E"/>
    <w:rsid w:val="00394CFE"/>
    <w:rsid w:val="00395B7E"/>
    <w:rsid w:val="003970E7"/>
    <w:rsid w:val="003971E8"/>
    <w:rsid w:val="00397F98"/>
    <w:rsid w:val="003A067D"/>
    <w:rsid w:val="003A0DA8"/>
    <w:rsid w:val="003A1798"/>
    <w:rsid w:val="003A1AE3"/>
    <w:rsid w:val="003A1E14"/>
    <w:rsid w:val="003A2107"/>
    <w:rsid w:val="003A235A"/>
    <w:rsid w:val="003A26C1"/>
    <w:rsid w:val="003A41B0"/>
    <w:rsid w:val="003A4431"/>
    <w:rsid w:val="003A4998"/>
    <w:rsid w:val="003A4C1A"/>
    <w:rsid w:val="003A54D2"/>
    <w:rsid w:val="003A5871"/>
    <w:rsid w:val="003A68E6"/>
    <w:rsid w:val="003A7301"/>
    <w:rsid w:val="003B0059"/>
    <w:rsid w:val="003B0166"/>
    <w:rsid w:val="003B0EEE"/>
    <w:rsid w:val="003B1002"/>
    <w:rsid w:val="003B1040"/>
    <w:rsid w:val="003B161E"/>
    <w:rsid w:val="003B174E"/>
    <w:rsid w:val="003B2AAE"/>
    <w:rsid w:val="003B37E6"/>
    <w:rsid w:val="003B3CD6"/>
    <w:rsid w:val="003B4585"/>
    <w:rsid w:val="003B4667"/>
    <w:rsid w:val="003B4704"/>
    <w:rsid w:val="003B47BC"/>
    <w:rsid w:val="003B4B72"/>
    <w:rsid w:val="003B4D70"/>
    <w:rsid w:val="003B56FA"/>
    <w:rsid w:val="003B5C3B"/>
    <w:rsid w:val="003B6065"/>
    <w:rsid w:val="003B6503"/>
    <w:rsid w:val="003B6661"/>
    <w:rsid w:val="003B6B54"/>
    <w:rsid w:val="003B6C79"/>
    <w:rsid w:val="003B6E11"/>
    <w:rsid w:val="003C0209"/>
    <w:rsid w:val="003C0A93"/>
    <w:rsid w:val="003C0EFC"/>
    <w:rsid w:val="003C1600"/>
    <w:rsid w:val="003C164F"/>
    <w:rsid w:val="003C1E38"/>
    <w:rsid w:val="003C1E4A"/>
    <w:rsid w:val="003C22C6"/>
    <w:rsid w:val="003C2CC4"/>
    <w:rsid w:val="003C31B9"/>
    <w:rsid w:val="003C3298"/>
    <w:rsid w:val="003C32E3"/>
    <w:rsid w:val="003C3507"/>
    <w:rsid w:val="003C38B5"/>
    <w:rsid w:val="003C3A00"/>
    <w:rsid w:val="003C4317"/>
    <w:rsid w:val="003C458E"/>
    <w:rsid w:val="003C4A30"/>
    <w:rsid w:val="003C4F41"/>
    <w:rsid w:val="003C5265"/>
    <w:rsid w:val="003C73DA"/>
    <w:rsid w:val="003C7AAD"/>
    <w:rsid w:val="003D0BF6"/>
    <w:rsid w:val="003D0EB0"/>
    <w:rsid w:val="003D23D9"/>
    <w:rsid w:val="003D301A"/>
    <w:rsid w:val="003D3984"/>
    <w:rsid w:val="003D3A35"/>
    <w:rsid w:val="003D4D5E"/>
    <w:rsid w:val="003D4DF8"/>
    <w:rsid w:val="003D5096"/>
    <w:rsid w:val="003D509A"/>
    <w:rsid w:val="003D550E"/>
    <w:rsid w:val="003D59AF"/>
    <w:rsid w:val="003D5C40"/>
    <w:rsid w:val="003D5F23"/>
    <w:rsid w:val="003D68B4"/>
    <w:rsid w:val="003D6DD9"/>
    <w:rsid w:val="003D7799"/>
    <w:rsid w:val="003D790F"/>
    <w:rsid w:val="003D7F1C"/>
    <w:rsid w:val="003E1109"/>
    <w:rsid w:val="003E2285"/>
    <w:rsid w:val="003E2318"/>
    <w:rsid w:val="003E2E20"/>
    <w:rsid w:val="003E316D"/>
    <w:rsid w:val="003E33F8"/>
    <w:rsid w:val="003E359D"/>
    <w:rsid w:val="003E361C"/>
    <w:rsid w:val="003E395B"/>
    <w:rsid w:val="003E3CAB"/>
    <w:rsid w:val="003E4D95"/>
    <w:rsid w:val="003E4EA9"/>
    <w:rsid w:val="003E4FEF"/>
    <w:rsid w:val="003E5339"/>
    <w:rsid w:val="003E6395"/>
    <w:rsid w:val="003E6589"/>
    <w:rsid w:val="003E6C3F"/>
    <w:rsid w:val="003F0726"/>
    <w:rsid w:val="003F1D37"/>
    <w:rsid w:val="003F24F5"/>
    <w:rsid w:val="003F2BEA"/>
    <w:rsid w:val="003F2E92"/>
    <w:rsid w:val="003F46D6"/>
    <w:rsid w:val="003F49CA"/>
    <w:rsid w:val="003F4FCC"/>
    <w:rsid w:val="003F6294"/>
    <w:rsid w:val="003F6B37"/>
    <w:rsid w:val="003F6D0A"/>
    <w:rsid w:val="003F6EE0"/>
    <w:rsid w:val="003F7A55"/>
    <w:rsid w:val="003F7A74"/>
    <w:rsid w:val="00400339"/>
    <w:rsid w:val="00400ADE"/>
    <w:rsid w:val="0040255D"/>
    <w:rsid w:val="00403308"/>
    <w:rsid w:val="00403A66"/>
    <w:rsid w:val="004040E4"/>
    <w:rsid w:val="0040455F"/>
    <w:rsid w:val="004050B3"/>
    <w:rsid w:val="004052EF"/>
    <w:rsid w:val="0040562C"/>
    <w:rsid w:val="00406398"/>
    <w:rsid w:val="00406CA6"/>
    <w:rsid w:val="004072D5"/>
    <w:rsid w:val="004073B3"/>
    <w:rsid w:val="00407769"/>
    <w:rsid w:val="004101A2"/>
    <w:rsid w:val="004112DE"/>
    <w:rsid w:val="0041195B"/>
    <w:rsid w:val="00412010"/>
    <w:rsid w:val="00413AD5"/>
    <w:rsid w:val="00413E35"/>
    <w:rsid w:val="00414148"/>
    <w:rsid w:val="0041461E"/>
    <w:rsid w:val="00414B53"/>
    <w:rsid w:val="00414ECD"/>
    <w:rsid w:val="0041526F"/>
    <w:rsid w:val="00415359"/>
    <w:rsid w:val="00415A59"/>
    <w:rsid w:val="00415EE0"/>
    <w:rsid w:val="00415F83"/>
    <w:rsid w:val="004160AF"/>
    <w:rsid w:val="00416626"/>
    <w:rsid w:val="004173A0"/>
    <w:rsid w:val="00421EBD"/>
    <w:rsid w:val="00421F20"/>
    <w:rsid w:val="0042225B"/>
    <w:rsid w:val="00422DD8"/>
    <w:rsid w:val="004233FB"/>
    <w:rsid w:val="00423699"/>
    <w:rsid w:val="00423A4F"/>
    <w:rsid w:val="00423D36"/>
    <w:rsid w:val="00424193"/>
    <w:rsid w:val="004243E5"/>
    <w:rsid w:val="004250B7"/>
    <w:rsid w:val="00425907"/>
    <w:rsid w:val="00425969"/>
    <w:rsid w:val="00425A44"/>
    <w:rsid w:val="00426538"/>
    <w:rsid w:val="00426546"/>
    <w:rsid w:val="00426589"/>
    <w:rsid w:val="00426F0C"/>
    <w:rsid w:val="00427190"/>
    <w:rsid w:val="004302D9"/>
    <w:rsid w:val="004303EE"/>
    <w:rsid w:val="004306BD"/>
    <w:rsid w:val="0043074F"/>
    <w:rsid w:val="00430BEC"/>
    <w:rsid w:val="00430C10"/>
    <w:rsid w:val="0043122F"/>
    <w:rsid w:val="0043168A"/>
    <w:rsid w:val="00431C49"/>
    <w:rsid w:val="0043200E"/>
    <w:rsid w:val="00432101"/>
    <w:rsid w:val="00432683"/>
    <w:rsid w:val="004329B3"/>
    <w:rsid w:val="00432B40"/>
    <w:rsid w:val="00432B76"/>
    <w:rsid w:val="00432CE1"/>
    <w:rsid w:val="0043541E"/>
    <w:rsid w:val="004354B5"/>
    <w:rsid w:val="004356C1"/>
    <w:rsid w:val="0043573C"/>
    <w:rsid w:val="004367D6"/>
    <w:rsid w:val="00437389"/>
    <w:rsid w:val="00437FF5"/>
    <w:rsid w:val="00440A03"/>
    <w:rsid w:val="00440CE7"/>
    <w:rsid w:val="00441248"/>
    <w:rsid w:val="00441890"/>
    <w:rsid w:val="004418C1"/>
    <w:rsid w:val="00441FAD"/>
    <w:rsid w:val="0044353A"/>
    <w:rsid w:val="004437B7"/>
    <w:rsid w:val="00445C5C"/>
    <w:rsid w:val="004463F0"/>
    <w:rsid w:val="00446ADF"/>
    <w:rsid w:val="004478CE"/>
    <w:rsid w:val="00447E4A"/>
    <w:rsid w:val="00450BF5"/>
    <w:rsid w:val="00451074"/>
    <w:rsid w:val="0045120D"/>
    <w:rsid w:val="00451295"/>
    <w:rsid w:val="00452754"/>
    <w:rsid w:val="00452972"/>
    <w:rsid w:val="00452B73"/>
    <w:rsid w:val="00452BA0"/>
    <w:rsid w:val="0045377A"/>
    <w:rsid w:val="00453A6E"/>
    <w:rsid w:val="00454B2E"/>
    <w:rsid w:val="00454B4F"/>
    <w:rsid w:val="00454B9C"/>
    <w:rsid w:val="004550F6"/>
    <w:rsid w:val="0045606A"/>
    <w:rsid w:val="00456188"/>
    <w:rsid w:val="00456750"/>
    <w:rsid w:val="00456915"/>
    <w:rsid w:val="00461996"/>
    <w:rsid w:val="00461EC9"/>
    <w:rsid w:val="004624DE"/>
    <w:rsid w:val="00462B0E"/>
    <w:rsid w:val="00463109"/>
    <w:rsid w:val="00463BF3"/>
    <w:rsid w:val="00463CCE"/>
    <w:rsid w:val="004648AC"/>
    <w:rsid w:val="004649E4"/>
    <w:rsid w:val="00464F35"/>
    <w:rsid w:val="0046514B"/>
    <w:rsid w:val="00465B26"/>
    <w:rsid w:val="00466007"/>
    <w:rsid w:val="0046698B"/>
    <w:rsid w:val="0046709D"/>
    <w:rsid w:val="00467DF5"/>
    <w:rsid w:val="00467F19"/>
    <w:rsid w:val="00470410"/>
    <w:rsid w:val="004707A1"/>
    <w:rsid w:val="00470F17"/>
    <w:rsid w:val="00471BDC"/>
    <w:rsid w:val="00471C7B"/>
    <w:rsid w:val="00471E4B"/>
    <w:rsid w:val="00473172"/>
    <w:rsid w:val="00473688"/>
    <w:rsid w:val="004744BC"/>
    <w:rsid w:val="00474BF3"/>
    <w:rsid w:val="00475254"/>
    <w:rsid w:val="00476A87"/>
    <w:rsid w:val="00476C8D"/>
    <w:rsid w:val="00477640"/>
    <w:rsid w:val="004777B9"/>
    <w:rsid w:val="0048034F"/>
    <w:rsid w:val="00480FA7"/>
    <w:rsid w:val="004816FA"/>
    <w:rsid w:val="004834E5"/>
    <w:rsid w:val="00483642"/>
    <w:rsid w:val="004839D5"/>
    <w:rsid w:val="00484568"/>
    <w:rsid w:val="00484606"/>
    <w:rsid w:val="004848C5"/>
    <w:rsid w:val="004858B0"/>
    <w:rsid w:val="0048595C"/>
    <w:rsid w:val="00485A2D"/>
    <w:rsid w:val="0048601C"/>
    <w:rsid w:val="00486299"/>
    <w:rsid w:val="00487646"/>
    <w:rsid w:val="00487BC5"/>
    <w:rsid w:val="00487C08"/>
    <w:rsid w:val="004902AB"/>
    <w:rsid w:val="00490499"/>
    <w:rsid w:val="00490991"/>
    <w:rsid w:val="00491846"/>
    <w:rsid w:val="00491886"/>
    <w:rsid w:val="00491F62"/>
    <w:rsid w:val="00492404"/>
    <w:rsid w:val="004928C2"/>
    <w:rsid w:val="004929EA"/>
    <w:rsid w:val="00492CCF"/>
    <w:rsid w:val="00492CF2"/>
    <w:rsid w:val="00494024"/>
    <w:rsid w:val="0049402B"/>
    <w:rsid w:val="0049522B"/>
    <w:rsid w:val="004961A9"/>
    <w:rsid w:val="00496DDD"/>
    <w:rsid w:val="004973E4"/>
    <w:rsid w:val="004A0282"/>
    <w:rsid w:val="004A057E"/>
    <w:rsid w:val="004A0760"/>
    <w:rsid w:val="004A0BFF"/>
    <w:rsid w:val="004A21F6"/>
    <w:rsid w:val="004A306D"/>
    <w:rsid w:val="004A3F58"/>
    <w:rsid w:val="004A4927"/>
    <w:rsid w:val="004A4967"/>
    <w:rsid w:val="004A5F3D"/>
    <w:rsid w:val="004A617D"/>
    <w:rsid w:val="004A63F9"/>
    <w:rsid w:val="004A71F0"/>
    <w:rsid w:val="004B08BC"/>
    <w:rsid w:val="004B08C4"/>
    <w:rsid w:val="004B0921"/>
    <w:rsid w:val="004B1961"/>
    <w:rsid w:val="004B27B0"/>
    <w:rsid w:val="004B28BF"/>
    <w:rsid w:val="004B2A96"/>
    <w:rsid w:val="004B2AB5"/>
    <w:rsid w:val="004B2F88"/>
    <w:rsid w:val="004B314A"/>
    <w:rsid w:val="004B3672"/>
    <w:rsid w:val="004B36B4"/>
    <w:rsid w:val="004B38F2"/>
    <w:rsid w:val="004B457A"/>
    <w:rsid w:val="004B4A71"/>
    <w:rsid w:val="004B4D79"/>
    <w:rsid w:val="004B50DD"/>
    <w:rsid w:val="004B5B21"/>
    <w:rsid w:val="004B6F7D"/>
    <w:rsid w:val="004B732F"/>
    <w:rsid w:val="004C0561"/>
    <w:rsid w:val="004C0756"/>
    <w:rsid w:val="004C09C9"/>
    <w:rsid w:val="004C10E0"/>
    <w:rsid w:val="004C15C7"/>
    <w:rsid w:val="004C1ED7"/>
    <w:rsid w:val="004C2806"/>
    <w:rsid w:val="004C2893"/>
    <w:rsid w:val="004C2FA3"/>
    <w:rsid w:val="004C3398"/>
    <w:rsid w:val="004C343C"/>
    <w:rsid w:val="004C3690"/>
    <w:rsid w:val="004C3761"/>
    <w:rsid w:val="004C3CCA"/>
    <w:rsid w:val="004C3FDB"/>
    <w:rsid w:val="004C43F6"/>
    <w:rsid w:val="004C47BC"/>
    <w:rsid w:val="004C4836"/>
    <w:rsid w:val="004C50E5"/>
    <w:rsid w:val="004C56DC"/>
    <w:rsid w:val="004C5C93"/>
    <w:rsid w:val="004C68A9"/>
    <w:rsid w:val="004C6932"/>
    <w:rsid w:val="004C6D6B"/>
    <w:rsid w:val="004C6F2D"/>
    <w:rsid w:val="004C7C56"/>
    <w:rsid w:val="004C7E1B"/>
    <w:rsid w:val="004D0136"/>
    <w:rsid w:val="004D0326"/>
    <w:rsid w:val="004D0B66"/>
    <w:rsid w:val="004D169C"/>
    <w:rsid w:val="004D23EA"/>
    <w:rsid w:val="004D2597"/>
    <w:rsid w:val="004D2CDD"/>
    <w:rsid w:val="004D2EBC"/>
    <w:rsid w:val="004D3C4D"/>
    <w:rsid w:val="004D53C7"/>
    <w:rsid w:val="004D548F"/>
    <w:rsid w:val="004D58E8"/>
    <w:rsid w:val="004D636E"/>
    <w:rsid w:val="004D6AE3"/>
    <w:rsid w:val="004D6E6F"/>
    <w:rsid w:val="004D7CF3"/>
    <w:rsid w:val="004D7D30"/>
    <w:rsid w:val="004D7EAB"/>
    <w:rsid w:val="004E05A7"/>
    <w:rsid w:val="004E0A53"/>
    <w:rsid w:val="004E1930"/>
    <w:rsid w:val="004E2C8B"/>
    <w:rsid w:val="004E3417"/>
    <w:rsid w:val="004E3F96"/>
    <w:rsid w:val="004E4FEA"/>
    <w:rsid w:val="004E5DEF"/>
    <w:rsid w:val="004E647A"/>
    <w:rsid w:val="004E65D9"/>
    <w:rsid w:val="004E68EC"/>
    <w:rsid w:val="004E6E0B"/>
    <w:rsid w:val="004E78DC"/>
    <w:rsid w:val="004E7C39"/>
    <w:rsid w:val="004F0E21"/>
    <w:rsid w:val="004F15E8"/>
    <w:rsid w:val="004F20F6"/>
    <w:rsid w:val="004F29EC"/>
    <w:rsid w:val="004F3B2F"/>
    <w:rsid w:val="004F4CF5"/>
    <w:rsid w:val="004F5360"/>
    <w:rsid w:val="004F536B"/>
    <w:rsid w:val="004F5390"/>
    <w:rsid w:val="004F5EB9"/>
    <w:rsid w:val="004F6769"/>
    <w:rsid w:val="004F727C"/>
    <w:rsid w:val="004F7331"/>
    <w:rsid w:val="005010B1"/>
    <w:rsid w:val="00502239"/>
    <w:rsid w:val="005033FB"/>
    <w:rsid w:val="005035D7"/>
    <w:rsid w:val="00504275"/>
    <w:rsid w:val="00504320"/>
    <w:rsid w:val="005043F5"/>
    <w:rsid w:val="00504D22"/>
    <w:rsid w:val="00507620"/>
    <w:rsid w:val="00507A1B"/>
    <w:rsid w:val="00510E8D"/>
    <w:rsid w:val="00512293"/>
    <w:rsid w:val="00512381"/>
    <w:rsid w:val="0051313E"/>
    <w:rsid w:val="00513681"/>
    <w:rsid w:val="005136B6"/>
    <w:rsid w:val="00513725"/>
    <w:rsid w:val="00514C61"/>
    <w:rsid w:val="005167E7"/>
    <w:rsid w:val="005177D0"/>
    <w:rsid w:val="00517C45"/>
    <w:rsid w:val="00520382"/>
    <w:rsid w:val="0052041C"/>
    <w:rsid w:val="005213A4"/>
    <w:rsid w:val="00522303"/>
    <w:rsid w:val="00523079"/>
    <w:rsid w:val="00523571"/>
    <w:rsid w:val="005240CE"/>
    <w:rsid w:val="00524343"/>
    <w:rsid w:val="00524369"/>
    <w:rsid w:val="00525497"/>
    <w:rsid w:val="005257F6"/>
    <w:rsid w:val="00525A1A"/>
    <w:rsid w:val="00525ACC"/>
    <w:rsid w:val="00525BC8"/>
    <w:rsid w:val="0052666E"/>
    <w:rsid w:val="005271FD"/>
    <w:rsid w:val="0052724C"/>
    <w:rsid w:val="005275AC"/>
    <w:rsid w:val="00530D51"/>
    <w:rsid w:val="00531D1E"/>
    <w:rsid w:val="00531E38"/>
    <w:rsid w:val="00531FBE"/>
    <w:rsid w:val="005322A5"/>
    <w:rsid w:val="00532505"/>
    <w:rsid w:val="005333A2"/>
    <w:rsid w:val="005334AB"/>
    <w:rsid w:val="00533586"/>
    <w:rsid w:val="00533CD2"/>
    <w:rsid w:val="00535629"/>
    <w:rsid w:val="005362EF"/>
    <w:rsid w:val="00536508"/>
    <w:rsid w:val="005367C8"/>
    <w:rsid w:val="005370D9"/>
    <w:rsid w:val="00537A09"/>
    <w:rsid w:val="00540084"/>
    <w:rsid w:val="00540BD2"/>
    <w:rsid w:val="00542034"/>
    <w:rsid w:val="0054262B"/>
    <w:rsid w:val="00542B1F"/>
    <w:rsid w:val="00542BB4"/>
    <w:rsid w:val="00542DF9"/>
    <w:rsid w:val="00543A78"/>
    <w:rsid w:val="00544175"/>
    <w:rsid w:val="005448A4"/>
    <w:rsid w:val="00544AD5"/>
    <w:rsid w:val="00544BD2"/>
    <w:rsid w:val="0054548F"/>
    <w:rsid w:val="0054589A"/>
    <w:rsid w:val="00545A6E"/>
    <w:rsid w:val="00545C00"/>
    <w:rsid w:val="00546C40"/>
    <w:rsid w:val="00546C93"/>
    <w:rsid w:val="00547356"/>
    <w:rsid w:val="00547518"/>
    <w:rsid w:val="00547F76"/>
    <w:rsid w:val="00547FD0"/>
    <w:rsid w:val="0055027F"/>
    <w:rsid w:val="005518E0"/>
    <w:rsid w:val="00551BE8"/>
    <w:rsid w:val="00551F69"/>
    <w:rsid w:val="00552632"/>
    <w:rsid w:val="00552D19"/>
    <w:rsid w:val="00553339"/>
    <w:rsid w:val="00553728"/>
    <w:rsid w:val="00553FD0"/>
    <w:rsid w:val="00554153"/>
    <w:rsid w:val="005543FE"/>
    <w:rsid w:val="0055440C"/>
    <w:rsid w:val="00554A1D"/>
    <w:rsid w:val="00554D66"/>
    <w:rsid w:val="005554F5"/>
    <w:rsid w:val="00555741"/>
    <w:rsid w:val="00555792"/>
    <w:rsid w:val="005558FB"/>
    <w:rsid w:val="00556CC9"/>
    <w:rsid w:val="005578F0"/>
    <w:rsid w:val="00557A62"/>
    <w:rsid w:val="00560DEB"/>
    <w:rsid w:val="00561A53"/>
    <w:rsid w:val="005622DA"/>
    <w:rsid w:val="0056299E"/>
    <w:rsid w:val="0056349C"/>
    <w:rsid w:val="005637B0"/>
    <w:rsid w:val="00564F67"/>
    <w:rsid w:val="00565B02"/>
    <w:rsid w:val="005660EA"/>
    <w:rsid w:val="0056676D"/>
    <w:rsid w:val="00566BA6"/>
    <w:rsid w:val="005674F6"/>
    <w:rsid w:val="00567B2C"/>
    <w:rsid w:val="00567FCE"/>
    <w:rsid w:val="00571355"/>
    <w:rsid w:val="0057282D"/>
    <w:rsid w:val="005729DA"/>
    <w:rsid w:val="00572A69"/>
    <w:rsid w:val="0057352C"/>
    <w:rsid w:val="00573799"/>
    <w:rsid w:val="00574ED7"/>
    <w:rsid w:val="00574FA8"/>
    <w:rsid w:val="005757F3"/>
    <w:rsid w:val="00576242"/>
    <w:rsid w:val="0057632F"/>
    <w:rsid w:val="00576335"/>
    <w:rsid w:val="00576542"/>
    <w:rsid w:val="005765A0"/>
    <w:rsid w:val="005765E1"/>
    <w:rsid w:val="0057749F"/>
    <w:rsid w:val="00577F7A"/>
    <w:rsid w:val="005803A7"/>
    <w:rsid w:val="005803C0"/>
    <w:rsid w:val="00580B0B"/>
    <w:rsid w:val="00580B7E"/>
    <w:rsid w:val="0058126D"/>
    <w:rsid w:val="00581784"/>
    <w:rsid w:val="00581A07"/>
    <w:rsid w:val="00582134"/>
    <w:rsid w:val="00582A7C"/>
    <w:rsid w:val="00583552"/>
    <w:rsid w:val="005835B0"/>
    <w:rsid w:val="005841EF"/>
    <w:rsid w:val="0058444C"/>
    <w:rsid w:val="005852BE"/>
    <w:rsid w:val="005856AA"/>
    <w:rsid w:val="0058653B"/>
    <w:rsid w:val="005879A2"/>
    <w:rsid w:val="00587C37"/>
    <w:rsid w:val="005902D1"/>
    <w:rsid w:val="005916B9"/>
    <w:rsid w:val="00591F52"/>
    <w:rsid w:val="0059206A"/>
    <w:rsid w:val="0059220E"/>
    <w:rsid w:val="00592407"/>
    <w:rsid w:val="005929DD"/>
    <w:rsid w:val="00592E0D"/>
    <w:rsid w:val="00593385"/>
    <w:rsid w:val="00593612"/>
    <w:rsid w:val="005938B8"/>
    <w:rsid w:val="00593998"/>
    <w:rsid w:val="005948CC"/>
    <w:rsid w:val="005953B0"/>
    <w:rsid w:val="005965B7"/>
    <w:rsid w:val="00596890"/>
    <w:rsid w:val="0059695F"/>
    <w:rsid w:val="00596992"/>
    <w:rsid w:val="005969DF"/>
    <w:rsid w:val="00596C73"/>
    <w:rsid w:val="00596CBF"/>
    <w:rsid w:val="005971CA"/>
    <w:rsid w:val="0059769E"/>
    <w:rsid w:val="005A050D"/>
    <w:rsid w:val="005A0BD9"/>
    <w:rsid w:val="005A0F80"/>
    <w:rsid w:val="005A1F14"/>
    <w:rsid w:val="005A33D7"/>
    <w:rsid w:val="005A371F"/>
    <w:rsid w:val="005A3A31"/>
    <w:rsid w:val="005A497E"/>
    <w:rsid w:val="005A4B58"/>
    <w:rsid w:val="005A53B1"/>
    <w:rsid w:val="005A6852"/>
    <w:rsid w:val="005A76A6"/>
    <w:rsid w:val="005A7C48"/>
    <w:rsid w:val="005B04ED"/>
    <w:rsid w:val="005B1846"/>
    <w:rsid w:val="005B2494"/>
    <w:rsid w:val="005B2899"/>
    <w:rsid w:val="005B2D08"/>
    <w:rsid w:val="005B2F2B"/>
    <w:rsid w:val="005B30A5"/>
    <w:rsid w:val="005B402E"/>
    <w:rsid w:val="005B41E5"/>
    <w:rsid w:val="005B41EE"/>
    <w:rsid w:val="005B5C4C"/>
    <w:rsid w:val="005B5F15"/>
    <w:rsid w:val="005B6AFA"/>
    <w:rsid w:val="005B6D09"/>
    <w:rsid w:val="005B76DD"/>
    <w:rsid w:val="005B7776"/>
    <w:rsid w:val="005B7AF5"/>
    <w:rsid w:val="005B7BC9"/>
    <w:rsid w:val="005C0773"/>
    <w:rsid w:val="005C12E3"/>
    <w:rsid w:val="005C1564"/>
    <w:rsid w:val="005C2255"/>
    <w:rsid w:val="005C29A7"/>
    <w:rsid w:val="005C33F4"/>
    <w:rsid w:val="005C34C7"/>
    <w:rsid w:val="005C34CB"/>
    <w:rsid w:val="005C39A1"/>
    <w:rsid w:val="005C3FD3"/>
    <w:rsid w:val="005C40EB"/>
    <w:rsid w:val="005C42F0"/>
    <w:rsid w:val="005C5378"/>
    <w:rsid w:val="005C594C"/>
    <w:rsid w:val="005C5B34"/>
    <w:rsid w:val="005C5ED6"/>
    <w:rsid w:val="005C6397"/>
    <w:rsid w:val="005C6A89"/>
    <w:rsid w:val="005C6E35"/>
    <w:rsid w:val="005C7345"/>
    <w:rsid w:val="005C77D2"/>
    <w:rsid w:val="005C7C53"/>
    <w:rsid w:val="005C7CB9"/>
    <w:rsid w:val="005C7E78"/>
    <w:rsid w:val="005D0911"/>
    <w:rsid w:val="005D1445"/>
    <w:rsid w:val="005D1D1E"/>
    <w:rsid w:val="005D1D8C"/>
    <w:rsid w:val="005D1E66"/>
    <w:rsid w:val="005D28B7"/>
    <w:rsid w:val="005D2B7B"/>
    <w:rsid w:val="005D2C81"/>
    <w:rsid w:val="005D2CBD"/>
    <w:rsid w:val="005D3934"/>
    <w:rsid w:val="005D438D"/>
    <w:rsid w:val="005D462A"/>
    <w:rsid w:val="005D4AAA"/>
    <w:rsid w:val="005D55E5"/>
    <w:rsid w:val="005D6F53"/>
    <w:rsid w:val="005D70F5"/>
    <w:rsid w:val="005D7F56"/>
    <w:rsid w:val="005E0026"/>
    <w:rsid w:val="005E08F7"/>
    <w:rsid w:val="005E111C"/>
    <w:rsid w:val="005E113B"/>
    <w:rsid w:val="005E1B0F"/>
    <w:rsid w:val="005E26DC"/>
    <w:rsid w:val="005E31C0"/>
    <w:rsid w:val="005E48F7"/>
    <w:rsid w:val="005E5883"/>
    <w:rsid w:val="005E6537"/>
    <w:rsid w:val="005E67A8"/>
    <w:rsid w:val="005E6F3E"/>
    <w:rsid w:val="005E70D1"/>
    <w:rsid w:val="005E717C"/>
    <w:rsid w:val="005E7521"/>
    <w:rsid w:val="005E7CFD"/>
    <w:rsid w:val="005F0E38"/>
    <w:rsid w:val="005F0FE7"/>
    <w:rsid w:val="005F1765"/>
    <w:rsid w:val="005F18D4"/>
    <w:rsid w:val="005F1C0E"/>
    <w:rsid w:val="005F1C79"/>
    <w:rsid w:val="005F212E"/>
    <w:rsid w:val="005F2A3B"/>
    <w:rsid w:val="005F2CBA"/>
    <w:rsid w:val="005F33A3"/>
    <w:rsid w:val="005F3A25"/>
    <w:rsid w:val="005F3B30"/>
    <w:rsid w:val="005F3BF7"/>
    <w:rsid w:val="005F3D73"/>
    <w:rsid w:val="005F3F29"/>
    <w:rsid w:val="005F4129"/>
    <w:rsid w:val="005F4F7A"/>
    <w:rsid w:val="005F5BC3"/>
    <w:rsid w:val="005F6BF8"/>
    <w:rsid w:val="005F6DA9"/>
    <w:rsid w:val="005F6F06"/>
    <w:rsid w:val="006005B6"/>
    <w:rsid w:val="00600AEC"/>
    <w:rsid w:val="00601A58"/>
    <w:rsid w:val="00601ABD"/>
    <w:rsid w:val="006030EC"/>
    <w:rsid w:val="0060311B"/>
    <w:rsid w:val="00603951"/>
    <w:rsid w:val="006051B1"/>
    <w:rsid w:val="00605969"/>
    <w:rsid w:val="00606506"/>
    <w:rsid w:val="00606533"/>
    <w:rsid w:val="0060702B"/>
    <w:rsid w:val="00607BEC"/>
    <w:rsid w:val="00607E1D"/>
    <w:rsid w:val="0061122E"/>
    <w:rsid w:val="00611D09"/>
    <w:rsid w:val="00612167"/>
    <w:rsid w:val="006130A9"/>
    <w:rsid w:val="006134C3"/>
    <w:rsid w:val="00614113"/>
    <w:rsid w:val="006141E2"/>
    <w:rsid w:val="006144DC"/>
    <w:rsid w:val="00614811"/>
    <w:rsid w:val="006156F6"/>
    <w:rsid w:val="0061608B"/>
    <w:rsid w:val="00616120"/>
    <w:rsid w:val="006178FB"/>
    <w:rsid w:val="00617EAB"/>
    <w:rsid w:val="006202B9"/>
    <w:rsid w:val="00620377"/>
    <w:rsid w:val="00620394"/>
    <w:rsid w:val="006203C0"/>
    <w:rsid w:val="00620953"/>
    <w:rsid w:val="00620CAC"/>
    <w:rsid w:val="00620D1C"/>
    <w:rsid w:val="006214B5"/>
    <w:rsid w:val="006217E0"/>
    <w:rsid w:val="00621AAD"/>
    <w:rsid w:val="0062262E"/>
    <w:rsid w:val="0062275E"/>
    <w:rsid w:val="00623760"/>
    <w:rsid w:val="0062474C"/>
    <w:rsid w:val="00624913"/>
    <w:rsid w:val="00624DB1"/>
    <w:rsid w:val="006252C8"/>
    <w:rsid w:val="00625785"/>
    <w:rsid w:val="006258B0"/>
    <w:rsid w:val="00626191"/>
    <w:rsid w:val="006266EC"/>
    <w:rsid w:val="0062687F"/>
    <w:rsid w:val="00626CF1"/>
    <w:rsid w:val="00630027"/>
    <w:rsid w:val="00631024"/>
    <w:rsid w:val="0063151A"/>
    <w:rsid w:val="00631756"/>
    <w:rsid w:val="0063251F"/>
    <w:rsid w:val="006325E9"/>
    <w:rsid w:val="0063270A"/>
    <w:rsid w:val="006332CE"/>
    <w:rsid w:val="00633450"/>
    <w:rsid w:val="00633CD0"/>
    <w:rsid w:val="00634457"/>
    <w:rsid w:val="00635631"/>
    <w:rsid w:val="00635877"/>
    <w:rsid w:val="00635B38"/>
    <w:rsid w:val="00636DDD"/>
    <w:rsid w:val="006371D5"/>
    <w:rsid w:val="00637E76"/>
    <w:rsid w:val="0064033D"/>
    <w:rsid w:val="00640C41"/>
    <w:rsid w:val="006410A0"/>
    <w:rsid w:val="006412B1"/>
    <w:rsid w:val="00641301"/>
    <w:rsid w:val="0064171D"/>
    <w:rsid w:val="00642284"/>
    <w:rsid w:val="006424A7"/>
    <w:rsid w:val="006425BD"/>
    <w:rsid w:val="00642D5B"/>
    <w:rsid w:val="00642DD6"/>
    <w:rsid w:val="00643298"/>
    <w:rsid w:val="00644AD5"/>
    <w:rsid w:val="00645266"/>
    <w:rsid w:val="0064538C"/>
    <w:rsid w:val="006462ED"/>
    <w:rsid w:val="006465A3"/>
    <w:rsid w:val="0064726B"/>
    <w:rsid w:val="00651D58"/>
    <w:rsid w:val="006521AF"/>
    <w:rsid w:val="006529AB"/>
    <w:rsid w:val="00652DAC"/>
    <w:rsid w:val="00652FD5"/>
    <w:rsid w:val="00653884"/>
    <w:rsid w:val="00653F62"/>
    <w:rsid w:val="00654284"/>
    <w:rsid w:val="006542F9"/>
    <w:rsid w:val="00654416"/>
    <w:rsid w:val="006557F5"/>
    <w:rsid w:val="00655984"/>
    <w:rsid w:val="006569E5"/>
    <w:rsid w:val="0065787C"/>
    <w:rsid w:val="0066052F"/>
    <w:rsid w:val="00661092"/>
    <w:rsid w:val="0066201D"/>
    <w:rsid w:val="006629D8"/>
    <w:rsid w:val="00662ED0"/>
    <w:rsid w:val="00663212"/>
    <w:rsid w:val="00663E77"/>
    <w:rsid w:val="006643DB"/>
    <w:rsid w:val="00664BF2"/>
    <w:rsid w:val="00665187"/>
    <w:rsid w:val="0066584E"/>
    <w:rsid w:val="00665F50"/>
    <w:rsid w:val="0066663B"/>
    <w:rsid w:val="00666888"/>
    <w:rsid w:val="006672FF"/>
    <w:rsid w:val="00667340"/>
    <w:rsid w:val="0066746F"/>
    <w:rsid w:val="00670DA3"/>
    <w:rsid w:val="006710F7"/>
    <w:rsid w:val="00672153"/>
    <w:rsid w:val="0067267B"/>
    <w:rsid w:val="006729EB"/>
    <w:rsid w:val="00672A9D"/>
    <w:rsid w:val="00672F05"/>
    <w:rsid w:val="00673586"/>
    <w:rsid w:val="00673598"/>
    <w:rsid w:val="0067472D"/>
    <w:rsid w:val="006755AE"/>
    <w:rsid w:val="00676078"/>
    <w:rsid w:val="0067618E"/>
    <w:rsid w:val="00677691"/>
    <w:rsid w:val="00677C6A"/>
    <w:rsid w:val="00680315"/>
    <w:rsid w:val="006803F8"/>
    <w:rsid w:val="00680AD6"/>
    <w:rsid w:val="00680B82"/>
    <w:rsid w:val="00681513"/>
    <w:rsid w:val="00681564"/>
    <w:rsid w:val="006830D6"/>
    <w:rsid w:val="00683BFE"/>
    <w:rsid w:val="00684696"/>
    <w:rsid w:val="00684A9E"/>
    <w:rsid w:val="00684CCF"/>
    <w:rsid w:val="006852F2"/>
    <w:rsid w:val="0068560C"/>
    <w:rsid w:val="00685F9F"/>
    <w:rsid w:val="0068626F"/>
    <w:rsid w:val="00686310"/>
    <w:rsid w:val="0068715D"/>
    <w:rsid w:val="00687DE3"/>
    <w:rsid w:val="0069009E"/>
    <w:rsid w:val="006902C1"/>
    <w:rsid w:val="00691BF1"/>
    <w:rsid w:val="00691F67"/>
    <w:rsid w:val="00691F6F"/>
    <w:rsid w:val="00692D1F"/>
    <w:rsid w:val="0069364D"/>
    <w:rsid w:val="00693CD1"/>
    <w:rsid w:val="00693EFB"/>
    <w:rsid w:val="00693F84"/>
    <w:rsid w:val="00694CD9"/>
    <w:rsid w:val="006951AA"/>
    <w:rsid w:val="0069544C"/>
    <w:rsid w:val="0069617B"/>
    <w:rsid w:val="00696503"/>
    <w:rsid w:val="0069683C"/>
    <w:rsid w:val="006968D3"/>
    <w:rsid w:val="00696BB6"/>
    <w:rsid w:val="00696F56"/>
    <w:rsid w:val="00697100"/>
    <w:rsid w:val="00697627"/>
    <w:rsid w:val="00697DB3"/>
    <w:rsid w:val="006A002D"/>
    <w:rsid w:val="006A0932"/>
    <w:rsid w:val="006A0D69"/>
    <w:rsid w:val="006A1616"/>
    <w:rsid w:val="006A18B3"/>
    <w:rsid w:val="006A1BCA"/>
    <w:rsid w:val="006A25CE"/>
    <w:rsid w:val="006A2AE7"/>
    <w:rsid w:val="006A2CA6"/>
    <w:rsid w:val="006A3FD6"/>
    <w:rsid w:val="006A4B25"/>
    <w:rsid w:val="006A4E89"/>
    <w:rsid w:val="006A5387"/>
    <w:rsid w:val="006A54B9"/>
    <w:rsid w:val="006A636B"/>
    <w:rsid w:val="006A6435"/>
    <w:rsid w:val="006A68B0"/>
    <w:rsid w:val="006A6999"/>
    <w:rsid w:val="006A780F"/>
    <w:rsid w:val="006A7E55"/>
    <w:rsid w:val="006B00E4"/>
    <w:rsid w:val="006B02DA"/>
    <w:rsid w:val="006B03C5"/>
    <w:rsid w:val="006B0BA6"/>
    <w:rsid w:val="006B0CA0"/>
    <w:rsid w:val="006B0D36"/>
    <w:rsid w:val="006B0F27"/>
    <w:rsid w:val="006B1635"/>
    <w:rsid w:val="006B2A9C"/>
    <w:rsid w:val="006B3AFF"/>
    <w:rsid w:val="006B3BC8"/>
    <w:rsid w:val="006B489F"/>
    <w:rsid w:val="006B5D77"/>
    <w:rsid w:val="006B6076"/>
    <w:rsid w:val="006B60EC"/>
    <w:rsid w:val="006B72BC"/>
    <w:rsid w:val="006B760E"/>
    <w:rsid w:val="006C00FC"/>
    <w:rsid w:val="006C07F5"/>
    <w:rsid w:val="006C121E"/>
    <w:rsid w:val="006C149C"/>
    <w:rsid w:val="006C20B2"/>
    <w:rsid w:val="006C3817"/>
    <w:rsid w:val="006C56CF"/>
    <w:rsid w:val="006C6400"/>
    <w:rsid w:val="006C66E0"/>
    <w:rsid w:val="006C70F6"/>
    <w:rsid w:val="006C7982"/>
    <w:rsid w:val="006C7B80"/>
    <w:rsid w:val="006C7CAB"/>
    <w:rsid w:val="006C7FF6"/>
    <w:rsid w:val="006D0139"/>
    <w:rsid w:val="006D0275"/>
    <w:rsid w:val="006D094A"/>
    <w:rsid w:val="006D0EC9"/>
    <w:rsid w:val="006D1598"/>
    <w:rsid w:val="006D2778"/>
    <w:rsid w:val="006D2972"/>
    <w:rsid w:val="006D2C35"/>
    <w:rsid w:val="006D3651"/>
    <w:rsid w:val="006D4615"/>
    <w:rsid w:val="006D47C9"/>
    <w:rsid w:val="006D51C5"/>
    <w:rsid w:val="006D553C"/>
    <w:rsid w:val="006D5E2B"/>
    <w:rsid w:val="006D6834"/>
    <w:rsid w:val="006D6A03"/>
    <w:rsid w:val="006D6DA5"/>
    <w:rsid w:val="006D7512"/>
    <w:rsid w:val="006D7A98"/>
    <w:rsid w:val="006D7D37"/>
    <w:rsid w:val="006D7E0B"/>
    <w:rsid w:val="006E0035"/>
    <w:rsid w:val="006E004D"/>
    <w:rsid w:val="006E109B"/>
    <w:rsid w:val="006E1AC0"/>
    <w:rsid w:val="006E27B5"/>
    <w:rsid w:val="006E2860"/>
    <w:rsid w:val="006E31B5"/>
    <w:rsid w:val="006E4572"/>
    <w:rsid w:val="006E4E4E"/>
    <w:rsid w:val="006E594C"/>
    <w:rsid w:val="006E5A62"/>
    <w:rsid w:val="006E712E"/>
    <w:rsid w:val="006F104C"/>
    <w:rsid w:val="006F143F"/>
    <w:rsid w:val="006F173A"/>
    <w:rsid w:val="006F1AEB"/>
    <w:rsid w:val="006F1F07"/>
    <w:rsid w:val="006F1F79"/>
    <w:rsid w:val="006F2E3C"/>
    <w:rsid w:val="006F42B5"/>
    <w:rsid w:val="006F48EE"/>
    <w:rsid w:val="006F4D23"/>
    <w:rsid w:val="006F5531"/>
    <w:rsid w:val="006F5CF1"/>
    <w:rsid w:val="006F5F99"/>
    <w:rsid w:val="006F5FCB"/>
    <w:rsid w:val="006F6905"/>
    <w:rsid w:val="006F6B8F"/>
    <w:rsid w:val="006F7264"/>
    <w:rsid w:val="006F7B46"/>
    <w:rsid w:val="006F7F26"/>
    <w:rsid w:val="006F7FF2"/>
    <w:rsid w:val="00700105"/>
    <w:rsid w:val="007007C4"/>
    <w:rsid w:val="00700802"/>
    <w:rsid w:val="00701A93"/>
    <w:rsid w:val="0070208F"/>
    <w:rsid w:val="007038DA"/>
    <w:rsid w:val="00705373"/>
    <w:rsid w:val="00705E15"/>
    <w:rsid w:val="007064D4"/>
    <w:rsid w:val="00706FA0"/>
    <w:rsid w:val="007071B4"/>
    <w:rsid w:val="00707A81"/>
    <w:rsid w:val="007101C8"/>
    <w:rsid w:val="00710604"/>
    <w:rsid w:val="00710C43"/>
    <w:rsid w:val="00711083"/>
    <w:rsid w:val="00711519"/>
    <w:rsid w:val="007119B5"/>
    <w:rsid w:val="00711A77"/>
    <w:rsid w:val="00711C2C"/>
    <w:rsid w:val="00711D1A"/>
    <w:rsid w:val="007127AC"/>
    <w:rsid w:val="00712B8A"/>
    <w:rsid w:val="00712E8E"/>
    <w:rsid w:val="00713391"/>
    <w:rsid w:val="00714582"/>
    <w:rsid w:val="00716490"/>
    <w:rsid w:val="00720B9B"/>
    <w:rsid w:val="0072113A"/>
    <w:rsid w:val="007215E2"/>
    <w:rsid w:val="00721FA8"/>
    <w:rsid w:val="007237D2"/>
    <w:rsid w:val="00723907"/>
    <w:rsid w:val="00723F10"/>
    <w:rsid w:val="00724550"/>
    <w:rsid w:val="007246D6"/>
    <w:rsid w:val="00725E5A"/>
    <w:rsid w:val="007261D6"/>
    <w:rsid w:val="00726D09"/>
    <w:rsid w:val="00730035"/>
    <w:rsid w:val="00730987"/>
    <w:rsid w:val="0073098E"/>
    <w:rsid w:val="00730F1E"/>
    <w:rsid w:val="00730F6A"/>
    <w:rsid w:val="00731126"/>
    <w:rsid w:val="007312AD"/>
    <w:rsid w:val="0073147A"/>
    <w:rsid w:val="0073156A"/>
    <w:rsid w:val="007315FA"/>
    <w:rsid w:val="0073285D"/>
    <w:rsid w:val="00732CA8"/>
    <w:rsid w:val="007336C8"/>
    <w:rsid w:val="00733753"/>
    <w:rsid w:val="007338C5"/>
    <w:rsid w:val="00734077"/>
    <w:rsid w:val="007346E4"/>
    <w:rsid w:val="00734DF2"/>
    <w:rsid w:val="00735F66"/>
    <w:rsid w:val="007360C2"/>
    <w:rsid w:val="0073644F"/>
    <w:rsid w:val="007400F1"/>
    <w:rsid w:val="007401BE"/>
    <w:rsid w:val="007404DC"/>
    <w:rsid w:val="007406A8"/>
    <w:rsid w:val="007408B3"/>
    <w:rsid w:val="00740CB6"/>
    <w:rsid w:val="0074176C"/>
    <w:rsid w:val="00742199"/>
    <w:rsid w:val="00742DB7"/>
    <w:rsid w:val="00742E07"/>
    <w:rsid w:val="00742E8B"/>
    <w:rsid w:val="00743C19"/>
    <w:rsid w:val="00743E80"/>
    <w:rsid w:val="00744401"/>
    <w:rsid w:val="00745798"/>
    <w:rsid w:val="007459F1"/>
    <w:rsid w:val="00745E46"/>
    <w:rsid w:val="0074619A"/>
    <w:rsid w:val="007461AA"/>
    <w:rsid w:val="00746722"/>
    <w:rsid w:val="00746C0F"/>
    <w:rsid w:val="00746D40"/>
    <w:rsid w:val="007475B2"/>
    <w:rsid w:val="0074760F"/>
    <w:rsid w:val="007476CA"/>
    <w:rsid w:val="00747EA4"/>
    <w:rsid w:val="0075019C"/>
    <w:rsid w:val="00750428"/>
    <w:rsid w:val="00750F4A"/>
    <w:rsid w:val="00751DE4"/>
    <w:rsid w:val="00752CFF"/>
    <w:rsid w:val="00752E70"/>
    <w:rsid w:val="00752F0D"/>
    <w:rsid w:val="007532CA"/>
    <w:rsid w:val="007532D5"/>
    <w:rsid w:val="007536E4"/>
    <w:rsid w:val="00753E83"/>
    <w:rsid w:val="0075499C"/>
    <w:rsid w:val="00757049"/>
    <w:rsid w:val="00757D2D"/>
    <w:rsid w:val="007600CA"/>
    <w:rsid w:val="00761CF8"/>
    <w:rsid w:val="00763107"/>
    <w:rsid w:val="0076375B"/>
    <w:rsid w:val="007647F2"/>
    <w:rsid w:val="00766A9B"/>
    <w:rsid w:val="00766E7E"/>
    <w:rsid w:val="00766EE3"/>
    <w:rsid w:val="00767648"/>
    <w:rsid w:val="00767E39"/>
    <w:rsid w:val="00767EC3"/>
    <w:rsid w:val="007701D6"/>
    <w:rsid w:val="0077020F"/>
    <w:rsid w:val="007705FA"/>
    <w:rsid w:val="00770CFE"/>
    <w:rsid w:val="00772F39"/>
    <w:rsid w:val="00773C17"/>
    <w:rsid w:val="00773C56"/>
    <w:rsid w:val="00773CD2"/>
    <w:rsid w:val="00773D9B"/>
    <w:rsid w:val="00774E3C"/>
    <w:rsid w:val="007751CF"/>
    <w:rsid w:val="007751D7"/>
    <w:rsid w:val="00775671"/>
    <w:rsid w:val="00775700"/>
    <w:rsid w:val="00776B9B"/>
    <w:rsid w:val="00777210"/>
    <w:rsid w:val="007772C9"/>
    <w:rsid w:val="0077744F"/>
    <w:rsid w:val="00777573"/>
    <w:rsid w:val="00777694"/>
    <w:rsid w:val="00777DDD"/>
    <w:rsid w:val="00782473"/>
    <w:rsid w:val="0078251D"/>
    <w:rsid w:val="007827E1"/>
    <w:rsid w:val="00782A76"/>
    <w:rsid w:val="00783580"/>
    <w:rsid w:val="007841F4"/>
    <w:rsid w:val="00784C37"/>
    <w:rsid w:val="00785704"/>
    <w:rsid w:val="0078580D"/>
    <w:rsid w:val="00785989"/>
    <w:rsid w:val="00785C71"/>
    <w:rsid w:val="007866D9"/>
    <w:rsid w:val="0078776F"/>
    <w:rsid w:val="00787EB0"/>
    <w:rsid w:val="00787FA8"/>
    <w:rsid w:val="0079015F"/>
    <w:rsid w:val="007901FC"/>
    <w:rsid w:val="0079044D"/>
    <w:rsid w:val="00791153"/>
    <w:rsid w:val="007915F2"/>
    <w:rsid w:val="00791ACD"/>
    <w:rsid w:val="00792707"/>
    <w:rsid w:val="0079355E"/>
    <w:rsid w:val="00793710"/>
    <w:rsid w:val="00793A99"/>
    <w:rsid w:val="00794421"/>
    <w:rsid w:val="0079496B"/>
    <w:rsid w:val="00795A91"/>
    <w:rsid w:val="0079633D"/>
    <w:rsid w:val="00796A72"/>
    <w:rsid w:val="00796D9C"/>
    <w:rsid w:val="00797A81"/>
    <w:rsid w:val="00797FF7"/>
    <w:rsid w:val="007A0BD7"/>
    <w:rsid w:val="007A2191"/>
    <w:rsid w:val="007A22D5"/>
    <w:rsid w:val="007A2CDC"/>
    <w:rsid w:val="007A2E9E"/>
    <w:rsid w:val="007A31AC"/>
    <w:rsid w:val="007A3DD2"/>
    <w:rsid w:val="007A54FD"/>
    <w:rsid w:val="007A5BBD"/>
    <w:rsid w:val="007A61A0"/>
    <w:rsid w:val="007A671A"/>
    <w:rsid w:val="007A7B76"/>
    <w:rsid w:val="007B024B"/>
    <w:rsid w:val="007B0469"/>
    <w:rsid w:val="007B0A37"/>
    <w:rsid w:val="007B1049"/>
    <w:rsid w:val="007B10E8"/>
    <w:rsid w:val="007B1B4D"/>
    <w:rsid w:val="007B1D6D"/>
    <w:rsid w:val="007B3614"/>
    <w:rsid w:val="007B4415"/>
    <w:rsid w:val="007B4577"/>
    <w:rsid w:val="007B45B9"/>
    <w:rsid w:val="007B4BD2"/>
    <w:rsid w:val="007B551B"/>
    <w:rsid w:val="007B5BFA"/>
    <w:rsid w:val="007B63FF"/>
    <w:rsid w:val="007B65E7"/>
    <w:rsid w:val="007B6776"/>
    <w:rsid w:val="007B6D2F"/>
    <w:rsid w:val="007B7714"/>
    <w:rsid w:val="007C02FA"/>
    <w:rsid w:val="007C06F1"/>
    <w:rsid w:val="007C0BD4"/>
    <w:rsid w:val="007C1027"/>
    <w:rsid w:val="007C17B7"/>
    <w:rsid w:val="007C1884"/>
    <w:rsid w:val="007C1FD3"/>
    <w:rsid w:val="007C3286"/>
    <w:rsid w:val="007C3676"/>
    <w:rsid w:val="007C3852"/>
    <w:rsid w:val="007C3F3C"/>
    <w:rsid w:val="007C47B7"/>
    <w:rsid w:val="007C4974"/>
    <w:rsid w:val="007C4BA6"/>
    <w:rsid w:val="007C54AD"/>
    <w:rsid w:val="007C5769"/>
    <w:rsid w:val="007C6017"/>
    <w:rsid w:val="007C617F"/>
    <w:rsid w:val="007C766E"/>
    <w:rsid w:val="007C7CFE"/>
    <w:rsid w:val="007D03B4"/>
    <w:rsid w:val="007D0911"/>
    <w:rsid w:val="007D0EE8"/>
    <w:rsid w:val="007D1CCA"/>
    <w:rsid w:val="007D263C"/>
    <w:rsid w:val="007D2B67"/>
    <w:rsid w:val="007D3210"/>
    <w:rsid w:val="007D378A"/>
    <w:rsid w:val="007D3A7A"/>
    <w:rsid w:val="007D4078"/>
    <w:rsid w:val="007D4E13"/>
    <w:rsid w:val="007D551B"/>
    <w:rsid w:val="007D556F"/>
    <w:rsid w:val="007D5653"/>
    <w:rsid w:val="007D5C99"/>
    <w:rsid w:val="007D5E3D"/>
    <w:rsid w:val="007D7AA4"/>
    <w:rsid w:val="007D7B6B"/>
    <w:rsid w:val="007E0537"/>
    <w:rsid w:val="007E0A74"/>
    <w:rsid w:val="007E0DA7"/>
    <w:rsid w:val="007E0E5C"/>
    <w:rsid w:val="007E105D"/>
    <w:rsid w:val="007E1096"/>
    <w:rsid w:val="007E1573"/>
    <w:rsid w:val="007E1A91"/>
    <w:rsid w:val="007E210A"/>
    <w:rsid w:val="007E24AB"/>
    <w:rsid w:val="007E2ACD"/>
    <w:rsid w:val="007E2BD8"/>
    <w:rsid w:val="007E3E12"/>
    <w:rsid w:val="007E4BC2"/>
    <w:rsid w:val="007E546D"/>
    <w:rsid w:val="007E5CB3"/>
    <w:rsid w:val="007E6198"/>
    <w:rsid w:val="007E6B93"/>
    <w:rsid w:val="007E70EF"/>
    <w:rsid w:val="007E72E2"/>
    <w:rsid w:val="007F0667"/>
    <w:rsid w:val="007F0B98"/>
    <w:rsid w:val="007F177C"/>
    <w:rsid w:val="007F1FD5"/>
    <w:rsid w:val="007F2486"/>
    <w:rsid w:val="007F250A"/>
    <w:rsid w:val="007F252B"/>
    <w:rsid w:val="007F2CFF"/>
    <w:rsid w:val="007F2EFE"/>
    <w:rsid w:val="007F3F4B"/>
    <w:rsid w:val="007F51B3"/>
    <w:rsid w:val="007F521C"/>
    <w:rsid w:val="007F5842"/>
    <w:rsid w:val="007F5FA4"/>
    <w:rsid w:val="007F637C"/>
    <w:rsid w:val="007F655A"/>
    <w:rsid w:val="007F6A7B"/>
    <w:rsid w:val="007F6FF5"/>
    <w:rsid w:val="007F7437"/>
    <w:rsid w:val="007F78C1"/>
    <w:rsid w:val="007F7CC9"/>
    <w:rsid w:val="0080058B"/>
    <w:rsid w:val="008009DB"/>
    <w:rsid w:val="008018B9"/>
    <w:rsid w:val="00801C23"/>
    <w:rsid w:val="00802160"/>
    <w:rsid w:val="008023BE"/>
    <w:rsid w:val="00802449"/>
    <w:rsid w:val="00802D92"/>
    <w:rsid w:val="008031AF"/>
    <w:rsid w:val="00803304"/>
    <w:rsid w:val="008039FA"/>
    <w:rsid w:val="00803B76"/>
    <w:rsid w:val="00803DF3"/>
    <w:rsid w:val="00804270"/>
    <w:rsid w:val="00804329"/>
    <w:rsid w:val="008046AB"/>
    <w:rsid w:val="00804EF8"/>
    <w:rsid w:val="00805775"/>
    <w:rsid w:val="008060CF"/>
    <w:rsid w:val="008062CA"/>
    <w:rsid w:val="00806411"/>
    <w:rsid w:val="00806A6B"/>
    <w:rsid w:val="00807612"/>
    <w:rsid w:val="00807C01"/>
    <w:rsid w:val="00807C50"/>
    <w:rsid w:val="00807D19"/>
    <w:rsid w:val="0081178F"/>
    <w:rsid w:val="00811BDE"/>
    <w:rsid w:val="00812059"/>
    <w:rsid w:val="008129A3"/>
    <w:rsid w:val="00812FBC"/>
    <w:rsid w:val="008138D3"/>
    <w:rsid w:val="008141B5"/>
    <w:rsid w:val="008143EA"/>
    <w:rsid w:val="00815515"/>
    <w:rsid w:val="008155DC"/>
    <w:rsid w:val="00816124"/>
    <w:rsid w:val="008169D8"/>
    <w:rsid w:val="00817513"/>
    <w:rsid w:val="00817AEB"/>
    <w:rsid w:val="00817C1F"/>
    <w:rsid w:val="008202BD"/>
    <w:rsid w:val="00821479"/>
    <w:rsid w:val="00821E93"/>
    <w:rsid w:val="008226A6"/>
    <w:rsid w:val="00823A7B"/>
    <w:rsid w:val="00823A86"/>
    <w:rsid w:val="00823B10"/>
    <w:rsid w:val="00825BC7"/>
    <w:rsid w:val="00825F39"/>
    <w:rsid w:val="008263B2"/>
    <w:rsid w:val="00826495"/>
    <w:rsid w:val="00826537"/>
    <w:rsid w:val="00827F99"/>
    <w:rsid w:val="00831AC4"/>
    <w:rsid w:val="00832BAB"/>
    <w:rsid w:val="008331EC"/>
    <w:rsid w:val="0083340B"/>
    <w:rsid w:val="0083356F"/>
    <w:rsid w:val="00833740"/>
    <w:rsid w:val="0083395B"/>
    <w:rsid w:val="008339AE"/>
    <w:rsid w:val="00833DB4"/>
    <w:rsid w:val="008340EC"/>
    <w:rsid w:val="008342B0"/>
    <w:rsid w:val="00834B88"/>
    <w:rsid w:val="008358B9"/>
    <w:rsid w:val="00835AEF"/>
    <w:rsid w:val="00835C5B"/>
    <w:rsid w:val="00835DA6"/>
    <w:rsid w:val="00835E28"/>
    <w:rsid w:val="008374D5"/>
    <w:rsid w:val="00837556"/>
    <w:rsid w:val="008378EC"/>
    <w:rsid w:val="00837CB1"/>
    <w:rsid w:val="00837F09"/>
    <w:rsid w:val="00840265"/>
    <w:rsid w:val="00841814"/>
    <w:rsid w:val="00842559"/>
    <w:rsid w:val="00842ED6"/>
    <w:rsid w:val="008437F6"/>
    <w:rsid w:val="00843910"/>
    <w:rsid w:val="00843D0D"/>
    <w:rsid w:val="0084409B"/>
    <w:rsid w:val="008454E5"/>
    <w:rsid w:val="00845546"/>
    <w:rsid w:val="00846BCB"/>
    <w:rsid w:val="00847354"/>
    <w:rsid w:val="00847DBE"/>
    <w:rsid w:val="00850D20"/>
    <w:rsid w:val="0085121A"/>
    <w:rsid w:val="008518F7"/>
    <w:rsid w:val="0085195E"/>
    <w:rsid w:val="0085201B"/>
    <w:rsid w:val="00852AB0"/>
    <w:rsid w:val="00852B06"/>
    <w:rsid w:val="00852B6C"/>
    <w:rsid w:val="00853AB9"/>
    <w:rsid w:val="00853F50"/>
    <w:rsid w:val="008549BE"/>
    <w:rsid w:val="00854DB9"/>
    <w:rsid w:val="008573DD"/>
    <w:rsid w:val="00857A4A"/>
    <w:rsid w:val="00860332"/>
    <w:rsid w:val="008611EB"/>
    <w:rsid w:val="00861690"/>
    <w:rsid w:val="008631DD"/>
    <w:rsid w:val="00863216"/>
    <w:rsid w:val="00863254"/>
    <w:rsid w:val="0086432D"/>
    <w:rsid w:val="00864760"/>
    <w:rsid w:val="008647C3"/>
    <w:rsid w:val="00864813"/>
    <w:rsid w:val="00865005"/>
    <w:rsid w:val="008655CD"/>
    <w:rsid w:val="00865F0E"/>
    <w:rsid w:val="00865F56"/>
    <w:rsid w:val="008660EC"/>
    <w:rsid w:val="00866A53"/>
    <w:rsid w:val="00866B12"/>
    <w:rsid w:val="00866F1C"/>
    <w:rsid w:val="0086724A"/>
    <w:rsid w:val="00867790"/>
    <w:rsid w:val="008702FB"/>
    <w:rsid w:val="0087052D"/>
    <w:rsid w:val="00871C6B"/>
    <w:rsid w:val="00872322"/>
    <w:rsid w:val="00872825"/>
    <w:rsid w:val="00872AB5"/>
    <w:rsid w:val="00872FB9"/>
    <w:rsid w:val="00873C48"/>
    <w:rsid w:val="00874491"/>
    <w:rsid w:val="008749BE"/>
    <w:rsid w:val="00874C1F"/>
    <w:rsid w:val="00875456"/>
    <w:rsid w:val="00875A48"/>
    <w:rsid w:val="00875FC9"/>
    <w:rsid w:val="0087615D"/>
    <w:rsid w:val="008762C6"/>
    <w:rsid w:val="0087637F"/>
    <w:rsid w:val="008763ED"/>
    <w:rsid w:val="0087648D"/>
    <w:rsid w:val="008765B2"/>
    <w:rsid w:val="00876C88"/>
    <w:rsid w:val="00877CD2"/>
    <w:rsid w:val="00881176"/>
    <w:rsid w:val="008819FE"/>
    <w:rsid w:val="00882F3B"/>
    <w:rsid w:val="00884571"/>
    <w:rsid w:val="00884D7C"/>
    <w:rsid w:val="008851C4"/>
    <w:rsid w:val="0088587E"/>
    <w:rsid w:val="00885BF8"/>
    <w:rsid w:val="00886423"/>
    <w:rsid w:val="00886945"/>
    <w:rsid w:val="00887D85"/>
    <w:rsid w:val="00890151"/>
    <w:rsid w:val="00890211"/>
    <w:rsid w:val="00890B71"/>
    <w:rsid w:val="00890D9C"/>
    <w:rsid w:val="008916FC"/>
    <w:rsid w:val="00891896"/>
    <w:rsid w:val="008920F1"/>
    <w:rsid w:val="00892923"/>
    <w:rsid w:val="00892B54"/>
    <w:rsid w:val="00892C28"/>
    <w:rsid w:val="00892C44"/>
    <w:rsid w:val="008934D9"/>
    <w:rsid w:val="008967A9"/>
    <w:rsid w:val="00896F84"/>
    <w:rsid w:val="008976B8"/>
    <w:rsid w:val="00897F9E"/>
    <w:rsid w:val="008A1AD8"/>
    <w:rsid w:val="008A1B2D"/>
    <w:rsid w:val="008A2628"/>
    <w:rsid w:val="008A279C"/>
    <w:rsid w:val="008A2E69"/>
    <w:rsid w:val="008A3179"/>
    <w:rsid w:val="008A3836"/>
    <w:rsid w:val="008A41A9"/>
    <w:rsid w:val="008A4552"/>
    <w:rsid w:val="008A46D0"/>
    <w:rsid w:val="008A4715"/>
    <w:rsid w:val="008A498D"/>
    <w:rsid w:val="008A54DD"/>
    <w:rsid w:val="008A63FB"/>
    <w:rsid w:val="008A6CE5"/>
    <w:rsid w:val="008A79E8"/>
    <w:rsid w:val="008B01B7"/>
    <w:rsid w:val="008B06E0"/>
    <w:rsid w:val="008B0BE5"/>
    <w:rsid w:val="008B0C32"/>
    <w:rsid w:val="008B1C1F"/>
    <w:rsid w:val="008B2422"/>
    <w:rsid w:val="008B252E"/>
    <w:rsid w:val="008B2686"/>
    <w:rsid w:val="008B38D6"/>
    <w:rsid w:val="008B416A"/>
    <w:rsid w:val="008B4A6F"/>
    <w:rsid w:val="008B5052"/>
    <w:rsid w:val="008B5998"/>
    <w:rsid w:val="008B5D43"/>
    <w:rsid w:val="008B5DE7"/>
    <w:rsid w:val="008B6053"/>
    <w:rsid w:val="008B6201"/>
    <w:rsid w:val="008B661D"/>
    <w:rsid w:val="008B6F2E"/>
    <w:rsid w:val="008B7389"/>
    <w:rsid w:val="008B76ED"/>
    <w:rsid w:val="008C01B4"/>
    <w:rsid w:val="008C051E"/>
    <w:rsid w:val="008C0F04"/>
    <w:rsid w:val="008C10E3"/>
    <w:rsid w:val="008C238D"/>
    <w:rsid w:val="008C24C4"/>
    <w:rsid w:val="008C277D"/>
    <w:rsid w:val="008C2D7D"/>
    <w:rsid w:val="008C3278"/>
    <w:rsid w:val="008C3705"/>
    <w:rsid w:val="008C39A6"/>
    <w:rsid w:val="008C3FB3"/>
    <w:rsid w:val="008C4334"/>
    <w:rsid w:val="008C43A5"/>
    <w:rsid w:val="008C4453"/>
    <w:rsid w:val="008C481B"/>
    <w:rsid w:val="008C504C"/>
    <w:rsid w:val="008C556B"/>
    <w:rsid w:val="008C58F1"/>
    <w:rsid w:val="008C5A9F"/>
    <w:rsid w:val="008C6195"/>
    <w:rsid w:val="008C640E"/>
    <w:rsid w:val="008C6C9E"/>
    <w:rsid w:val="008C71A9"/>
    <w:rsid w:val="008D0EBD"/>
    <w:rsid w:val="008D1520"/>
    <w:rsid w:val="008D176E"/>
    <w:rsid w:val="008D2230"/>
    <w:rsid w:val="008D26AE"/>
    <w:rsid w:val="008D28B0"/>
    <w:rsid w:val="008D3A3E"/>
    <w:rsid w:val="008D3E5B"/>
    <w:rsid w:val="008D49AC"/>
    <w:rsid w:val="008D4B21"/>
    <w:rsid w:val="008D4C1A"/>
    <w:rsid w:val="008D4D75"/>
    <w:rsid w:val="008D4DB3"/>
    <w:rsid w:val="008D638A"/>
    <w:rsid w:val="008D6E32"/>
    <w:rsid w:val="008D6F24"/>
    <w:rsid w:val="008D7337"/>
    <w:rsid w:val="008D79C6"/>
    <w:rsid w:val="008D7A67"/>
    <w:rsid w:val="008D7DD4"/>
    <w:rsid w:val="008E028E"/>
    <w:rsid w:val="008E05FA"/>
    <w:rsid w:val="008E08E7"/>
    <w:rsid w:val="008E0A8F"/>
    <w:rsid w:val="008E1B9A"/>
    <w:rsid w:val="008E2479"/>
    <w:rsid w:val="008E25A8"/>
    <w:rsid w:val="008E26A2"/>
    <w:rsid w:val="008E2CC2"/>
    <w:rsid w:val="008E2F53"/>
    <w:rsid w:val="008E4034"/>
    <w:rsid w:val="008E4207"/>
    <w:rsid w:val="008E4457"/>
    <w:rsid w:val="008E4500"/>
    <w:rsid w:val="008E45B6"/>
    <w:rsid w:val="008E4FBD"/>
    <w:rsid w:val="008E6612"/>
    <w:rsid w:val="008E6C4F"/>
    <w:rsid w:val="008E72EF"/>
    <w:rsid w:val="008E7C24"/>
    <w:rsid w:val="008F011F"/>
    <w:rsid w:val="008F03D0"/>
    <w:rsid w:val="008F09DD"/>
    <w:rsid w:val="008F15BD"/>
    <w:rsid w:val="008F1DA1"/>
    <w:rsid w:val="008F2247"/>
    <w:rsid w:val="008F2395"/>
    <w:rsid w:val="008F25BF"/>
    <w:rsid w:val="008F26CD"/>
    <w:rsid w:val="008F327D"/>
    <w:rsid w:val="008F36A6"/>
    <w:rsid w:val="008F5210"/>
    <w:rsid w:val="008F5663"/>
    <w:rsid w:val="008F5954"/>
    <w:rsid w:val="008F5C2C"/>
    <w:rsid w:val="008F60E9"/>
    <w:rsid w:val="008F6B39"/>
    <w:rsid w:val="008F70EB"/>
    <w:rsid w:val="008F75D5"/>
    <w:rsid w:val="00900E4C"/>
    <w:rsid w:val="0090104C"/>
    <w:rsid w:val="009015D9"/>
    <w:rsid w:val="0090214A"/>
    <w:rsid w:val="00902828"/>
    <w:rsid w:val="00904037"/>
    <w:rsid w:val="00904E5F"/>
    <w:rsid w:val="00906116"/>
    <w:rsid w:val="0090721B"/>
    <w:rsid w:val="00907692"/>
    <w:rsid w:val="00907917"/>
    <w:rsid w:val="0090796D"/>
    <w:rsid w:val="00907BA9"/>
    <w:rsid w:val="00910238"/>
    <w:rsid w:val="00910744"/>
    <w:rsid w:val="0091099B"/>
    <w:rsid w:val="00910A6B"/>
    <w:rsid w:val="0091143F"/>
    <w:rsid w:val="00911C7D"/>
    <w:rsid w:val="0091485A"/>
    <w:rsid w:val="009149AD"/>
    <w:rsid w:val="00914F0F"/>
    <w:rsid w:val="00915B2F"/>
    <w:rsid w:val="00916AE1"/>
    <w:rsid w:val="0091757D"/>
    <w:rsid w:val="00917AB1"/>
    <w:rsid w:val="00917E53"/>
    <w:rsid w:val="009208DF"/>
    <w:rsid w:val="00921857"/>
    <w:rsid w:val="00921EE9"/>
    <w:rsid w:val="00921FD1"/>
    <w:rsid w:val="00922259"/>
    <w:rsid w:val="00922762"/>
    <w:rsid w:val="009227F6"/>
    <w:rsid w:val="009234DC"/>
    <w:rsid w:val="00923E37"/>
    <w:rsid w:val="00924019"/>
    <w:rsid w:val="00924313"/>
    <w:rsid w:val="00924B72"/>
    <w:rsid w:val="0092536C"/>
    <w:rsid w:val="00925EB9"/>
    <w:rsid w:val="00925FFB"/>
    <w:rsid w:val="009260AD"/>
    <w:rsid w:val="00926590"/>
    <w:rsid w:val="00926BC8"/>
    <w:rsid w:val="00926D19"/>
    <w:rsid w:val="00930023"/>
    <w:rsid w:val="009300E9"/>
    <w:rsid w:val="009305BE"/>
    <w:rsid w:val="00930938"/>
    <w:rsid w:val="00930CB8"/>
    <w:rsid w:val="00930D45"/>
    <w:rsid w:val="00931211"/>
    <w:rsid w:val="00931F1C"/>
    <w:rsid w:val="0093214D"/>
    <w:rsid w:val="0093247C"/>
    <w:rsid w:val="009327FE"/>
    <w:rsid w:val="00932AC0"/>
    <w:rsid w:val="00932C7B"/>
    <w:rsid w:val="0093336C"/>
    <w:rsid w:val="00933EC7"/>
    <w:rsid w:val="0093437A"/>
    <w:rsid w:val="0093444B"/>
    <w:rsid w:val="00934984"/>
    <w:rsid w:val="00934C3F"/>
    <w:rsid w:val="00935095"/>
    <w:rsid w:val="00935365"/>
    <w:rsid w:val="009360EA"/>
    <w:rsid w:val="00936438"/>
    <w:rsid w:val="00936900"/>
    <w:rsid w:val="009370DC"/>
    <w:rsid w:val="009378C7"/>
    <w:rsid w:val="00937C42"/>
    <w:rsid w:val="00940D7B"/>
    <w:rsid w:val="00941B0C"/>
    <w:rsid w:val="00942105"/>
    <w:rsid w:val="00942136"/>
    <w:rsid w:val="009423C1"/>
    <w:rsid w:val="00942891"/>
    <w:rsid w:val="00943A7D"/>
    <w:rsid w:val="00944078"/>
    <w:rsid w:val="0094430D"/>
    <w:rsid w:val="0094537B"/>
    <w:rsid w:val="009457A6"/>
    <w:rsid w:val="00945AE6"/>
    <w:rsid w:val="00945F70"/>
    <w:rsid w:val="009460B8"/>
    <w:rsid w:val="0095037B"/>
    <w:rsid w:val="00951A8D"/>
    <w:rsid w:val="00951CA8"/>
    <w:rsid w:val="00952440"/>
    <w:rsid w:val="009527CE"/>
    <w:rsid w:val="00952D22"/>
    <w:rsid w:val="00953582"/>
    <w:rsid w:val="0095378A"/>
    <w:rsid w:val="00954E90"/>
    <w:rsid w:val="009551D1"/>
    <w:rsid w:val="00955A18"/>
    <w:rsid w:val="00955A9C"/>
    <w:rsid w:val="0095642E"/>
    <w:rsid w:val="009567AD"/>
    <w:rsid w:val="00956886"/>
    <w:rsid w:val="0095767B"/>
    <w:rsid w:val="009605E1"/>
    <w:rsid w:val="009610A4"/>
    <w:rsid w:val="009612B5"/>
    <w:rsid w:val="0096137F"/>
    <w:rsid w:val="00962146"/>
    <w:rsid w:val="009622BC"/>
    <w:rsid w:val="0096262F"/>
    <w:rsid w:val="00962BC2"/>
    <w:rsid w:val="00963A7F"/>
    <w:rsid w:val="00963B62"/>
    <w:rsid w:val="00963E79"/>
    <w:rsid w:val="0096429D"/>
    <w:rsid w:val="009652B1"/>
    <w:rsid w:val="00965341"/>
    <w:rsid w:val="00965A96"/>
    <w:rsid w:val="00965F90"/>
    <w:rsid w:val="009662A8"/>
    <w:rsid w:val="00966BC2"/>
    <w:rsid w:val="00966F1D"/>
    <w:rsid w:val="00966FB1"/>
    <w:rsid w:val="00967005"/>
    <w:rsid w:val="009676D8"/>
    <w:rsid w:val="00970060"/>
    <w:rsid w:val="009700A5"/>
    <w:rsid w:val="00970100"/>
    <w:rsid w:val="00970A7F"/>
    <w:rsid w:val="00970ABB"/>
    <w:rsid w:val="00970EC2"/>
    <w:rsid w:val="0097174C"/>
    <w:rsid w:val="00971E75"/>
    <w:rsid w:val="009728CC"/>
    <w:rsid w:val="009734CC"/>
    <w:rsid w:val="00973D3E"/>
    <w:rsid w:val="00973D57"/>
    <w:rsid w:val="00973DC1"/>
    <w:rsid w:val="0097432B"/>
    <w:rsid w:val="00974386"/>
    <w:rsid w:val="00974522"/>
    <w:rsid w:val="0097501C"/>
    <w:rsid w:val="0097517B"/>
    <w:rsid w:val="009752F0"/>
    <w:rsid w:val="0097592E"/>
    <w:rsid w:val="009759C7"/>
    <w:rsid w:val="00976A66"/>
    <w:rsid w:val="00977FBD"/>
    <w:rsid w:val="00980075"/>
    <w:rsid w:val="00980D9F"/>
    <w:rsid w:val="009811F5"/>
    <w:rsid w:val="00981A1C"/>
    <w:rsid w:val="00981AD1"/>
    <w:rsid w:val="00981DB6"/>
    <w:rsid w:val="00981EC5"/>
    <w:rsid w:val="00982666"/>
    <w:rsid w:val="00982D5F"/>
    <w:rsid w:val="00982ED8"/>
    <w:rsid w:val="00984095"/>
    <w:rsid w:val="00984554"/>
    <w:rsid w:val="009858B4"/>
    <w:rsid w:val="00985D0B"/>
    <w:rsid w:val="009864AE"/>
    <w:rsid w:val="00986B4F"/>
    <w:rsid w:val="00987513"/>
    <w:rsid w:val="009875B9"/>
    <w:rsid w:val="009876AA"/>
    <w:rsid w:val="009879A8"/>
    <w:rsid w:val="009900F8"/>
    <w:rsid w:val="00991045"/>
    <w:rsid w:val="0099181C"/>
    <w:rsid w:val="009918A2"/>
    <w:rsid w:val="009919F9"/>
    <w:rsid w:val="00991FD6"/>
    <w:rsid w:val="0099240B"/>
    <w:rsid w:val="00995249"/>
    <w:rsid w:val="009955F0"/>
    <w:rsid w:val="009956D5"/>
    <w:rsid w:val="00995B02"/>
    <w:rsid w:val="009960A5"/>
    <w:rsid w:val="0099634F"/>
    <w:rsid w:val="00996CC2"/>
    <w:rsid w:val="009973EB"/>
    <w:rsid w:val="009A0241"/>
    <w:rsid w:val="009A2752"/>
    <w:rsid w:val="009A2AE8"/>
    <w:rsid w:val="009A2C8A"/>
    <w:rsid w:val="009A2DB8"/>
    <w:rsid w:val="009A2E07"/>
    <w:rsid w:val="009A3774"/>
    <w:rsid w:val="009A39F8"/>
    <w:rsid w:val="009A4E99"/>
    <w:rsid w:val="009A6136"/>
    <w:rsid w:val="009A6732"/>
    <w:rsid w:val="009A6991"/>
    <w:rsid w:val="009A7296"/>
    <w:rsid w:val="009A7325"/>
    <w:rsid w:val="009A7517"/>
    <w:rsid w:val="009B1A49"/>
    <w:rsid w:val="009B20A1"/>
    <w:rsid w:val="009B260A"/>
    <w:rsid w:val="009B3731"/>
    <w:rsid w:val="009B3AAF"/>
    <w:rsid w:val="009B3F62"/>
    <w:rsid w:val="009B434D"/>
    <w:rsid w:val="009B571C"/>
    <w:rsid w:val="009B5F51"/>
    <w:rsid w:val="009B630D"/>
    <w:rsid w:val="009B6538"/>
    <w:rsid w:val="009B6C76"/>
    <w:rsid w:val="009B6F8A"/>
    <w:rsid w:val="009B7295"/>
    <w:rsid w:val="009B75E7"/>
    <w:rsid w:val="009B761F"/>
    <w:rsid w:val="009B7BFE"/>
    <w:rsid w:val="009C003C"/>
    <w:rsid w:val="009C0EDD"/>
    <w:rsid w:val="009C137A"/>
    <w:rsid w:val="009C15C4"/>
    <w:rsid w:val="009C1882"/>
    <w:rsid w:val="009C199C"/>
    <w:rsid w:val="009C1AB2"/>
    <w:rsid w:val="009C1C1D"/>
    <w:rsid w:val="009C32AE"/>
    <w:rsid w:val="009C3626"/>
    <w:rsid w:val="009C3BA6"/>
    <w:rsid w:val="009C3C98"/>
    <w:rsid w:val="009C405E"/>
    <w:rsid w:val="009C42E8"/>
    <w:rsid w:val="009C4D07"/>
    <w:rsid w:val="009C513E"/>
    <w:rsid w:val="009C59CC"/>
    <w:rsid w:val="009C622B"/>
    <w:rsid w:val="009C7DE6"/>
    <w:rsid w:val="009D008D"/>
    <w:rsid w:val="009D011B"/>
    <w:rsid w:val="009D0B35"/>
    <w:rsid w:val="009D0B48"/>
    <w:rsid w:val="009D0C75"/>
    <w:rsid w:val="009D1834"/>
    <w:rsid w:val="009D4005"/>
    <w:rsid w:val="009D4144"/>
    <w:rsid w:val="009D41F1"/>
    <w:rsid w:val="009D48D5"/>
    <w:rsid w:val="009D4E8A"/>
    <w:rsid w:val="009D61AB"/>
    <w:rsid w:val="009D6ACE"/>
    <w:rsid w:val="009D6B99"/>
    <w:rsid w:val="009D6F19"/>
    <w:rsid w:val="009D7AAE"/>
    <w:rsid w:val="009D7CC5"/>
    <w:rsid w:val="009E0EBF"/>
    <w:rsid w:val="009E0F4B"/>
    <w:rsid w:val="009E145D"/>
    <w:rsid w:val="009E187A"/>
    <w:rsid w:val="009E19CF"/>
    <w:rsid w:val="009E1AFC"/>
    <w:rsid w:val="009E1F62"/>
    <w:rsid w:val="009E200B"/>
    <w:rsid w:val="009E3126"/>
    <w:rsid w:val="009E3603"/>
    <w:rsid w:val="009E3F8D"/>
    <w:rsid w:val="009E4292"/>
    <w:rsid w:val="009E53E1"/>
    <w:rsid w:val="009E56A0"/>
    <w:rsid w:val="009E5D03"/>
    <w:rsid w:val="009E767D"/>
    <w:rsid w:val="009E7703"/>
    <w:rsid w:val="009E7721"/>
    <w:rsid w:val="009E778C"/>
    <w:rsid w:val="009E7BAB"/>
    <w:rsid w:val="009F08AA"/>
    <w:rsid w:val="009F0A6D"/>
    <w:rsid w:val="009F1FC4"/>
    <w:rsid w:val="009F237A"/>
    <w:rsid w:val="009F37CE"/>
    <w:rsid w:val="009F3D43"/>
    <w:rsid w:val="009F440A"/>
    <w:rsid w:val="009F4787"/>
    <w:rsid w:val="009F48ED"/>
    <w:rsid w:val="009F5306"/>
    <w:rsid w:val="009F598A"/>
    <w:rsid w:val="009F65BE"/>
    <w:rsid w:val="009F779C"/>
    <w:rsid w:val="009F7A14"/>
    <w:rsid w:val="00A00C5D"/>
    <w:rsid w:val="00A022A2"/>
    <w:rsid w:val="00A02DE2"/>
    <w:rsid w:val="00A037F8"/>
    <w:rsid w:val="00A03B1A"/>
    <w:rsid w:val="00A045F6"/>
    <w:rsid w:val="00A0511E"/>
    <w:rsid w:val="00A05618"/>
    <w:rsid w:val="00A058AD"/>
    <w:rsid w:val="00A05979"/>
    <w:rsid w:val="00A060F3"/>
    <w:rsid w:val="00A06303"/>
    <w:rsid w:val="00A0649E"/>
    <w:rsid w:val="00A0669A"/>
    <w:rsid w:val="00A067C1"/>
    <w:rsid w:val="00A07129"/>
    <w:rsid w:val="00A0783F"/>
    <w:rsid w:val="00A07AD3"/>
    <w:rsid w:val="00A1071D"/>
    <w:rsid w:val="00A10B1D"/>
    <w:rsid w:val="00A1108A"/>
    <w:rsid w:val="00A1117D"/>
    <w:rsid w:val="00A11AF0"/>
    <w:rsid w:val="00A123B2"/>
    <w:rsid w:val="00A153B7"/>
    <w:rsid w:val="00A15D7E"/>
    <w:rsid w:val="00A167F7"/>
    <w:rsid w:val="00A172C6"/>
    <w:rsid w:val="00A17C44"/>
    <w:rsid w:val="00A17E66"/>
    <w:rsid w:val="00A208B1"/>
    <w:rsid w:val="00A210CF"/>
    <w:rsid w:val="00A22106"/>
    <w:rsid w:val="00A22885"/>
    <w:rsid w:val="00A22D3A"/>
    <w:rsid w:val="00A23158"/>
    <w:rsid w:val="00A249AA"/>
    <w:rsid w:val="00A267E7"/>
    <w:rsid w:val="00A26C7B"/>
    <w:rsid w:val="00A271C9"/>
    <w:rsid w:val="00A2773A"/>
    <w:rsid w:val="00A27B3A"/>
    <w:rsid w:val="00A27BE6"/>
    <w:rsid w:val="00A27C62"/>
    <w:rsid w:val="00A27DFB"/>
    <w:rsid w:val="00A31BA3"/>
    <w:rsid w:val="00A31FAE"/>
    <w:rsid w:val="00A32251"/>
    <w:rsid w:val="00A32348"/>
    <w:rsid w:val="00A333D1"/>
    <w:rsid w:val="00A33976"/>
    <w:rsid w:val="00A343E8"/>
    <w:rsid w:val="00A3605D"/>
    <w:rsid w:val="00A37257"/>
    <w:rsid w:val="00A37C07"/>
    <w:rsid w:val="00A4064D"/>
    <w:rsid w:val="00A40D90"/>
    <w:rsid w:val="00A41303"/>
    <w:rsid w:val="00A41629"/>
    <w:rsid w:val="00A417F3"/>
    <w:rsid w:val="00A420A4"/>
    <w:rsid w:val="00A426DD"/>
    <w:rsid w:val="00A432EF"/>
    <w:rsid w:val="00A43C78"/>
    <w:rsid w:val="00A44081"/>
    <w:rsid w:val="00A44A2E"/>
    <w:rsid w:val="00A44D54"/>
    <w:rsid w:val="00A44F14"/>
    <w:rsid w:val="00A44F40"/>
    <w:rsid w:val="00A451BC"/>
    <w:rsid w:val="00A45606"/>
    <w:rsid w:val="00A45715"/>
    <w:rsid w:val="00A46661"/>
    <w:rsid w:val="00A467FC"/>
    <w:rsid w:val="00A46D96"/>
    <w:rsid w:val="00A472AA"/>
    <w:rsid w:val="00A504CD"/>
    <w:rsid w:val="00A505E4"/>
    <w:rsid w:val="00A50B42"/>
    <w:rsid w:val="00A51148"/>
    <w:rsid w:val="00A5127A"/>
    <w:rsid w:val="00A525A4"/>
    <w:rsid w:val="00A529B0"/>
    <w:rsid w:val="00A53696"/>
    <w:rsid w:val="00A536AF"/>
    <w:rsid w:val="00A546D7"/>
    <w:rsid w:val="00A54A1D"/>
    <w:rsid w:val="00A562C1"/>
    <w:rsid w:val="00A56312"/>
    <w:rsid w:val="00A56CA7"/>
    <w:rsid w:val="00A57029"/>
    <w:rsid w:val="00A6212A"/>
    <w:rsid w:val="00A622A0"/>
    <w:rsid w:val="00A62437"/>
    <w:rsid w:val="00A624FC"/>
    <w:rsid w:val="00A62A28"/>
    <w:rsid w:val="00A6301D"/>
    <w:rsid w:val="00A63737"/>
    <w:rsid w:val="00A63C76"/>
    <w:rsid w:val="00A6445C"/>
    <w:rsid w:val="00A64A68"/>
    <w:rsid w:val="00A65AFE"/>
    <w:rsid w:val="00A66843"/>
    <w:rsid w:val="00A679FF"/>
    <w:rsid w:val="00A67F88"/>
    <w:rsid w:val="00A707D0"/>
    <w:rsid w:val="00A70D52"/>
    <w:rsid w:val="00A70E49"/>
    <w:rsid w:val="00A71263"/>
    <w:rsid w:val="00A7250F"/>
    <w:rsid w:val="00A73330"/>
    <w:rsid w:val="00A7420B"/>
    <w:rsid w:val="00A74230"/>
    <w:rsid w:val="00A74299"/>
    <w:rsid w:val="00A74305"/>
    <w:rsid w:val="00A74CB8"/>
    <w:rsid w:val="00A74E71"/>
    <w:rsid w:val="00A7664F"/>
    <w:rsid w:val="00A76A14"/>
    <w:rsid w:val="00A76A6D"/>
    <w:rsid w:val="00A7766B"/>
    <w:rsid w:val="00A81D22"/>
    <w:rsid w:val="00A82247"/>
    <w:rsid w:val="00A823FC"/>
    <w:rsid w:val="00A82752"/>
    <w:rsid w:val="00A82813"/>
    <w:rsid w:val="00A829E1"/>
    <w:rsid w:val="00A8325A"/>
    <w:rsid w:val="00A83613"/>
    <w:rsid w:val="00A83745"/>
    <w:rsid w:val="00A83BBA"/>
    <w:rsid w:val="00A83DEC"/>
    <w:rsid w:val="00A84E1D"/>
    <w:rsid w:val="00A85488"/>
    <w:rsid w:val="00A85931"/>
    <w:rsid w:val="00A85E8C"/>
    <w:rsid w:val="00A8740D"/>
    <w:rsid w:val="00A879AF"/>
    <w:rsid w:val="00A87C66"/>
    <w:rsid w:val="00A87E8D"/>
    <w:rsid w:val="00A90827"/>
    <w:rsid w:val="00A90B34"/>
    <w:rsid w:val="00A913BF"/>
    <w:rsid w:val="00A91759"/>
    <w:rsid w:val="00A9277F"/>
    <w:rsid w:val="00A92EE3"/>
    <w:rsid w:val="00A936FE"/>
    <w:rsid w:val="00A946AC"/>
    <w:rsid w:val="00A952CF"/>
    <w:rsid w:val="00A95C1A"/>
    <w:rsid w:val="00A95E57"/>
    <w:rsid w:val="00A95EA3"/>
    <w:rsid w:val="00A9699C"/>
    <w:rsid w:val="00A96B12"/>
    <w:rsid w:val="00A96CC7"/>
    <w:rsid w:val="00A970E2"/>
    <w:rsid w:val="00A97786"/>
    <w:rsid w:val="00AA06D2"/>
    <w:rsid w:val="00AA203F"/>
    <w:rsid w:val="00AA2041"/>
    <w:rsid w:val="00AA3360"/>
    <w:rsid w:val="00AA3BC3"/>
    <w:rsid w:val="00AA3E53"/>
    <w:rsid w:val="00AA3EEE"/>
    <w:rsid w:val="00AA4091"/>
    <w:rsid w:val="00AA4B3F"/>
    <w:rsid w:val="00AA4D2F"/>
    <w:rsid w:val="00AA5CDA"/>
    <w:rsid w:val="00AA6747"/>
    <w:rsid w:val="00AA790E"/>
    <w:rsid w:val="00AB2137"/>
    <w:rsid w:val="00AB2E49"/>
    <w:rsid w:val="00AB3B3B"/>
    <w:rsid w:val="00AB3F6B"/>
    <w:rsid w:val="00AB3FBA"/>
    <w:rsid w:val="00AB4E97"/>
    <w:rsid w:val="00AB53F2"/>
    <w:rsid w:val="00AB5895"/>
    <w:rsid w:val="00AB6B12"/>
    <w:rsid w:val="00AB7AB2"/>
    <w:rsid w:val="00AC0896"/>
    <w:rsid w:val="00AC2831"/>
    <w:rsid w:val="00AC3145"/>
    <w:rsid w:val="00AC3ACA"/>
    <w:rsid w:val="00AC3F84"/>
    <w:rsid w:val="00AC47C3"/>
    <w:rsid w:val="00AC4A8B"/>
    <w:rsid w:val="00AC598A"/>
    <w:rsid w:val="00AC5BF8"/>
    <w:rsid w:val="00AC5E62"/>
    <w:rsid w:val="00AC5F31"/>
    <w:rsid w:val="00AC5F67"/>
    <w:rsid w:val="00AD02B4"/>
    <w:rsid w:val="00AD02FA"/>
    <w:rsid w:val="00AD11E3"/>
    <w:rsid w:val="00AD1844"/>
    <w:rsid w:val="00AD2C85"/>
    <w:rsid w:val="00AD2EE3"/>
    <w:rsid w:val="00AD3144"/>
    <w:rsid w:val="00AD3D72"/>
    <w:rsid w:val="00AD3D73"/>
    <w:rsid w:val="00AD420E"/>
    <w:rsid w:val="00AD4F69"/>
    <w:rsid w:val="00AD5949"/>
    <w:rsid w:val="00AD5EFD"/>
    <w:rsid w:val="00AD6150"/>
    <w:rsid w:val="00AD630D"/>
    <w:rsid w:val="00AD64F9"/>
    <w:rsid w:val="00AD66B7"/>
    <w:rsid w:val="00AD6BE3"/>
    <w:rsid w:val="00AE1200"/>
    <w:rsid w:val="00AE152C"/>
    <w:rsid w:val="00AE20B3"/>
    <w:rsid w:val="00AE2F1F"/>
    <w:rsid w:val="00AE3A79"/>
    <w:rsid w:val="00AE4640"/>
    <w:rsid w:val="00AE4C87"/>
    <w:rsid w:val="00AE4E82"/>
    <w:rsid w:val="00AE51D1"/>
    <w:rsid w:val="00AE57DF"/>
    <w:rsid w:val="00AE59DC"/>
    <w:rsid w:val="00AE5A54"/>
    <w:rsid w:val="00AE6036"/>
    <w:rsid w:val="00AE61C0"/>
    <w:rsid w:val="00AE6450"/>
    <w:rsid w:val="00AE6592"/>
    <w:rsid w:val="00AE65D2"/>
    <w:rsid w:val="00AE797F"/>
    <w:rsid w:val="00AE7A65"/>
    <w:rsid w:val="00AF04F0"/>
    <w:rsid w:val="00AF0716"/>
    <w:rsid w:val="00AF095C"/>
    <w:rsid w:val="00AF151B"/>
    <w:rsid w:val="00AF1C27"/>
    <w:rsid w:val="00AF3C8E"/>
    <w:rsid w:val="00AF440C"/>
    <w:rsid w:val="00AF4461"/>
    <w:rsid w:val="00AF477F"/>
    <w:rsid w:val="00AF4F39"/>
    <w:rsid w:val="00AF506E"/>
    <w:rsid w:val="00AF53D5"/>
    <w:rsid w:val="00AF5561"/>
    <w:rsid w:val="00AF5C15"/>
    <w:rsid w:val="00AF61F9"/>
    <w:rsid w:val="00AF6905"/>
    <w:rsid w:val="00AF7F08"/>
    <w:rsid w:val="00B0044C"/>
    <w:rsid w:val="00B00588"/>
    <w:rsid w:val="00B01E1E"/>
    <w:rsid w:val="00B01FDF"/>
    <w:rsid w:val="00B02431"/>
    <w:rsid w:val="00B02DF0"/>
    <w:rsid w:val="00B035A0"/>
    <w:rsid w:val="00B0363A"/>
    <w:rsid w:val="00B03AE6"/>
    <w:rsid w:val="00B04ACE"/>
    <w:rsid w:val="00B04C39"/>
    <w:rsid w:val="00B0692A"/>
    <w:rsid w:val="00B06DB1"/>
    <w:rsid w:val="00B06DF1"/>
    <w:rsid w:val="00B071FB"/>
    <w:rsid w:val="00B07214"/>
    <w:rsid w:val="00B07AA8"/>
    <w:rsid w:val="00B07D22"/>
    <w:rsid w:val="00B1087B"/>
    <w:rsid w:val="00B11DE9"/>
    <w:rsid w:val="00B1267E"/>
    <w:rsid w:val="00B12CD4"/>
    <w:rsid w:val="00B13458"/>
    <w:rsid w:val="00B141CE"/>
    <w:rsid w:val="00B141FC"/>
    <w:rsid w:val="00B14880"/>
    <w:rsid w:val="00B14C77"/>
    <w:rsid w:val="00B14C7F"/>
    <w:rsid w:val="00B14DDB"/>
    <w:rsid w:val="00B15950"/>
    <w:rsid w:val="00B1624C"/>
    <w:rsid w:val="00B16481"/>
    <w:rsid w:val="00B1696B"/>
    <w:rsid w:val="00B169DF"/>
    <w:rsid w:val="00B16D26"/>
    <w:rsid w:val="00B16FBD"/>
    <w:rsid w:val="00B20F0C"/>
    <w:rsid w:val="00B21FE6"/>
    <w:rsid w:val="00B23005"/>
    <w:rsid w:val="00B2345A"/>
    <w:rsid w:val="00B23C18"/>
    <w:rsid w:val="00B23F1A"/>
    <w:rsid w:val="00B24779"/>
    <w:rsid w:val="00B249DA"/>
    <w:rsid w:val="00B25A99"/>
    <w:rsid w:val="00B25B41"/>
    <w:rsid w:val="00B26109"/>
    <w:rsid w:val="00B267BB"/>
    <w:rsid w:val="00B26A05"/>
    <w:rsid w:val="00B2792D"/>
    <w:rsid w:val="00B307C7"/>
    <w:rsid w:val="00B31508"/>
    <w:rsid w:val="00B32244"/>
    <w:rsid w:val="00B33539"/>
    <w:rsid w:val="00B342CF"/>
    <w:rsid w:val="00B346FC"/>
    <w:rsid w:val="00B34858"/>
    <w:rsid w:val="00B34A3F"/>
    <w:rsid w:val="00B35FD7"/>
    <w:rsid w:val="00B36529"/>
    <w:rsid w:val="00B3683D"/>
    <w:rsid w:val="00B375F7"/>
    <w:rsid w:val="00B37699"/>
    <w:rsid w:val="00B376E3"/>
    <w:rsid w:val="00B37E76"/>
    <w:rsid w:val="00B4002B"/>
    <w:rsid w:val="00B401A3"/>
    <w:rsid w:val="00B4076D"/>
    <w:rsid w:val="00B40B22"/>
    <w:rsid w:val="00B410DC"/>
    <w:rsid w:val="00B41F02"/>
    <w:rsid w:val="00B4280D"/>
    <w:rsid w:val="00B43392"/>
    <w:rsid w:val="00B43805"/>
    <w:rsid w:val="00B453EB"/>
    <w:rsid w:val="00B47FB6"/>
    <w:rsid w:val="00B502FA"/>
    <w:rsid w:val="00B503F0"/>
    <w:rsid w:val="00B50679"/>
    <w:rsid w:val="00B51D94"/>
    <w:rsid w:val="00B52B23"/>
    <w:rsid w:val="00B5328A"/>
    <w:rsid w:val="00B535C2"/>
    <w:rsid w:val="00B53A84"/>
    <w:rsid w:val="00B546D6"/>
    <w:rsid w:val="00B54895"/>
    <w:rsid w:val="00B54AF9"/>
    <w:rsid w:val="00B555A0"/>
    <w:rsid w:val="00B56150"/>
    <w:rsid w:val="00B56705"/>
    <w:rsid w:val="00B572EB"/>
    <w:rsid w:val="00B5775F"/>
    <w:rsid w:val="00B57C72"/>
    <w:rsid w:val="00B57F76"/>
    <w:rsid w:val="00B6159F"/>
    <w:rsid w:val="00B617A0"/>
    <w:rsid w:val="00B61A5A"/>
    <w:rsid w:val="00B61D4E"/>
    <w:rsid w:val="00B61DF0"/>
    <w:rsid w:val="00B61E2B"/>
    <w:rsid w:val="00B623D0"/>
    <w:rsid w:val="00B63A5F"/>
    <w:rsid w:val="00B63B92"/>
    <w:rsid w:val="00B64A6A"/>
    <w:rsid w:val="00B65A5D"/>
    <w:rsid w:val="00B65BEA"/>
    <w:rsid w:val="00B65C4B"/>
    <w:rsid w:val="00B6621E"/>
    <w:rsid w:val="00B6767F"/>
    <w:rsid w:val="00B67F6C"/>
    <w:rsid w:val="00B70119"/>
    <w:rsid w:val="00B7038B"/>
    <w:rsid w:val="00B70C0D"/>
    <w:rsid w:val="00B718D1"/>
    <w:rsid w:val="00B7252C"/>
    <w:rsid w:val="00B72FCD"/>
    <w:rsid w:val="00B7308D"/>
    <w:rsid w:val="00B73948"/>
    <w:rsid w:val="00B745D5"/>
    <w:rsid w:val="00B74966"/>
    <w:rsid w:val="00B7532B"/>
    <w:rsid w:val="00B753B3"/>
    <w:rsid w:val="00B75580"/>
    <w:rsid w:val="00B768E5"/>
    <w:rsid w:val="00B80E44"/>
    <w:rsid w:val="00B815FC"/>
    <w:rsid w:val="00B81BA1"/>
    <w:rsid w:val="00B83D95"/>
    <w:rsid w:val="00B84AF1"/>
    <w:rsid w:val="00B85026"/>
    <w:rsid w:val="00B858CD"/>
    <w:rsid w:val="00B868B0"/>
    <w:rsid w:val="00B868DE"/>
    <w:rsid w:val="00B870BB"/>
    <w:rsid w:val="00B9033F"/>
    <w:rsid w:val="00B905A8"/>
    <w:rsid w:val="00B90C33"/>
    <w:rsid w:val="00B9104E"/>
    <w:rsid w:val="00B91279"/>
    <w:rsid w:val="00B91958"/>
    <w:rsid w:val="00B928EE"/>
    <w:rsid w:val="00B9448D"/>
    <w:rsid w:val="00B9462A"/>
    <w:rsid w:val="00B94946"/>
    <w:rsid w:val="00B95385"/>
    <w:rsid w:val="00B9648F"/>
    <w:rsid w:val="00B9697C"/>
    <w:rsid w:val="00B969DA"/>
    <w:rsid w:val="00B97220"/>
    <w:rsid w:val="00B97426"/>
    <w:rsid w:val="00B97742"/>
    <w:rsid w:val="00B97B69"/>
    <w:rsid w:val="00B97D70"/>
    <w:rsid w:val="00B97FA4"/>
    <w:rsid w:val="00BA11F9"/>
    <w:rsid w:val="00BA1FB1"/>
    <w:rsid w:val="00BA355C"/>
    <w:rsid w:val="00BA411A"/>
    <w:rsid w:val="00BA5240"/>
    <w:rsid w:val="00BA5579"/>
    <w:rsid w:val="00BA77A4"/>
    <w:rsid w:val="00BA7CCE"/>
    <w:rsid w:val="00BA7F1E"/>
    <w:rsid w:val="00BB0446"/>
    <w:rsid w:val="00BB06D6"/>
    <w:rsid w:val="00BB123D"/>
    <w:rsid w:val="00BB1AE6"/>
    <w:rsid w:val="00BB1CC4"/>
    <w:rsid w:val="00BB1D84"/>
    <w:rsid w:val="00BB2233"/>
    <w:rsid w:val="00BB26E1"/>
    <w:rsid w:val="00BB2D7B"/>
    <w:rsid w:val="00BB3E5E"/>
    <w:rsid w:val="00BB47A0"/>
    <w:rsid w:val="00BB5E27"/>
    <w:rsid w:val="00BB60D9"/>
    <w:rsid w:val="00BB6C46"/>
    <w:rsid w:val="00BB7005"/>
    <w:rsid w:val="00BB7297"/>
    <w:rsid w:val="00BC046D"/>
    <w:rsid w:val="00BC0A91"/>
    <w:rsid w:val="00BC12EC"/>
    <w:rsid w:val="00BC16D2"/>
    <w:rsid w:val="00BC1EEF"/>
    <w:rsid w:val="00BC1FE3"/>
    <w:rsid w:val="00BC2387"/>
    <w:rsid w:val="00BC35E8"/>
    <w:rsid w:val="00BC3B12"/>
    <w:rsid w:val="00BC40A6"/>
    <w:rsid w:val="00BC4A2E"/>
    <w:rsid w:val="00BC4AEC"/>
    <w:rsid w:val="00BC4C3D"/>
    <w:rsid w:val="00BC53E5"/>
    <w:rsid w:val="00BC5728"/>
    <w:rsid w:val="00BC589F"/>
    <w:rsid w:val="00BC5926"/>
    <w:rsid w:val="00BC5AEE"/>
    <w:rsid w:val="00BC64A7"/>
    <w:rsid w:val="00BC6729"/>
    <w:rsid w:val="00BC6CD8"/>
    <w:rsid w:val="00BC7110"/>
    <w:rsid w:val="00BC7ACD"/>
    <w:rsid w:val="00BD0916"/>
    <w:rsid w:val="00BD0BE2"/>
    <w:rsid w:val="00BD0C26"/>
    <w:rsid w:val="00BD0CAE"/>
    <w:rsid w:val="00BD1EF1"/>
    <w:rsid w:val="00BD22C3"/>
    <w:rsid w:val="00BD247C"/>
    <w:rsid w:val="00BD313D"/>
    <w:rsid w:val="00BD31D7"/>
    <w:rsid w:val="00BD370A"/>
    <w:rsid w:val="00BD3C9B"/>
    <w:rsid w:val="00BD5521"/>
    <w:rsid w:val="00BD5DA1"/>
    <w:rsid w:val="00BD62AC"/>
    <w:rsid w:val="00BD71FF"/>
    <w:rsid w:val="00BE010E"/>
    <w:rsid w:val="00BE0A1F"/>
    <w:rsid w:val="00BE0C3E"/>
    <w:rsid w:val="00BE0C84"/>
    <w:rsid w:val="00BE0ED2"/>
    <w:rsid w:val="00BE0EDB"/>
    <w:rsid w:val="00BE1996"/>
    <w:rsid w:val="00BE1DAE"/>
    <w:rsid w:val="00BE1F23"/>
    <w:rsid w:val="00BE2F56"/>
    <w:rsid w:val="00BE37B7"/>
    <w:rsid w:val="00BE3B0F"/>
    <w:rsid w:val="00BE4196"/>
    <w:rsid w:val="00BE49AE"/>
    <w:rsid w:val="00BE55B5"/>
    <w:rsid w:val="00BE5AC1"/>
    <w:rsid w:val="00BE6655"/>
    <w:rsid w:val="00BE6E12"/>
    <w:rsid w:val="00BE772D"/>
    <w:rsid w:val="00BE7C57"/>
    <w:rsid w:val="00BE7CFA"/>
    <w:rsid w:val="00BE7F50"/>
    <w:rsid w:val="00BF0353"/>
    <w:rsid w:val="00BF043B"/>
    <w:rsid w:val="00BF1D62"/>
    <w:rsid w:val="00BF27A6"/>
    <w:rsid w:val="00BF2D05"/>
    <w:rsid w:val="00BF30EB"/>
    <w:rsid w:val="00BF3245"/>
    <w:rsid w:val="00BF3745"/>
    <w:rsid w:val="00BF3FA0"/>
    <w:rsid w:val="00BF5CD6"/>
    <w:rsid w:val="00BF6287"/>
    <w:rsid w:val="00BF7E04"/>
    <w:rsid w:val="00C00002"/>
    <w:rsid w:val="00C00471"/>
    <w:rsid w:val="00C00881"/>
    <w:rsid w:val="00C010B5"/>
    <w:rsid w:val="00C01243"/>
    <w:rsid w:val="00C0170C"/>
    <w:rsid w:val="00C01A0F"/>
    <w:rsid w:val="00C01FCB"/>
    <w:rsid w:val="00C02B41"/>
    <w:rsid w:val="00C02D06"/>
    <w:rsid w:val="00C04246"/>
    <w:rsid w:val="00C05350"/>
    <w:rsid w:val="00C05D48"/>
    <w:rsid w:val="00C05F55"/>
    <w:rsid w:val="00C075E8"/>
    <w:rsid w:val="00C07C05"/>
    <w:rsid w:val="00C07C6A"/>
    <w:rsid w:val="00C07E37"/>
    <w:rsid w:val="00C07FA0"/>
    <w:rsid w:val="00C100B4"/>
    <w:rsid w:val="00C101F7"/>
    <w:rsid w:val="00C10D4F"/>
    <w:rsid w:val="00C11FEB"/>
    <w:rsid w:val="00C12456"/>
    <w:rsid w:val="00C128DA"/>
    <w:rsid w:val="00C14537"/>
    <w:rsid w:val="00C146B7"/>
    <w:rsid w:val="00C14738"/>
    <w:rsid w:val="00C1524E"/>
    <w:rsid w:val="00C15CFE"/>
    <w:rsid w:val="00C15FAE"/>
    <w:rsid w:val="00C16321"/>
    <w:rsid w:val="00C17451"/>
    <w:rsid w:val="00C17A17"/>
    <w:rsid w:val="00C2014E"/>
    <w:rsid w:val="00C20F3C"/>
    <w:rsid w:val="00C21005"/>
    <w:rsid w:val="00C21C29"/>
    <w:rsid w:val="00C227AE"/>
    <w:rsid w:val="00C22C0C"/>
    <w:rsid w:val="00C23182"/>
    <w:rsid w:val="00C23A25"/>
    <w:rsid w:val="00C23D28"/>
    <w:rsid w:val="00C24321"/>
    <w:rsid w:val="00C243EE"/>
    <w:rsid w:val="00C24862"/>
    <w:rsid w:val="00C24942"/>
    <w:rsid w:val="00C2509B"/>
    <w:rsid w:val="00C252A6"/>
    <w:rsid w:val="00C252E1"/>
    <w:rsid w:val="00C25624"/>
    <w:rsid w:val="00C25FD6"/>
    <w:rsid w:val="00C2663B"/>
    <w:rsid w:val="00C266BB"/>
    <w:rsid w:val="00C267FD"/>
    <w:rsid w:val="00C27076"/>
    <w:rsid w:val="00C27B81"/>
    <w:rsid w:val="00C27C2F"/>
    <w:rsid w:val="00C27ED1"/>
    <w:rsid w:val="00C30AB0"/>
    <w:rsid w:val="00C31BB3"/>
    <w:rsid w:val="00C3239D"/>
    <w:rsid w:val="00C32865"/>
    <w:rsid w:val="00C32BC8"/>
    <w:rsid w:val="00C331F8"/>
    <w:rsid w:val="00C335EF"/>
    <w:rsid w:val="00C339E4"/>
    <w:rsid w:val="00C33A9E"/>
    <w:rsid w:val="00C3400C"/>
    <w:rsid w:val="00C34B56"/>
    <w:rsid w:val="00C34BA4"/>
    <w:rsid w:val="00C35D8A"/>
    <w:rsid w:val="00C37074"/>
    <w:rsid w:val="00C371A2"/>
    <w:rsid w:val="00C37210"/>
    <w:rsid w:val="00C375B6"/>
    <w:rsid w:val="00C37CA8"/>
    <w:rsid w:val="00C4101A"/>
    <w:rsid w:val="00C41377"/>
    <w:rsid w:val="00C41449"/>
    <w:rsid w:val="00C41E1F"/>
    <w:rsid w:val="00C42C63"/>
    <w:rsid w:val="00C43607"/>
    <w:rsid w:val="00C437D2"/>
    <w:rsid w:val="00C44869"/>
    <w:rsid w:val="00C44E57"/>
    <w:rsid w:val="00C44FF5"/>
    <w:rsid w:val="00C45B3D"/>
    <w:rsid w:val="00C46541"/>
    <w:rsid w:val="00C471DF"/>
    <w:rsid w:val="00C47724"/>
    <w:rsid w:val="00C4777D"/>
    <w:rsid w:val="00C50C66"/>
    <w:rsid w:val="00C5120C"/>
    <w:rsid w:val="00C51CA6"/>
    <w:rsid w:val="00C53B6E"/>
    <w:rsid w:val="00C53DE5"/>
    <w:rsid w:val="00C54120"/>
    <w:rsid w:val="00C542EF"/>
    <w:rsid w:val="00C54DA7"/>
    <w:rsid w:val="00C55A07"/>
    <w:rsid w:val="00C56334"/>
    <w:rsid w:val="00C566A5"/>
    <w:rsid w:val="00C566D0"/>
    <w:rsid w:val="00C56A90"/>
    <w:rsid w:val="00C606E9"/>
    <w:rsid w:val="00C609B0"/>
    <w:rsid w:val="00C60DF4"/>
    <w:rsid w:val="00C6114C"/>
    <w:rsid w:val="00C613AE"/>
    <w:rsid w:val="00C6171A"/>
    <w:rsid w:val="00C61BD0"/>
    <w:rsid w:val="00C62584"/>
    <w:rsid w:val="00C629C4"/>
    <w:rsid w:val="00C62EE6"/>
    <w:rsid w:val="00C637CE"/>
    <w:rsid w:val="00C63D0C"/>
    <w:rsid w:val="00C641B5"/>
    <w:rsid w:val="00C6472E"/>
    <w:rsid w:val="00C65043"/>
    <w:rsid w:val="00C65C00"/>
    <w:rsid w:val="00C674B3"/>
    <w:rsid w:val="00C677FB"/>
    <w:rsid w:val="00C67CE3"/>
    <w:rsid w:val="00C67D14"/>
    <w:rsid w:val="00C70A1E"/>
    <w:rsid w:val="00C7126F"/>
    <w:rsid w:val="00C71B7E"/>
    <w:rsid w:val="00C71F5E"/>
    <w:rsid w:val="00C720D9"/>
    <w:rsid w:val="00C72606"/>
    <w:rsid w:val="00C72D49"/>
    <w:rsid w:val="00C72E5B"/>
    <w:rsid w:val="00C7342C"/>
    <w:rsid w:val="00C734E8"/>
    <w:rsid w:val="00C73AF4"/>
    <w:rsid w:val="00C73F85"/>
    <w:rsid w:val="00C742BC"/>
    <w:rsid w:val="00C74302"/>
    <w:rsid w:val="00C7435E"/>
    <w:rsid w:val="00C74AF7"/>
    <w:rsid w:val="00C761BA"/>
    <w:rsid w:val="00C7683D"/>
    <w:rsid w:val="00C77226"/>
    <w:rsid w:val="00C773D4"/>
    <w:rsid w:val="00C775BA"/>
    <w:rsid w:val="00C80304"/>
    <w:rsid w:val="00C803A0"/>
    <w:rsid w:val="00C80775"/>
    <w:rsid w:val="00C80F47"/>
    <w:rsid w:val="00C82295"/>
    <w:rsid w:val="00C82542"/>
    <w:rsid w:val="00C82667"/>
    <w:rsid w:val="00C83C20"/>
    <w:rsid w:val="00C83FB4"/>
    <w:rsid w:val="00C84023"/>
    <w:rsid w:val="00C847E2"/>
    <w:rsid w:val="00C84B26"/>
    <w:rsid w:val="00C84CFB"/>
    <w:rsid w:val="00C84F0B"/>
    <w:rsid w:val="00C854B1"/>
    <w:rsid w:val="00C856B8"/>
    <w:rsid w:val="00C85C5E"/>
    <w:rsid w:val="00C87536"/>
    <w:rsid w:val="00C918A4"/>
    <w:rsid w:val="00C92132"/>
    <w:rsid w:val="00C92837"/>
    <w:rsid w:val="00C92D58"/>
    <w:rsid w:val="00C92F95"/>
    <w:rsid w:val="00C93FF1"/>
    <w:rsid w:val="00C95D74"/>
    <w:rsid w:val="00C97765"/>
    <w:rsid w:val="00C97B54"/>
    <w:rsid w:val="00CA0006"/>
    <w:rsid w:val="00CA01B3"/>
    <w:rsid w:val="00CA01C4"/>
    <w:rsid w:val="00CA0DA5"/>
    <w:rsid w:val="00CA0E28"/>
    <w:rsid w:val="00CA3B86"/>
    <w:rsid w:val="00CA4A53"/>
    <w:rsid w:val="00CA4DFF"/>
    <w:rsid w:val="00CA53C3"/>
    <w:rsid w:val="00CA575A"/>
    <w:rsid w:val="00CA5BBC"/>
    <w:rsid w:val="00CA601E"/>
    <w:rsid w:val="00CA6351"/>
    <w:rsid w:val="00CA6730"/>
    <w:rsid w:val="00CA6A2D"/>
    <w:rsid w:val="00CA6BA8"/>
    <w:rsid w:val="00CA7573"/>
    <w:rsid w:val="00CA7D59"/>
    <w:rsid w:val="00CB1406"/>
    <w:rsid w:val="00CB1930"/>
    <w:rsid w:val="00CB1D8E"/>
    <w:rsid w:val="00CB357B"/>
    <w:rsid w:val="00CB3EF6"/>
    <w:rsid w:val="00CB4C21"/>
    <w:rsid w:val="00CB630E"/>
    <w:rsid w:val="00CB71C2"/>
    <w:rsid w:val="00CB74F7"/>
    <w:rsid w:val="00CB7A14"/>
    <w:rsid w:val="00CC074D"/>
    <w:rsid w:val="00CC12EB"/>
    <w:rsid w:val="00CC16A0"/>
    <w:rsid w:val="00CC221B"/>
    <w:rsid w:val="00CC23F9"/>
    <w:rsid w:val="00CC29EE"/>
    <w:rsid w:val="00CC2FB1"/>
    <w:rsid w:val="00CC4A18"/>
    <w:rsid w:val="00CC4ED9"/>
    <w:rsid w:val="00CC4F33"/>
    <w:rsid w:val="00CC504A"/>
    <w:rsid w:val="00CC647D"/>
    <w:rsid w:val="00CC6C6C"/>
    <w:rsid w:val="00CC6E8D"/>
    <w:rsid w:val="00CC721C"/>
    <w:rsid w:val="00CC790E"/>
    <w:rsid w:val="00CD1008"/>
    <w:rsid w:val="00CD151E"/>
    <w:rsid w:val="00CD172A"/>
    <w:rsid w:val="00CD3097"/>
    <w:rsid w:val="00CD3912"/>
    <w:rsid w:val="00CD4413"/>
    <w:rsid w:val="00CD466A"/>
    <w:rsid w:val="00CD4E56"/>
    <w:rsid w:val="00CD4E72"/>
    <w:rsid w:val="00CD4EAF"/>
    <w:rsid w:val="00CD4ED6"/>
    <w:rsid w:val="00CD4FDC"/>
    <w:rsid w:val="00CD556A"/>
    <w:rsid w:val="00CD56CD"/>
    <w:rsid w:val="00CD59AF"/>
    <w:rsid w:val="00CD5D20"/>
    <w:rsid w:val="00CD5DE2"/>
    <w:rsid w:val="00CD676D"/>
    <w:rsid w:val="00CD781B"/>
    <w:rsid w:val="00CD7B4D"/>
    <w:rsid w:val="00CD7E24"/>
    <w:rsid w:val="00CE006D"/>
    <w:rsid w:val="00CE0D1E"/>
    <w:rsid w:val="00CE11A5"/>
    <w:rsid w:val="00CE2406"/>
    <w:rsid w:val="00CE2552"/>
    <w:rsid w:val="00CE25CA"/>
    <w:rsid w:val="00CE2CB4"/>
    <w:rsid w:val="00CE4747"/>
    <w:rsid w:val="00CE67D4"/>
    <w:rsid w:val="00CE6E25"/>
    <w:rsid w:val="00CE79F9"/>
    <w:rsid w:val="00CF027A"/>
    <w:rsid w:val="00CF0F40"/>
    <w:rsid w:val="00CF257C"/>
    <w:rsid w:val="00CF25D6"/>
    <w:rsid w:val="00CF26DB"/>
    <w:rsid w:val="00CF2BB8"/>
    <w:rsid w:val="00CF38FC"/>
    <w:rsid w:val="00CF5062"/>
    <w:rsid w:val="00CF56F8"/>
    <w:rsid w:val="00CF596A"/>
    <w:rsid w:val="00CF66C5"/>
    <w:rsid w:val="00CF6AE8"/>
    <w:rsid w:val="00D017A1"/>
    <w:rsid w:val="00D01B2F"/>
    <w:rsid w:val="00D01EF4"/>
    <w:rsid w:val="00D0299B"/>
    <w:rsid w:val="00D02D1F"/>
    <w:rsid w:val="00D0385B"/>
    <w:rsid w:val="00D05582"/>
    <w:rsid w:val="00D05B0F"/>
    <w:rsid w:val="00D060B5"/>
    <w:rsid w:val="00D0612D"/>
    <w:rsid w:val="00D072ED"/>
    <w:rsid w:val="00D1085A"/>
    <w:rsid w:val="00D11247"/>
    <w:rsid w:val="00D1129D"/>
    <w:rsid w:val="00D11AC0"/>
    <w:rsid w:val="00D11E52"/>
    <w:rsid w:val="00D12C88"/>
    <w:rsid w:val="00D13379"/>
    <w:rsid w:val="00D133B8"/>
    <w:rsid w:val="00D13545"/>
    <w:rsid w:val="00D14B11"/>
    <w:rsid w:val="00D14F46"/>
    <w:rsid w:val="00D1576B"/>
    <w:rsid w:val="00D15E09"/>
    <w:rsid w:val="00D16F4F"/>
    <w:rsid w:val="00D17481"/>
    <w:rsid w:val="00D17820"/>
    <w:rsid w:val="00D20D20"/>
    <w:rsid w:val="00D2116E"/>
    <w:rsid w:val="00D21F9E"/>
    <w:rsid w:val="00D222CE"/>
    <w:rsid w:val="00D22409"/>
    <w:rsid w:val="00D22B7B"/>
    <w:rsid w:val="00D22D6C"/>
    <w:rsid w:val="00D234AA"/>
    <w:rsid w:val="00D24740"/>
    <w:rsid w:val="00D25315"/>
    <w:rsid w:val="00D259AC"/>
    <w:rsid w:val="00D2674D"/>
    <w:rsid w:val="00D268FA"/>
    <w:rsid w:val="00D273D3"/>
    <w:rsid w:val="00D27C01"/>
    <w:rsid w:val="00D314B3"/>
    <w:rsid w:val="00D316BF"/>
    <w:rsid w:val="00D31B1E"/>
    <w:rsid w:val="00D31C09"/>
    <w:rsid w:val="00D32789"/>
    <w:rsid w:val="00D32876"/>
    <w:rsid w:val="00D338AB"/>
    <w:rsid w:val="00D33BC7"/>
    <w:rsid w:val="00D33E92"/>
    <w:rsid w:val="00D34343"/>
    <w:rsid w:val="00D34B9A"/>
    <w:rsid w:val="00D36092"/>
    <w:rsid w:val="00D3626E"/>
    <w:rsid w:val="00D370E8"/>
    <w:rsid w:val="00D37136"/>
    <w:rsid w:val="00D375D6"/>
    <w:rsid w:val="00D37EE1"/>
    <w:rsid w:val="00D405A2"/>
    <w:rsid w:val="00D417B3"/>
    <w:rsid w:val="00D41E09"/>
    <w:rsid w:val="00D43D87"/>
    <w:rsid w:val="00D45199"/>
    <w:rsid w:val="00D4521E"/>
    <w:rsid w:val="00D455EC"/>
    <w:rsid w:val="00D4569C"/>
    <w:rsid w:val="00D4590B"/>
    <w:rsid w:val="00D4695D"/>
    <w:rsid w:val="00D46E9F"/>
    <w:rsid w:val="00D47C14"/>
    <w:rsid w:val="00D507CF"/>
    <w:rsid w:val="00D5153C"/>
    <w:rsid w:val="00D51911"/>
    <w:rsid w:val="00D52037"/>
    <w:rsid w:val="00D527EA"/>
    <w:rsid w:val="00D52B34"/>
    <w:rsid w:val="00D533F5"/>
    <w:rsid w:val="00D53983"/>
    <w:rsid w:val="00D53EB3"/>
    <w:rsid w:val="00D54072"/>
    <w:rsid w:val="00D54396"/>
    <w:rsid w:val="00D54A11"/>
    <w:rsid w:val="00D54C25"/>
    <w:rsid w:val="00D56411"/>
    <w:rsid w:val="00D6019B"/>
    <w:rsid w:val="00D60343"/>
    <w:rsid w:val="00D606B8"/>
    <w:rsid w:val="00D6089D"/>
    <w:rsid w:val="00D60C10"/>
    <w:rsid w:val="00D6111C"/>
    <w:rsid w:val="00D617A3"/>
    <w:rsid w:val="00D6197A"/>
    <w:rsid w:val="00D61AE9"/>
    <w:rsid w:val="00D621F4"/>
    <w:rsid w:val="00D62267"/>
    <w:rsid w:val="00D62331"/>
    <w:rsid w:val="00D6281A"/>
    <w:rsid w:val="00D63798"/>
    <w:rsid w:val="00D637EC"/>
    <w:rsid w:val="00D64912"/>
    <w:rsid w:val="00D64A02"/>
    <w:rsid w:val="00D65CE8"/>
    <w:rsid w:val="00D676FE"/>
    <w:rsid w:val="00D67AFC"/>
    <w:rsid w:val="00D711B3"/>
    <w:rsid w:val="00D72208"/>
    <w:rsid w:val="00D735C5"/>
    <w:rsid w:val="00D737AD"/>
    <w:rsid w:val="00D738DC"/>
    <w:rsid w:val="00D73CC8"/>
    <w:rsid w:val="00D741AF"/>
    <w:rsid w:val="00D7454D"/>
    <w:rsid w:val="00D74AE2"/>
    <w:rsid w:val="00D74C4D"/>
    <w:rsid w:val="00D74EEA"/>
    <w:rsid w:val="00D75EDA"/>
    <w:rsid w:val="00D77198"/>
    <w:rsid w:val="00D778E6"/>
    <w:rsid w:val="00D77D6A"/>
    <w:rsid w:val="00D8028B"/>
    <w:rsid w:val="00D80762"/>
    <w:rsid w:val="00D81954"/>
    <w:rsid w:val="00D81E66"/>
    <w:rsid w:val="00D82042"/>
    <w:rsid w:val="00D8238D"/>
    <w:rsid w:val="00D82435"/>
    <w:rsid w:val="00D82BCB"/>
    <w:rsid w:val="00D83649"/>
    <w:rsid w:val="00D83939"/>
    <w:rsid w:val="00D84220"/>
    <w:rsid w:val="00D844BB"/>
    <w:rsid w:val="00D84F54"/>
    <w:rsid w:val="00D8528A"/>
    <w:rsid w:val="00D853B8"/>
    <w:rsid w:val="00D8650C"/>
    <w:rsid w:val="00D906AF"/>
    <w:rsid w:val="00D90BAA"/>
    <w:rsid w:val="00D913C1"/>
    <w:rsid w:val="00D91D35"/>
    <w:rsid w:val="00D91FAB"/>
    <w:rsid w:val="00D9229C"/>
    <w:rsid w:val="00D92B2C"/>
    <w:rsid w:val="00D92FFC"/>
    <w:rsid w:val="00D935DA"/>
    <w:rsid w:val="00D95637"/>
    <w:rsid w:val="00D964EA"/>
    <w:rsid w:val="00D96907"/>
    <w:rsid w:val="00D9728C"/>
    <w:rsid w:val="00D97BB4"/>
    <w:rsid w:val="00DA0154"/>
    <w:rsid w:val="00DA0CC3"/>
    <w:rsid w:val="00DA166B"/>
    <w:rsid w:val="00DA2504"/>
    <w:rsid w:val="00DA2DDE"/>
    <w:rsid w:val="00DA360E"/>
    <w:rsid w:val="00DA3BFA"/>
    <w:rsid w:val="00DA3D24"/>
    <w:rsid w:val="00DA414F"/>
    <w:rsid w:val="00DA493E"/>
    <w:rsid w:val="00DA4987"/>
    <w:rsid w:val="00DA56A3"/>
    <w:rsid w:val="00DA58EC"/>
    <w:rsid w:val="00DA5A17"/>
    <w:rsid w:val="00DA5FDC"/>
    <w:rsid w:val="00DA6268"/>
    <w:rsid w:val="00DA697E"/>
    <w:rsid w:val="00DA7053"/>
    <w:rsid w:val="00DA71E1"/>
    <w:rsid w:val="00DA7C51"/>
    <w:rsid w:val="00DB0171"/>
    <w:rsid w:val="00DB0A66"/>
    <w:rsid w:val="00DB18DB"/>
    <w:rsid w:val="00DB28A6"/>
    <w:rsid w:val="00DB42B9"/>
    <w:rsid w:val="00DB4A49"/>
    <w:rsid w:val="00DB6681"/>
    <w:rsid w:val="00DB6EE1"/>
    <w:rsid w:val="00DC0EAC"/>
    <w:rsid w:val="00DC2950"/>
    <w:rsid w:val="00DC2B8D"/>
    <w:rsid w:val="00DC3465"/>
    <w:rsid w:val="00DC425C"/>
    <w:rsid w:val="00DC54AD"/>
    <w:rsid w:val="00DC54DD"/>
    <w:rsid w:val="00DC6654"/>
    <w:rsid w:val="00DC707C"/>
    <w:rsid w:val="00DC77B9"/>
    <w:rsid w:val="00DC7E6E"/>
    <w:rsid w:val="00DD0A70"/>
    <w:rsid w:val="00DD163A"/>
    <w:rsid w:val="00DD2418"/>
    <w:rsid w:val="00DD2784"/>
    <w:rsid w:val="00DD2A66"/>
    <w:rsid w:val="00DD2FC9"/>
    <w:rsid w:val="00DD3604"/>
    <w:rsid w:val="00DD4593"/>
    <w:rsid w:val="00DD4810"/>
    <w:rsid w:val="00DD5041"/>
    <w:rsid w:val="00DD623D"/>
    <w:rsid w:val="00DD7412"/>
    <w:rsid w:val="00DD7D7B"/>
    <w:rsid w:val="00DD7DC3"/>
    <w:rsid w:val="00DE09ED"/>
    <w:rsid w:val="00DE161D"/>
    <w:rsid w:val="00DE16FB"/>
    <w:rsid w:val="00DE1AC5"/>
    <w:rsid w:val="00DE1CC0"/>
    <w:rsid w:val="00DE2DA8"/>
    <w:rsid w:val="00DE41B1"/>
    <w:rsid w:val="00DE4745"/>
    <w:rsid w:val="00DE4BC4"/>
    <w:rsid w:val="00DE4C77"/>
    <w:rsid w:val="00DE509C"/>
    <w:rsid w:val="00DE51BE"/>
    <w:rsid w:val="00DE57D1"/>
    <w:rsid w:val="00DE611E"/>
    <w:rsid w:val="00DE621E"/>
    <w:rsid w:val="00DE645C"/>
    <w:rsid w:val="00DE7A65"/>
    <w:rsid w:val="00DE7BCA"/>
    <w:rsid w:val="00DF13A9"/>
    <w:rsid w:val="00DF19EA"/>
    <w:rsid w:val="00DF203B"/>
    <w:rsid w:val="00DF28F0"/>
    <w:rsid w:val="00DF2AF1"/>
    <w:rsid w:val="00DF34C5"/>
    <w:rsid w:val="00DF3E2E"/>
    <w:rsid w:val="00DF4963"/>
    <w:rsid w:val="00DF4A65"/>
    <w:rsid w:val="00DF5774"/>
    <w:rsid w:val="00DF60B6"/>
    <w:rsid w:val="00DF6790"/>
    <w:rsid w:val="00DF6C4F"/>
    <w:rsid w:val="00DF6EC5"/>
    <w:rsid w:val="00DF7D12"/>
    <w:rsid w:val="00E00137"/>
    <w:rsid w:val="00E00893"/>
    <w:rsid w:val="00E009C8"/>
    <w:rsid w:val="00E00AC3"/>
    <w:rsid w:val="00E00D67"/>
    <w:rsid w:val="00E019AC"/>
    <w:rsid w:val="00E01F29"/>
    <w:rsid w:val="00E02F53"/>
    <w:rsid w:val="00E0335E"/>
    <w:rsid w:val="00E03D5D"/>
    <w:rsid w:val="00E0504F"/>
    <w:rsid w:val="00E05630"/>
    <w:rsid w:val="00E06A68"/>
    <w:rsid w:val="00E06B3A"/>
    <w:rsid w:val="00E070FA"/>
    <w:rsid w:val="00E075E0"/>
    <w:rsid w:val="00E07662"/>
    <w:rsid w:val="00E076A9"/>
    <w:rsid w:val="00E076BD"/>
    <w:rsid w:val="00E07D25"/>
    <w:rsid w:val="00E1046B"/>
    <w:rsid w:val="00E1131F"/>
    <w:rsid w:val="00E12D31"/>
    <w:rsid w:val="00E13446"/>
    <w:rsid w:val="00E13D69"/>
    <w:rsid w:val="00E14081"/>
    <w:rsid w:val="00E1440A"/>
    <w:rsid w:val="00E1471E"/>
    <w:rsid w:val="00E1482C"/>
    <w:rsid w:val="00E14AF5"/>
    <w:rsid w:val="00E16C01"/>
    <w:rsid w:val="00E172AE"/>
    <w:rsid w:val="00E17465"/>
    <w:rsid w:val="00E1752A"/>
    <w:rsid w:val="00E17CCB"/>
    <w:rsid w:val="00E2092C"/>
    <w:rsid w:val="00E20935"/>
    <w:rsid w:val="00E209EC"/>
    <w:rsid w:val="00E213E7"/>
    <w:rsid w:val="00E214A4"/>
    <w:rsid w:val="00E222E4"/>
    <w:rsid w:val="00E2279E"/>
    <w:rsid w:val="00E22ECA"/>
    <w:rsid w:val="00E24669"/>
    <w:rsid w:val="00E24B2D"/>
    <w:rsid w:val="00E254F7"/>
    <w:rsid w:val="00E25BC6"/>
    <w:rsid w:val="00E26562"/>
    <w:rsid w:val="00E266E4"/>
    <w:rsid w:val="00E279AF"/>
    <w:rsid w:val="00E30087"/>
    <w:rsid w:val="00E30EA1"/>
    <w:rsid w:val="00E31498"/>
    <w:rsid w:val="00E317C9"/>
    <w:rsid w:val="00E31CCB"/>
    <w:rsid w:val="00E3243E"/>
    <w:rsid w:val="00E326ED"/>
    <w:rsid w:val="00E331E3"/>
    <w:rsid w:val="00E337D7"/>
    <w:rsid w:val="00E34F57"/>
    <w:rsid w:val="00E35511"/>
    <w:rsid w:val="00E35984"/>
    <w:rsid w:val="00E35CAD"/>
    <w:rsid w:val="00E35FFF"/>
    <w:rsid w:val="00E3654F"/>
    <w:rsid w:val="00E36620"/>
    <w:rsid w:val="00E3691D"/>
    <w:rsid w:val="00E36B86"/>
    <w:rsid w:val="00E36C54"/>
    <w:rsid w:val="00E36CF6"/>
    <w:rsid w:val="00E3752F"/>
    <w:rsid w:val="00E37F53"/>
    <w:rsid w:val="00E4043B"/>
    <w:rsid w:val="00E405CB"/>
    <w:rsid w:val="00E40B3A"/>
    <w:rsid w:val="00E40E00"/>
    <w:rsid w:val="00E41AAE"/>
    <w:rsid w:val="00E41AFD"/>
    <w:rsid w:val="00E41FD7"/>
    <w:rsid w:val="00E4268A"/>
    <w:rsid w:val="00E42A12"/>
    <w:rsid w:val="00E43000"/>
    <w:rsid w:val="00E43024"/>
    <w:rsid w:val="00E4434D"/>
    <w:rsid w:val="00E453C3"/>
    <w:rsid w:val="00E45817"/>
    <w:rsid w:val="00E45C6D"/>
    <w:rsid w:val="00E45D5C"/>
    <w:rsid w:val="00E45D9E"/>
    <w:rsid w:val="00E45EBC"/>
    <w:rsid w:val="00E46A2F"/>
    <w:rsid w:val="00E46B32"/>
    <w:rsid w:val="00E5006D"/>
    <w:rsid w:val="00E51C67"/>
    <w:rsid w:val="00E53004"/>
    <w:rsid w:val="00E53A61"/>
    <w:rsid w:val="00E53DB0"/>
    <w:rsid w:val="00E53E83"/>
    <w:rsid w:val="00E542F7"/>
    <w:rsid w:val="00E54CB2"/>
    <w:rsid w:val="00E5597D"/>
    <w:rsid w:val="00E569B4"/>
    <w:rsid w:val="00E56CB4"/>
    <w:rsid w:val="00E57416"/>
    <w:rsid w:val="00E57C87"/>
    <w:rsid w:val="00E57CF3"/>
    <w:rsid w:val="00E60001"/>
    <w:rsid w:val="00E601A6"/>
    <w:rsid w:val="00E607E7"/>
    <w:rsid w:val="00E608BB"/>
    <w:rsid w:val="00E625C1"/>
    <w:rsid w:val="00E62704"/>
    <w:rsid w:val="00E6278E"/>
    <w:rsid w:val="00E62A5B"/>
    <w:rsid w:val="00E62B8B"/>
    <w:rsid w:val="00E62C30"/>
    <w:rsid w:val="00E62C9B"/>
    <w:rsid w:val="00E63244"/>
    <w:rsid w:val="00E6393F"/>
    <w:rsid w:val="00E64453"/>
    <w:rsid w:val="00E64525"/>
    <w:rsid w:val="00E6456B"/>
    <w:rsid w:val="00E653E2"/>
    <w:rsid w:val="00E6757A"/>
    <w:rsid w:val="00E676BB"/>
    <w:rsid w:val="00E677C7"/>
    <w:rsid w:val="00E67F53"/>
    <w:rsid w:val="00E70A76"/>
    <w:rsid w:val="00E70DDC"/>
    <w:rsid w:val="00E71237"/>
    <w:rsid w:val="00E724A0"/>
    <w:rsid w:val="00E7257C"/>
    <w:rsid w:val="00E736B8"/>
    <w:rsid w:val="00E73C1F"/>
    <w:rsid w:val="00E741DC"/>
    <w:rsid w:val="00E75348"/>
    <w:rsid w:val="00E75529"/>
    <w:rsid w:val="00E75BC1"/>
    <w:rsid w:val="00E76C20"/>
    <w:rsid w:val="00E8055C"/>
    <w:rsid w:val="00E818DF"/>
    <w:rsid w:val="00E819A1"/>
    <w:rsid w:val="00E81B8D"/>
    <w:rsid w:val="00E82E43"/>
    <w:rsid w:val="00E832C2"/>
    <w:rsid w:val="00E83446"/>
    <w:rsid w:val="00E84345"/>
    <w:rsid w:val="00E84768"/>
    <w:rsid w:val="00E8488A"/>
    <w:rsid w:val="00E84E33"/>
    <w:rsid w:val="00E84E5F"/>
    <w:rsid w:val="00E857AD"/>
    <w:rsid w:val="00E85DFD"/>
    <w:rsid w:val="00E86CCE"/>
    <w:rsid w:val="00E87B80"/>
    <w:rsid w:val="00E87EAE"/>
    <w:rsid w:val="00E90234"/>
    <w:rsid w:val="00E90D6E"/>
    <w:rsid w:val="00E91126"/>
    <w:rsid w:val="00E91D00"/>
    <w:rsid w:val="00E9205B"/>
    <w:rsid w:val="00E92233"/>
    <w:rsid w:val="00E942A6"/>
    <w:rsid w:val="00E94A8F"/>
    <w:rsid w:val="00E955F4"/>
    <w:rsid w:val="00E95DE6"/>
    <w:rsid w:val="00E96E80"/>
    <w:rsid w:val="00E97257"/>
    <w:rsid w:val="00E97399"/>
    <w:rsid w:val="00EA0406"/>
    <w:rsid w:val="00EA0B44"/>
    <w:rsid w:val="00EA122E"/>
    <w:rsid w:val="00EA125A"/>
    <w:rsid w:val="00EA1719"/>
    <w:rsid w:val="00EA31FA"/>
    <w:rsid w:val="00EA3429"/>
    <w:rsid w:val="00EA3B0F"/>
    <w:rsid w:val="00EA3CA3"/>
    <w:rsid w:val="00EA46FC"/>
    <w:rsid w:val="00EA4942"/>
    <w:rsid w:val="00EA5418"/>
    <w:rsid w:val="00EA5967"/>
    <w:rsid w:val="00EA5B2D"/>
    <w:rsid w:val="00EA5D62"/>
    <w:rsid w:val="00EA5EC2"/>
    <w:rsid w:val="00EA7F30"/>
    <w:rsid w:val="00EB036A"/>
    <w:rsid w:val="00EB170D"/>
    <w:rsid w:val="00EB2BFB"/>
    <w:rsid w:val="00EB2FC8"/>
    <w:rsid w:val="00EB38A4"/>
    <w:rsid w:val="00EB3C07"/>
    <w:rsid w:val="00EB4704"/>
    <w:rsid w:val="00EB4B69"/>
    <w:rsid w:val="00EB5134"/>
    <w:rsid w:val="00EB53F6"/>
    <w:rsid w:val="00EB6727"/>
    <w:rsid w:val="00EB68F9"/>
    <w:rsid w:val="00EB69F7"/>
    <w:rsid w:val="00EC03F7"/>
    <w:rsid w:val="00EC0776"/>
    <w:rsid w:val="00EC1819"/>
    <w:rsid w:val="00EC1FBA"/>
    <w:rsid w:val="00EC26F3"/>
    <w:rsid w:val="00EC2C1F"/>
    <w:rsid w:val="00EC308B"/>
    <w:rsid w:val="00EC3196"/>
    <w:rsid w:val="00EC36EB"/>
    <w:rsid w:val="00EC3789"/>
    <w:rsid w:val="00EC3A3D"/>
    <w:rsid w:val="00EC3E1D"/>
    <w:rsid w:val="00EC42BE"/>
    <w:rsid w:val="00EC4646"/>
    <w:rsid w:val="00EC4913"/>
    <w:rsid w:val="00EC50A0"/>
    <w:rsid w:val="00EC5491"/>
    <w:rsid w:val="00EC58D4"/>
    <w:rsid w:val="00EC5D23"/>
    <w:rsid w:val="00EC5DAD"/>
    <w:rsid w:val="00EC6824"/>
    <w:rsid w:val="00EC7168"/>
    <w:rsid w:val="00EC769E"/>
    <w:rsid w:val="00EC78A7"/>
    <w:rsid w:val="00ED104C"/>
    <w:rsid w:val="00ED1C02"/>
    <w:rsid w:val="00ED1C71"/>
    <w:rsid w:val="00ED2E83"/>
    <w:rsid w:val="00ED2EBC"/>
    <w:rsid w:val="00ED2EFC"/>
    <w:rsid w:val="00ED30A5"/>
    <w:rsid w:val="00ED41CD"/>
    <w:rsid w:val="00ED4204"/>
    <w:rsid w:val="00ED476B"/>
    <w:rsid w:val="00ED4EB4"/>
    <w:rsid w:val="00ED6DE5"/>
    <w:rsid w:val="00ED70E6"/>
    <w:rsid w:val="00ED769D"/>
    <w:rsid w:val="00ED7C44"/>
    <w:rsid w:val="00ED7F60"/>
    <w:rsid w:val="00EE01E7"/>
    <w:rsid w:val="00EE1887"/>
    <w:rsid w:val="00EE197E"/>
    <w:rsid w:val="00EE1DB7"/>
    <w:rsid w:val="00EE2604"/>
    <w:rsid w:val="00EE2E83"/>
    <w:rsid w:val="00EE2EC5"/>
    <w:rsid w:val="00EE30D0"/>
    <w:rsid w:val="00EE3103"/>
    <w:rsid w:val="00EE314B"/>
    <w:rsid w:val="00EE3A48"/>
    <w:rsid w:val="00EE4CB9"/>
    <w:rsid w:val="00EE54B9"/>
    <w:rsid w:val="00EE560E"/>
    <w:rsid w:val="00EE5738"/>
    <w:rsid w:val="00EE5D5F"/>
    <w:rsid w:val="00EE61FD"/>
    <w:rsid w:val="00EE6CC1"/>
    <w:rsid w:val="00EF0381"/>
    <w:rsid w:val="00EF0C46"/>
    <w:rsid w:val="00EF0E6E"/>
    <w:rsid w:val="00EF2848"/>
    <w:rsid w:val="00EF2C00"/>
    <w:rsid w:val="00EF4792"/>
    <w:rsid w:val="00EF556F"/>
    <w:rsid w:val="00EF5666"/>
    <w:rsid w:val="00EF6349"/>
    <w:rsid w:val="00EF68A6"/>
    <w:rsid w:val="00EF6ED1"/>
    <w:rsid w:val="00F00038"/>
    <w:rsid w:val="00F00302"/>
    <w:rsid w:val="00F008AF"/>
    <w:rsid w:val="00F00BD5"/>
    <w:rsid w:val="00F01016"/>
    <w:rsid w:val="00F01112"/>
    <w:rsid w:val="00F01457"/>
    <w:rsid w:val="00F015FD"/>
    <w:rsid w:val="00F01BE5"/>
    <w:rsid w:val="00F01D11"/>
    <w:rsid w:val="00F022D7"/>
    <w:rsid w:val="00F0257A"/>
    <w:rsid w:val="00F02C9D"/>
    <w:rsid w:val="00F02D02"/>
    <w:rsid w:val="00F03244"/>
    <w:rsid w:val="00F03CFF"/>
    <w:rsid w:val="00F03F46"/>
    <w:rsid w:val="00F04183"/>
    <w:rsid w:val="00F04371"/>
    <w:rsid w:val="00F04B43"/>
    <w:rsid w:val="00F05403"/>
    <w:rsid w:val="00F059CF"/>
    <w:rsid w:val="00F05C77"/>
    <w:rsid w:val="00F066E4"/>
    <w:rsid w:val="00F0689A"/>
    <w:rsid w:val="00F06F16"/>
    <w:rsid w:val="00F073F0"/>
    <w:rsid w:val="00F07820"/>
    <w:rsid w:val="00F07891"/>
    <w:rsid w:val="00F10251"/>
    <w:rsid w:val="00F10761"/>
    <w:rsid w:val="00F10DA6"/>
    <w:rsid w:val="00F10DBF"/>
    <w:rsid w:val="00F11F54"/>
    <w:rsid w:val="00F1213D"/>
    <w:rsid w:val="00F132A2"/>
    <w:rsid w:val="00F132F7"/>
    <w:rsid w:val="00F1355F"/>
    <w:rsid w:val="00F136C9"/>
    <w:rsid w:val="00F13710"/>
    <w:rsid w:val="00F13832"/>
    <w:rsid w:val="00F14C67"/>
    <w:rsid w:val="00F15590"/>
    <w:rsid w:val="00F155F6"/>
    <w:rsid w:val="00F157EC"/>
    <w:rsid w:val="00F1613F"/>
    <w:rsid w:val="00F16F05"/>
    <w:rsid w:val="00F17227"/>
    <w:rsid w:val="00F1771E"/>
    <w:rsid w:val="00F17949"/>
    <w:rsid w:val="00F20551"/>
    <w:rsid w:val="00F21108"/>
    <w:rsid w:val="00F2118C"/>
    <w:rsid w:val="00F212FC"/>
    <w:rsid w:val="00F2293C"/>
    <w:rsid w:val="00F229C6"/>
    <w:rsid w:val="00F22EBC"/>
    <w:rsid w:val="00F23938"/>
    <w:rsid w:val="00F23B05"/>
    <w:rsid w:val="00F23D38"/>
    <w:rsid w:val="00F246DC"/>
    <w:rsid w:val="00F25403"/>
    <w:rsid w:val="00F25D8F"/>
    <w:rsid w:val="00F25DF1"/>
    <w:rsid w:val="00F25F5D"/>
    <w:rsid w:val="00F26935"/>
    <w:rsid w:val="00F26B5B"/>
    <w:rsid w:val="00F26BDD"/>
    <w:rsid w:val="00F26CE7"/>
    <w:rsid w:val="00F26D72"/>
    <w:rsid w:val="00F26DA3"/>
    <w:rsid w:val="00F2778B"/>
    <w:rsid w:val="00F27AA9"/>
    <w:rsid w:val="00F27D1D"/>
    <w:rsid w:val="00F3095D"/>
    <w:rsid w:val="00F3108C"/>
    <w:rsid w:val="00F31380"/>
    <w:rsid w:val="00F32A4B"/>
    <w:rsid w:val="00F32C37"/>
    <w:rsid w:val="00F3306B"/>
    <w:rsid w:val="00F33CF8"/>
    <w:rsid w:val="00F340C5"/>
    <w:rsid w:val="00F34ABB"/>
    <w:rsid w:val="00F351F6"/>
    <w:rsid w:val="00F3583B"/>
    <w:rsid w:val="00F35B84"/>
    <w:rsid w:val="00F3619B"/>
    <w:rsid w:val="00F3655E"/>
    <w:rsid w:val="00F365AE"/>
    <w:rsid w:val="00F36CB1"/>
    <w:rsid w:val="00F36F3F"/>
    <w:rsid w:val="00F3792A"/>
    <w:rsid w:val="00F408F5"/>
    <w:rsid w:val="00F40C4C"/>
    <w:rsid w:val="00F42154"/>
    <w:rsid w:val="00F42CB0"/>
    <w:rsid w:val="00F441D5"/>
    <w:rsid w:val="00F445F6"/>
    <w:rsid w:val="00F44A00"/>
    <w:rsid w:val="00F44EA1"/>
    <w:rsid w:val="00F45D58"/>
    <w:rsid w:val="00F45DD9"/>
    <w:rsid w:val="00F46551"/>
    <w:rsid w:val="00F466D0"/>
    <w:rsid w:val="00F46D91"/>
    <w:rsid w:val="00F47A91"/>
    <w:rsid w:val="00F5064B"/>
    <w:rsid w:val="00F506CE"/>
    <w:rsid w:val="00F50701"/>
    <w:rsid w:val="00F50A07"/>
    <w:rsid w:val="00F51FFF"/>
    <w:rsid w:val="00F52217"/>
    <w:rsid w:val="00F522BB"/>
    <w:rsid w:val="00F5395C"/>
    <w:rsid w:val="00F5490A"/>
    <w:rsid w:val="00F54E99"/>
    <w:rsid w:val="00F56497"/>
    <w:rsid w:val="00F56CD7"/>
    <w:rsid w:val="00F600A2"/>
    <w:rsid w:val="00F60155"/>
    <w:rsid w:val="00F626EE"/>
    <w:rsid w:val="00F62F4E"/>
    <w:rsid w:val="00F63750"/>
    <w:rsid w:val="00F63D2B"/>
    <w:rsid w:val="00F63FA4"/>
    <w:rsid w:val="00F640D1"/>
    <w:rsid w:val="00F656DC"/>
    <w:rsid w:val="00F661CC"/>
    <w:rsid w:val="00F66310"/>
    <w:rsid w:val="00F67113"/>
    <w:rsid w:val="00F674DD"/>
    <w:rsid w:val="00F679AB"/>
    <w:rsid w:val="00F701A0"/>
    <w:rsid w:val="00F704A9"/>
    <w:rsid w:val="00F716B5"/>
    <w:rsid w:val="00F72054"/>
    <w:rsid w:val="00F7217C"/>
    <w:rsid w:val="00F7243F"/>
    <w:rsid w:val="00F72452"/>
    <w:rsid w:val="00F72F31"/>
    <w:rsid w:val="00F73AC4"/>
    <w:rsid w:val="00F74398"/>
    <w:rsid w:val="00F7447A"/>
    <w:rsid w:val="00F74716"/>
    <w:rsid w:val="00F75026"/>
    <w:rsid w:val="00F75130"/>
    <w:rsid w:val="00F7554C"/>
    <w:rsid w:val="00F75C5A"/>
    <w:rsid w:val="00F75CCF"/>
    <w:rsid w:val="00F7607D"/>
    <w:rsid w:val="00F762B5"/>
    <w:rsid w:val="00F76919"/>
    <w:rsid w:val="00F773E0"/>
    <w:rsid w:val="00F777F9"/>
    <w:rsid w:val="00F801E4"/>
    <w:rsid w:val="00F810C0"/>
    <w:rsid w:val="00F81C60"/>
    <w:rsid w:val="00F82682"/>
    <w:rsid w:val="00F831EE"/>
    <w:rsid w:val="00F8395E"/>
    <w:rsid w:val="00F83E03"/>
    <w:rsid w:val="00F84714"/>
    <w:rsid w:val="00F85B7D"/>
    <w:rsid w:val="00F8623F"/>
    <w:rsid w:val="00F87547"/>
    <w:rsid w:val="00F875B3"/>
    <w:rsid w:val="00F87ADF"/>
    <w:rsid w:val="00F909D5"/>
    <w:rsid w:val="00F90CD9"/>
    <w:rsid w:val="00F90ED1"/>
    <w:rsid w:val="00F90F6A"/>
    <w:rsid w:val="00F913FA"/>
    <w:rsid w:val="00F915B7"/>
    <w:rsid w:val="00F9237D"/>
    <w:rsid w:val="00F949DE"/>
    <w:rsid w:val="00F94B24"/>
    <w:rsid w:val="00F959D0"/>
    <w:rsid w:val="00F96F3C"/>
    <w:rsid w:val="00F9771A"/>
    <w:rsid w:val="00F97730"/>
    <w:rsid w:val="00FA06DA"/>
    <w:rsid w:val="00FA0E47"/>
    <w:rsid w:val="00FA1705"/>
    <w:rsid w:val="00FA1846"/>
    <w:rsid w:val="00FA1A43"/>
    <w:rsid w:val="00FA1A8F"/>
    <w:rsid w:val="00FA1C15"/>
    <w:rsid w:val="00FA252B"/>
    <w:rsid w:val="00FA2CE1"/>
    <w:rsid w:val="00FA33B9"/>
    <w:rsid w:val="00FA38A5"/>
    <w:rsid w:val="00FA3F85"/>
    <w:rsid w:val="00FA461F"/>
    <w:rsid w:val="00FA4A0E"/>
    <w:rsid w:val="00FA4BFF"/>
    <w:rsid w:val="00FA518A"/>
    <w:rsid w:val="00FA52C7"/>
    <w:rsid w:val="00FA5AEB"/>
    <w:rsid w:val="00FA5E2B"/>
    <w:rsid w:val="00FA617B"/>
    <w:rsid w:val="00FA653A"/>
    <w:rsid w:val="00FA69C8"/>
    <w:rsid w:val="00FA6D10"/>
    <w:rsid w:val="00FA6E21"/>
    <w:rsid w:val="00FA7994"/>
    <w:rsid w:val="00FA7A4A"/>
    <w:rsid w:val="00FA7B54"/>
    <w:rsid w:val="00FA7C23"/>
    <w:rsid w:val="00FA7E80"/>
    <w:rsid w:val="00FB0054"/>
    <w:rsid w:val="00FB0120"/>
    <w:rsid w:val="00FB04F2"/>
    <w:rsid w:val="00FB1508"/>
    <w:rsid w:val="00FB1A2B"/>
    <w:rsid w:val="00FB1C64"/>
    <w:rsid w:val="00FB1CA6"/>
    <w:rsid w:val="00FB1FEB"/>
    <w:rsid w:val="00FB21FF"/>
    <w:rsid w:val="00FB2F19"/>
    <w:rsid w:val="00FB31FB"/>
    <w:rsid w:val="00FB3372"/>
    <w:rsid w:val="00FB3B86"/>
    <w:rsid w:val="00FB3FF6"/>
    <w:rsid w:val="00FB4168"/>
    <w:rsid w:val="00FB48FC"/>
    <w:rsid w:val="00FB5335"/>
    <w:rsid w:val="00FB5810"/>
    <w:rsid w:val="00FB5C66"/>
    <w:rsid w:val="00FB6F17"/>
    <w:rsid w:val="00FC0ADF"/>
    <w:rsid w:val="00FC1425"/>
    <w:rsid w:val="00FC25F3"/>
    <w:rsid w:val="00FC2913"/>
    <w:rsid w:val="00FC2A1B"/>
    <w:rsid w:val="00FC4BB4"/>
    <w:rsid w:val="00FC5D0C"/>
    <w:rsid w:val="00FC5E6A"/>
    <w:rsid w:val="00FC5E87"/>
    <w:rsid w:val="00FC7969"/>
    <w:rsid w:val="00FD23B5"/>
    <w:rsid w:val="00FD2CCA"/>
    <w:rsid w:val="00FD32BB"/>
    <w:rsid w:val="00FD3CFC"/>
    <w:rsid w:val="00FD407F"/>
    <w:rsid w:val="00FD43B5"/>
    <w:rsid w:val="00FD4CBE"/>
    <w:rsid w:val="00FD515B"/>
    <w:rsid w:val="00FD5FB2"/>
    <w:rsid w:val="00FD6184"/>
    <w:rsid w:val="00FD6871"/>
    <w:rsid w:val="00FD700C"/>
    <w:rsid w:val="00FD7127"/>
    <w:rsid w:val="00FD78BD"/>
    <w:rsid w:val="00FE03AB"/>
    <w:rsid w:val="00FE0865"/>
    <w:rsid w:val="00FE22B1"/>
    <w:rsid w:val="00FE28F0"/>
    <w:rsid w:val="00FE2F8C"/>
    <w:rsid w:val="00FE31BD"/>
    <w:rsid w:val="00FE4498"/>
    <w:rsid w:val="00FE4845"/>
    <w:rsid w:val="00FE6031"/>
    <w:rsid w:val="00FE780D"/>
    <w:rsid w:val="00FE7A6E"/>
    <w:rsid w:val="00FE7BFD"/>
    <w:rsid w:val="00FF03A3"/>
    <w:rsid w:val="00FF08AB"/>
    <w:rsid w:val="00FF1DB5"/>
    <w:rsid w:val="00FF1DDC"/>
    <w:rsid w:val="00FF218C"/>
    <w:rsid w:val="00FF2246"/>
    <w:rsid w:val="00FF2906"/>
    <w:rsid w:val="00FF32F1"/>
    <w:rsid w:val="00FF372C"/>
    <w:rsid w:val="00FF3D47"/>
    <w:rsid w:val="00FF419C"/>
    <w:rsid w:val="00FF4356"/>
    <w:rsid w:val="00FF46F1"/>
    <w:rsid w:val="00FF4EF4"/>
    <w:rsid w:val="00FF5068"/>
    <w:rsid w:val="00FF7094"/>
    <w:rsid w:val="00FF7D0E"/>
    <w:rsid w:val="00FF7FAE"/>
    <w:rsid w:val="00FF7FDB"/>
    <w:rsid w:val="010203B6"/>
    <w:rsid w:val="01024DC4"/>
    <w:rsid w:val="01065A00"/>
    <w:rsid w:val="010C7205"/>
    <w:rsid w:val="01116BCE"/>
    <w:rsid w:val="01155EC5"/>
    <w:rsid w:val="01156C2E"/>
    <w:rsid w:val="011A7091"/>
    <w:rsid w:val="011D12FE"/>
    <w:rsid w:val="012137D8"/>
    <w:rsid w:val="01237BCC"/>
    <w:rsid w:val="012B524A"/>
    <w:rsid w:val="012C73BD"/>
    <w:rsid w:val="01305BB3"/>
    <w:rsid w:val="01343F59"/>
    <w:rsid w:val="013A6E90"/>
    <w:rsid w:val="0148297E"/>
    <w:rsid w:val="014D49FE"/>
    <w:rsid w:val="01634337"/>
    <w:rsid w:val="01661A44"/>
    <w:rsid w:val="01722472"/>
    <w:rsid w:val="01747A15"/>
    <w:rsid w:val="017B4DB3"/>
    <w:rsid w:val="01850DF5"/>
    <w:rsid w:val="01864EAB"/>
    <w:rsid w:val="019B147B"/>
    <w:rsid w:val="01A41EAE"/>
    <w:rsid w:val="01A67A76"/>
    <w:rsid w:val="01A90907"/>
    <w:rsid w:val="01B44210"/>
    <w:rsid w:val="01B456B8"/>
    <w:rsid w:val="01B477BA"/>
    <w:rsid w:val="01BB2ADF"/>
    <w:rsid w:val="01BE70BC"/>
    <w:rsid w:val="01C35C4C"/>
    <w:rsid w:val="01CA1450"/>
    <w:rsid w:val="01D020C5"/>
    <w:rsid w:val="01D4428F"/>
    <w:rsid w:val="01D76C1F"/>
    <w:rsid w:val="01ED39EB"/>
    <w:rsid w:val="01F163BF"/>
    <w:rsid w:val="01F248F2"/>
    <w:rsid w:val="01F87800"/>
    <w:rsid w:val="01FB1D51"/>
    <w:rsid w:val="01FE1FB0"/>
    <w:rsid w:val="020A4AE8"/>
    <w:rsid w:val="020D1AFE"/>
    <w:rsid w:val="02116C71"/>
    <w:rsid w:val="02141AF7"/>
    <w:rsid w:val="0214208D"/>
    <w:rsid w:val="021C1DB4"/>
    <w:rsid w:val="02220ACE"/>
    <w:rsid w:val="022267DA"/>
    <w:rsid w:val="02251BEB"/>
    <w:rsid w:val="02291252"/>
    <w:rsid w:val="022E68AF"/>
    <w:rsid w:val="02457D4C"/>
    <w:rsid w:val="02475242"/>
    <w:rsid w:val="0249275A"/>
    <w:rsid w:val="024C215F"/>
    <w:rsid w:val="025167EF"/>
    <w:rsid w:val="0254366C"/>
    <w:rsid w:val="0261526F"/>
    <w:rsid w:val="02681492"/>
    <w:rsid w:val="02764BC3"/>
    <w:rsid w:val="027A28B5"/>
    <w:rsid w:val="029B3CE2"/>
    <w:rsid w:val="029E7914"/>
    <w:rsid w:val="02A27C6F"/>
    <w:rsid w:val="02A33335"/>
    <w:rsid w:val="02A36A00"/>
    <w:rsid w:val="02A47B7A"/>
    <w:rsid w:val="02AD464A"/>
    <w:rsid w:val="02AD7353"/>
    <w:rsid w:val="02AE7821"/>
    <w:rsid w:val="02BF60A0"/>
    <w:rsid w:val="02C66F85"/>
    <w:rsid w:val="02C82E8F"/>
    <w:rsid w:val="02D73871"/>
    <w:rsid w:val="02EB6879"/>
    <w:rsid w:val="02EC0156"/>
    <w:rsid w:val="02F10557"/>
    <w:rsid w:val="02F145EB"/>
    <w:rsid w:val="02F41DD5"/>
    <w:rsid w:val="02F65EEC"/>
    <w:rsid w:val="02F96C65"/>
    <w:rsid w:val="02FE54AC"/>
    <w:rsid w:val="03006960"/>
    <w:rsid w:val="0301538F"/>
    <w:rsid w:val="0302752A"/>
    <w:rsid w:val="03066B03"/>
    <w:rsid w:val="031C04FC"/>
    <w:rsid w:val="031E637B"/>
    <w:rsid w:val="032763E2"/>
    <w:rsid w:val="03360D09"/>
    <w:rsid w:val="033A553D"/>
    <w:rsid w:val="03584F45"/>
    <w:rsid w:val="03602001"/>
    <w:rsid w:val="036C5E02"/>
    <w:rsid w:val="036D51F3"/>
    <w:rsid w:val="03705F71"/>
    <w:rsid w:val="037D1DE1"/>
    <w:rsid w:val="038839A2"/>
    <w:rsid w:val="038E31E1"/>
    <w:rsid w:val="03990526"/>
    <w:rsid w:val="039D69B5"/>
    <w:rsid w:val="03A80ACF"/>
    <w:rsid w:val="03AF3B39"/>
    <w:rsid w:val="03B20FD0"/>
    <w:rsid w:val="03B63C65"/>
    <w:rsid w:val="03C20F6B"/>
    <w:rsid w:val="03C80C55"/>
    <w:rsid w:val="03E4661B"/>
    <w:rsid w:val="03E54729"/>
    <w:rsid w:val="03ED6D33"/>
    <w:rsid w:val="03F3599D"/>
    <w:rsid w:val="03F44FB4"/>
    <w:rsid w:val="03FD54E6"/>
    <w:rsid w:val="04025567"/>
    <w:rsid w:val="04103785"/>
    <w:rsid w:val="042019F4"/>
    <w:rsid w:val="0423763D"/>
    <w:rsid w:val="04266A45"/>
    <w:rsid w:val="043B7D28"/>
    <w:rsid w:val="043F3CAA"/>
    <w:rsid w:val="0448168C"/>
    <w:rsid w:val="044D5D0D"/>
    <w:rsid w:val="04503788"/>
    <w:rsid w:val="04512F56"/>
    <w:rsid w:val="04653C76"/>
    <w:rsid w:val="047352D2"/>
    <w:rsid w:val="04746493"/>
    <w:rsid w:val="04791203"/>
    <w:rsid w:val="047B1617"/>
    <w:rsid w:val="047E2427"/>
    <w:rsid w:val="04823C5B"/>
    <w:rsid w:val="04AA7FE4"/>
    <w:rsid w:val="04AD5A1E"/>
    <w:rsid w:val="04B466D3"/>
    <w:rsid w:val="04BB74A4"/>
    <w:rsid w:val="04CF0B41"/>
    <w:rsid w:val="04CF7306"/>
    <w:rsid w:val="04D300FA"/>
    <w:rsid w:val="04E04E09"/>
    <w:rsid w:val="04E408D2"/>
    <w:rsid w:val="04E757F6"/>
    <w:rsid w:val="04F214EC"/>
    <w:rsid w:val="04F54BA3"/>
    <w:rsid w:val="04FB42A7"/>
    <w:rsid w:val="04FD4436"/>
    <w:rsid w:val="05050115"/>
    <w:rsid w:val="050514F5"/>
    <w:rsid w:val="0528427D"/>
    <w:rsid w:val="052A3CDD"/>
    <w:rsid w:val="05303D66"/>
    <w:rsid w:val="05392A9F"/>
    <w:rsid w:val="053F621B"/>
    <w:rsid w:val="054574BB"/>
    <w:rsid w:val="054C061A"/>
    <w:rsid w:val="054D7829"/>
    <w:rsid w:val="055112DD"/>
    <w:rsid w:val="05540297"/>
    <w:rsid w:val="055C3FEF"/>
    <w:rsid w:val="056C06B0"/>
    <w:rsid w:val="056E19BB"/>
    <w:rsid w:val="05784025"/>
    <w:rsid w:val="05894C96"/>
    <w:rsid w:val="05904E5A"/>
    <w:rsid w:val="05982ECB"/>
    <w:rsid w:val="059A5E82"/>
    <w:rsid w:val="059B6767"/>
    <w:rsid w:val="059B689C"/>
    <w:rsid w:val="059C2748"/>
    <w:rsid w:val="05A36948"/>
    <w:rsid w:val="05AA5201"/>
    <w:rsid w:val="05B11E81"/>
    <w:rsid w:val="05B444EF"/>
    <w:rsid w:val="05C330A5"/>
    <w:rsid w:val="05CE5A77"/>
    <w:rsid w:val="05DB799D"/>
    <w:rsid w:val="05E73E94"/>
    <w:rsid w:val="05F245DF"/>
    <w:rsid w:val="05F779FF"/>
    <w:rsid w:val="05FD08C9"/>
    <w:rsid w:val="060A771F"/>
    <w:rsid w:val="060A7756"/>
    <w:rsid w:val="060D395F"/>
    <w:rsid w:val="060D48DD"/>
    <w:rsid w:val="06154653"/>
    <w:rsid w:val="06190FC1"/>
    <w:rsid w:val="061A576C"/>
    <w:rsid w:val="061E251B"/>
    <w:rsid w:val="061E4BD7"/>
    <w:rsid w:val="062F18BD"/>
    <w:rsid w:val="063241A5"/>
    <w:rsid w:val="06354EBF"/>
    <w:rsid w:val="06361D75"/>
    <w:rsid w:val="063811EC"/>
    <w:rsid w:val="06383226"/>
    <w:rsid w:val="0644796B"/>
    <w:rsid w:val="064F2236"/>
    <w:rsid w:val="06504D55"/>
    <w:rsid w:val="06554146"/>
    <w:rsid w:val="0659234E"/>
    <w:rsid w:val="065A75E3"/>
    <w:rsid w:val="065D4547"/>
    <w:rsid w:val="065E3702"/>
    <w:rsid w:val="066275F1"/>
    <w:rsid w:val="06652AB1"/>
    <w:rsid w:val="0669786B"/>
    <w:rsid w:val="066A49F6"/>
    <w:rsid w:val="066B2312"/>
    <w:rsid w:val="066C76F0"/>
    <w:rsid w:val="06801E2D"/>
    <w:rsid w:val="06811BA9"/>
    <w:rsid w:val="0681729D"/>
    <w:rsid w:val="06856C70"/>
    <w:rsid w:val="068D6358"/>
    <w:rsid w:val="06931F86"/>
    <w:rsid w:val="06993B6A"/>
    <w:rsid w:val="069A662E"/>
    <w:rsid w:val="06A10C83"/>
    <w:rsid w:val="06A66EAD"/>
    <w:rsid w:val="06A765D7"/>
    <w:rsid w:val="06B03835"/>
    <w:rsid w:val="06B06CA5"/>
    <w:rsid w:val="06C11E6A"/>
    <w:rsid w:val="06C25D4E"/>
    <w:rsid w:val="06C70942"/>
    <w:rsid w:val="06D61973"/>
    <w:rsid w:val="06D642A6"/>
    <w:rsid w:val="06D76B1F"/>
    <w:rsid w:val="06DB117A"/>
    <w:rsid w:val="06E078C1"/>
    <w:rsid w:val="06E7658A"/>
    <w:rsid w:val="06EC0985"/>
    <w:rsid w:val="06FE780F"/>
    <w:rsid w:val="07093E61"/>
    <w:rsid w:val="071712EB"/>
    <w:rsid w:val="07213D56"/>
    <w:rsid w:val="07287644"/>
    <w:rsid w:val="07314BE2"/>
    <w:rsid w:val="0735439D"/>
    <w:rsid w:val="07395542"/>
    <w:rsid w:val="07397709"/>
    <w:rsid w:val="073D66AF"/>
    <w:rsid w:val="07421661"/>
    <w:rsid w:val="07432E49"/>
    <w:rsid w:val="07456416"/>
    <w:rsid w:val="074E084E"/>
    <w:rsid w:val="075608BC"/>
    <w:rsid w:val="0758511C"/>
    <w:rsid w:val="07682B64"/>
    <w:rsid w:val="07791BB9"/>
    <w:rsid w:val="077A5F98"/>
    <w:rsid w:val="077F225B"/>
    <w:rsid w:val="07867889"/>
    <w:rsid w:val="07955FB6"/>
    <w:rsid w:val="079B0415"/>
    <w:rsid w:val="079E3211"/>
    <w:rsid w:val="07B63E4F"/>
    <w:rsid w:val="07BA66A5"/>
    <w:rsid w:val="07BD09AC"/>
    <w:rsid w:val="07CD712F"/>
    <w:rsid w:val="07D93FC0"/>
    <w:rsid w:val="07DA743D"/>
    <w:rsid w:val="07DE234D"/>
    <w:rsid w:val="07E81A6F"/>
    <w:rsid w:val="07F43E8D"/>
    <w:rsid w:val="08052574"/>
    <w:rsid w:val="08061329"/>
    <w:rsid w:val="080D1F4E"/>
    <w:rsid w:val="080F4D96"/>
    <w:rsid w:val="08127E9F"/>
    <w:rsid w:val="081E266E"/>
    <w:rsid w:val="0824775F"/>
    <w:rsid w:val="08281988"/>
    <w:rsid w:val="082D3A9C"/>
    <w:rsid w:val="08333FA2"/>
    <w:rsid w:val="08372D11"/>
    <w:rsid w:val="083A0BE1"/>
    <w:rsid w:val="083E6317"/>
    <w:rsid w:val="08446F0E"/>
    <w:rsid w:val="08474E06"/>
    <w:rsid w:val="084B7A0E"/>
    <w:rsid w:val="084E50B7"/>
    <w:rsid w:val="085858CB"/>
    <w:rsid w:val="086C54AA"/>
    <w:rsid w:val="086C7364"/>
    <w:rsid w:val="08787461"/>
    <w:rsid w:val="087B0918"/>
    <w:rsid w:val="08901C95"/>
    <w:rsid w:val="089B240C"/>
    <w:rsid w:val="089D7B75"/>
    <w:rsid w:val="08A12218"/>
    <w:rsid w:val="08A829F7"/>
    <w:rsid w:val="08AA6928"/>
    <w:rsid w:val="08BE432A"/>
    <w:rsid w:val="08D37A24"/>
    <w:rsid w:val="08D5103A"/>
    <w:rsid w:val="08E31450"/>
    <w:rsid w:val="08EA3E43"/>
    <w:rsid w:val="08FB0586"/>
    <w:rsid w:val="08FB5DDC"/>
    <w:rsid w:val="08FC4BAC"/>
    <w:rsid w:val="09032CB0"/>
    <w:rsid w:val="09072603"/>
    <w:rsid w:val="091234A8"/>
    <w:rsid w:val="091B225B"/>
    <w:rsid w:val="09251A29"/>
    <w:rsid w:val="09265803"/>
    <w:rsid w:val="092730D8"/>
    <w:rsid w:val="095A4F34"/>
    <w:rsid w:val="09604010"/>
    <w:rsid w:val="096545FA"/>
    <w:rsid w:val="0966687B"/>
    <w:rsid w:val="0967533C"/>
    <w:rsid w:val="09694412"/>
    <w:rsid w:val="09696DCA"/>
    <w:rsid w:val="096B6A7B"/>
    <w:rsid w:val="096F0020"/>
    <w:rsid w:val="098A1C68"/>
    <w:rsid w:val="099823F8"/>
    <w:rsid w:val="09994962"/>
    <w:rsid w:val="099A5367"/>
    <w:rsid w:val="09A17714"/>
    <w:rsid w:val="09AA6FC1"/>
    <w:rsid w:val="09AC2705"/>
    <w:rsid w:val="09B55ED4"/>
    <w:rsid w:val="09B93582"/>
    <w:rsid w:val="09B95828"/>
    <w:rsid w:val="09B963E2"/>
    <w:rsid w:val="09C1619E"/>
    <w:rsid w:val="09C618E4"/>
    <w:rsid w:val="09C800F8"/>
    <w:rsid w:val="09CD1EA6"/>
    <w:rsid w:val="09CF0DBD"/>
    <w:rsid w:val="09DF1255"/>
    <w:rsid w:val="09EA469C"/>
    <w:rsid w:val="09EB08F1"/>
    <w:rsid w:val="09FD3D96"/>
    <w:rsid w:val="0A0327F1"/>
    <w:rsid w:val="0A045B7F"/>
    <w:rsid w:val="0A05109C"/>
    <w:rsid w:val="0A0713F5"/>
    <w:rsid w:val="0A1352A3"/>
    <w:rsid w:val="0A1C2F41"/>
    <w:rsid w:val="0A415BA5"/>
    <w:rsid w:val="0A52647C"/>
    <w:rsid w:val="0A572034"/>
    <w:rsid w:val="0A594625"/>
    <w:rsid w:val="0A5A7C6D"/>
    <w:rsid w:val="0A5B7699"/>
    <w:rsid w:val="0A5B78F3"/>
    <w:rsid w:val="0A625B6D"/>
    <w:rsid w:val="0A664631"/>
    <w:rsid w:val="0A694648"/>
    <w:rsid w:val="0A6A286A"/>
    <w:rsid w:val="0A6C3C26"/>
    <w:rsid w:val="0A6C7321"/>
    <w:rsid w:val="0A704CF2"/>
    <w:rsid w:val="0A7464CA"/>
    <w:rsid w:val="0A7C6875"/>
    <w:rsid w:val="0A8A70D7"/>
    <w:rsid w:val="0A9932BB"/>
    <w:rsid w:val="0AA03EBC"/>
    <w:rsid w:val="0AA34639"/>
    <w:rsid w:val="0AA85621"/>
    <w:rsid w:val="0AAC68AF"/>
    <w:rsid w:val="0AB733ED"/>
    <w:rsid w:val="0AFF215A"/>
    <w:rsid w:val="0B107EC8"/>
    <w:rsid w:val="0B1D0C3B"/>
    <w:rsid w:val="0B1D56CA"/>
    <w:rsid w:val="0B2261A8"/>
    <w:rsid w:val="0B320803"/>
    <w:rsid w:val="0B324E62"/>
    <w:rsid w:val="0B4941F4"/>
    <w:rsid w:val="0B527760"/>
    <w:rsid w:val="0B573648"/>
    <w:rsid w:val="0B5D7893"/>
    <w:rsid w:val="0B6016CE"/>
    <w:rsid w:val="0B6B6136"/>
    <w:rsid w:val="0B6C0656"/>
    <w:rsid w:val="0B770C6B"/>
    <w:rsid w:val="0B8323AC"/>
    <w:rsid w:val="0B8F21B3"/>
    <w:rsid w:val="0B930102"/>
    <w:rsid w:val="0B93711D"/>
    <w:rsid w:val="0B944175"/>
    <w:rsid w:val="0B95514D"/>
    <w:rsid w:val="0B9566D1"/>
    <w:rsid w:val="0BB10598"/>
    <w:rsid w:val="0BC52E88"/>
    <w:rsid w:val="0BC72E4B"/>
    <w:rsid w:val="0BD20528"/>
    <w:rsid w:val="0BD62EBE"/>
    <w:rsid w:val="0BD647A1"/>
    <w:rsid w:val="0BE1728D"/>
    <w:rsid w:val="0BE661A2"/>
    <w:rsid w:val="0BF2729B"/>
    <w:rsid w:val="0BF3453E"/>
    <w:rsid w:val="0BF5487C"/>
    <w:rsid w:val="0C0C2FCA"/>
    <w:rsid w:val="0C135662"/>
    <w:rsid w:val="0C1671E4"/>
    <w:rsid w:val="0C1809C7"/>
    <w:rsid w:val="0C1D5254"/>
    <w:rsid w:val="0C221B70"/>
    <w:rsid w:val="0C231C47"/>
    <w:rsid w:val="0C285C87"/>
    <w:rsid w:val="0C2D73B3"/>
    <w:rsid w:val="0C302A84"/>
    <w:rsid w:val="0C471926"/>
    <w:rsid w:val="0C590655"/>
    <w:rsid w:val="0C5F2332"/>
    <w:rsid w:val="0C6113E2"/>
    <w:rsid w:val="0C615902"/>
    <w:rsid w:val="0C655F51"/>
    <w:rsid w:val="0C6639F7"/>
    <w:rsid w:val="0C8A72E5"/>
    <w:rsid w:val="0C954619"/>
    <w:rsid w:val="0C995738"/>
    <w:rsid w:val="0CA16445"/>
    <w:rsid w:val="0CC46018"/>
    <w:rsid w:val="0CC734AD"/>
    <w:rsid w:val="0CD81AC7"/>
    <w:rsid w:val="0CEB0F17"/>
    <w:rsid w:val="0CF779EC"/>
    <w:rsid w:val="0D0E623D"/>
    <w:rsid w:val="0D0F4A1F"/>
    <w:rsid w:val="0D110865"/>
    <w:rsid w:val="0D23289A"/>
    <w:rsid w:val="0D2D47BC"/>
    <w:rsid w:val="0D3D1396"/>
    <w:rsid w:val="0D465BE4"/>
    <w:rsid w:val="0D466EB4"/>
    <w:rsid w:val="0D493D16"/>
    <w:rsid w:val="0D4C6DE3"/>
    <w:rsid w:val="0D5474D7"/>
    <w:rsid w:val="0D5B05F2"/>
    <w:rsid w:val="0D656FB1"/>
    <w:rsid w:val="0D6D105F"/>
    <w:rsid w:val="0D77353B"/>
    <w:rsid w:val="0D7B150B"/>
    <w:rsid w:val="0D806BA9"/>
    <w:rsid w:val="0D824227"/>
    <w:rsid w:val="0D89595A"/>
    <w:rsid w:val="0D8C219E"/>
    <w:rsid w:val="0D937E0B"/>
    <w:rsid w:val="0D97722D"/>
    <w:rsid w:val="0DAB7EFD"/>
    <w:rsid w:val="0DAD0EEF"/>
    <w:rsid w:val="0DB05903"/>
    <w:rsid w:val="0DB115E6"/>
    <w:rsid w:val="0DB22AC4"/>
    <w:rsid w:val="0DCB0570"/>
    <w:rsid w:val="0DCB2937"/>
    <w:rsid w:val="0DCD5DCC"/>
    <w:rsid w:val="0DD80C39"/>
    <w:rsid w:val="0DDE0145"/>
    <w:rsid w:val="0DF02345"/>
    <w:rsid w:val="0DF46EF4"/>
    <w:rsid w:val="0E0E0315"/>
    <w:rsid w:val="0E103DAA"/>
    <w:rsid w:val="0E1950C9"/>
    <w:rsid w:val="0E1E63F7"/>
    <w:rsid w:val="0E255094"/>
    <w:rsid w:val="0E266916"/>
    <w:rsid w:val="0E296627"/>
    <w:rsid w:val="0E2D3A4A"/>
    <w:rsid w:val="0E2F3A3F"/>
    <w:rsid w:val="0E3260F7"/>
    <w:rsid w:val="0E3F40EC"/>
    <w:rsid w:val="0E405F85"/>
    <w:rsid w:val="0E462611"/>
    <w:rsid w:val="0E556AB1"/>
    <w:rsid w:val="0E5830F2"/>
    <w:rsid w:val="0E5C5975"/>
    <w:rsid w:val="0E5D0120"/>
    <w:rsid w:val="0E79617C"/>
    <w:rsid w:val="0E7B64FA"/>
    <w:rsid w:val="0E9C64CC"/>
    <w:rsid w:val="0EAF2619"/>
    <w:rsid w:val="0EB14F06"/>
    <w:rsid w:val="0EBB1FE1"/>
    <w:rsid w:val="0EBF435C"/>
    <w:rsid w:val="0EBF7966"/>
    <w:rsid w:val="0EC46700"/>
    <w:rsid w:val="0ED26ECA"/>
    <w:rsid w:val="0ED27B11"/>
    <w:rsid w:val="0ED81866"/>
    <w:rsid w:val="0ED822DD"/>
    <w:rsid w:val="0EE13F2E"/>
    <w:rsid w:val="0EEB3D55"/>
    <w:rsid w:val="0EF0691D"/>
    <w:rsid w:val="0F0678C2"/>
    <w:rsid w:val="0F1B644A"/>
    <w:rsid w:val="0F2F060E"/>
    <w:rsid w:val="0F333A43"/>
    <w:rsid w:val="0F3E35D4"/>
    <w:rsid w:val="0F3E4CD1"/>
    <w:rsid w:val="0F4E6210"/>
    <w:rsid w:val="0F551102"/>
    <w:rsid w:val="0F5701CD"/>
    <w:rsid w:val="0F5C6024"/>
    <w:rsid w:val="0F5D021C"/>
    <w:rsid w:val="0F636F2E"/>
    <w:rsid w:val="0F6B7241"/>
    <w:rsid w:val="0F74503A"/>
    <w:rsid w:val="0F746E63"/>
    <w:rsid w:val="0F790085"/>
    <w:rsid w:val="0F7B2EF2"/>
    <w:rsid w:val="0F7D7174"/>
    <w:rsid w:val="0F905A3B"/>
    <w:rsid w:val="0F974743"/>
    <w:rsid w:val="0FAF4D2D"/>
    <w:rsid w:val="0FB76EE9"/>
    <w:rsid w:val="0FB816B8"/>
    <w:rsid w:val="0FB91C73"/>
    <w:rsid w:val="0FCD3406"/>
    <w:rsid w:val="0FDF43C2"/>
    <w:rsid w:val="0FE116F7"/>
    <w:rsid w:val="0FF53A96"/>
    <w:rsid w:val="10051012"/>
    <w:rsid w:val="10094D5F"/>
    <w:rsid w:val="100A5742"/>
    <w:rsid w:val="101218F3"/>
    <w:rsid w:val="101230FA"/>
    <w:rsid w:val="10126F05"/>
    <w:rsid w:val="101D6BBD"/>
    <w:rsid w:val="102D2210"/>
    <w:rsid w:val="102F5D98"/>
    <w:rsid w:val="10381043"/>
    <w:rsid w:val="103D1E85"/>
    <w:rsid w:val="103E10DE"/>
    <w:rsid w:val="103F5C7E"/>
    <w:rsid w:val="10556174"/>
    <w:rsid w:val="105675DB"/>
    <w:rsid w:val="106056CE"/>
    <w:rsid w:val="10621A85"/>
    <w:rsid w:val="106E54BC"/>
    <w:rsid w:val="107E686D"/>
    <w:rsid w:val="107E70C0"/>
    <w:rsid w:val="10847316"/>
    <w:rsid w:val="109629BA"/>
    <w:rsid w:val="10997348"/>
    <w:rsid w:val="10AA0AEF"/>
    <w:rsid w:val="10AD0360"/>
    <w:rsid w:val="10AD362A"/>
    <w:rsid w:val="10B24699"/>
    <w:rsid w:val="10B37D6C"/>
    <w:rsid w:val="10C364F2"/>
    <w:rsid w:val="10CB2A70"/>
    <w:rsid w:val="10CF6D11"/>
    <w:rsid w:val="10D010C9"/>
    <w:rsid w:val="10E027A1"/>
    <w:rsid w:val="10E76CEE"/>
    <w:rsid w:val="10EC3C88"/>
    <w:rsid w:val="10ED442F"/>
    <w:rsid w:val="10EE161B"/>
    <w:rsid w:val="10F8793E"/>
    <w:rsid w:val="11021257"/>
    <w:rsid w:val="11056366"/>
    <w:rsid w:val="110F294E"/>
    <w:rsid w:val="111479CA"/>
    <w:rsid w:val="111813EC"/>
    <w:rsid w:val="11205E5C"/>
    <w:rsid w:val="112200EF"/>
    <w:rsid w:val="11253783"/>
    <w:rsid w:val="11282EAA"/>
    <w:rsid w:val="112C796F"/>
    <w:rsid w:val="112F4BD0"/>
    <w:rsid w:val="113469CF"/>
    <w:rsid w:val="11397879"/>
    <w:rsid w:val="113E6492"/>
    <w:rsid w:val="114D3C55"/>
    <w:rsid w:val="114D6F04"/>
    <w:rsid w:val="11524294"/>
    <w:rsid w:val="11560B10"/>
    <w:rsid w:val="115A105E"/>
    <w:rsid w:val="11615BCF"/>
    <w:rsid w:val="11693E49"/>
    <w:rsid w:val="117245B2"/>
    <w:rsid w:val="117604CC"/>
    <w:rsid w:val="11780D0E"/>
    <w:rsid w:val="118655AC"/>
    <w:rsid w:val="11945BFF"/>
    <w:rsid w:val="119865CA"/>
    <w:rsid w:val="11AE3C96"/>
    <w:rsid w:val="11B4012A"/>
    <w:rsid w:val="11B61717"/>
    <w:rsid w:val="11BB6A2C"/>
    <w:rsid w:val="11BB76EB"/>
    <w:rsid w:val="11C22FB3"/>
    <w:rsid w:val="11C54F39"/>
    <w:rsid w:val="11C9181D"/>
    <w:rsid w:val="11CA2884"/>
    <w:rsid w:val="11DB5764"/>
    <w:rsid w:val="11E03795"/>
    <w:rsid w:val="11E44DD1"/>
    <w:rsid w:val="11E766C8"/>
    <w:rsid w:val="11F00E4E"/>
    <w:rsid w:val="11FA2112"/>
    <w:rsid w:val="12037675"/>
    <w:rsid w:val="120576E8"/>
    <w:rsid w:val="120C5F06"/>
    <w:rsid w:val="121426FB"/>
    <w:rsid w:val="12163C49"/>
    <w:rsid w:val="121D2DF1"/>
    <w:rsid w:val="121E2116"/>
    <w:rsid w:val="12392597"/>
    <w:rsid w:val="124044A1"/>
    <w:rsid w:val="1245261C"/>
    <w:rsid w:val="1248432D"/>
    <w:rsid w:val="12495FAD"/>
    <w:rsid w:val="12535036"/>
    <w:rsid w:val="125724EF"/>
    <w:rsid w:val="1258352E"/>
    <w:rsid w:val="12633798"/>
    <w:rsid w:val="126B751B"/>
    <w:rsid w:val="127169F4"/>
    <w:rsid w:val="12732DA4"/>
    <w:rsid w:val="127A273B"/>
    <w:rsid w:val="12800932"/>
    <w:rsid w:val="12883A67"/>
    <w:rsid w:val="12964254"/>
    <w:rsid w:val="129A6774"/>
    <w:rsid w:val="12A01D0C"/>
    <w:rsid w:val="12A8193D"/>
    <w:rsid w:val="12AC514A"/>
    <w:rsid w:val="12AD0FDD"/>
    <w:rsid w:val="12AE3AA6"/>
    <w:rsid w:val="12B17049"/>
    <w:rsid w:val="12B43AAE"/>
    <w:rsid w:val="12B5420D"/>
    <w:rsid w:val="12C151AA"/>
    <w:rsid w:val="12C54689"/>
    <w:rsid w:val="12D7601B"/>
    <w:rsid w:val="12D910E8"/>
    <w:rsid w:val="12E508FA"/>
    <w:rsid w:val="12E52029"/>
    <w:rsid w:val="12E6761D"/>
    <w:rsid w:val="12F633BA"/>
    <w:rsid w:val="12FB6CE1"/>
    <w:rsid w:val="13035319"/>
    <w:rsid w:val="13072830"/>
    <w:rsid w:val="130B0F8E"/>
    <w:rsid w:val="1311386B"/>
    <w:rsid w:val="131D3348"/>
    <w:rsid w:val="132774E9"/>
    <w:rsid w:val="1329195E"/>
    <w:rsid w:val="132B3D81"/>
    <w:rsid w:val="13342778"/>
    <w:rsid w:val="13376B3F"/>
    <w:rsid w:val="1339279B"/>
    <w:rsid w:val="133E3A68"/>
    <w:rsid w:val="13423513"/>
    <w:rsid w:val="13495FB3"/>
    <w:rsid w:val="134C3284"/>
    <w:rsid w:val="13523694"/>
    <w:rsid w:val="13543C1D"/>
    <w:rsid w:val="135A459D"/>
    <w:rsid w:val="135F289D"/>
    <w:rsid w:val="13600D5C"/>
    <w:rsid w:val="1368242F"/>
    <w:rsid w:val="136B3690"/>
    <w:rsid w:val="137253E1"/>
    <w:rsid w:val="13745FC7"/>
    <w:rsid w:val="13793AF9"/>
    <w:rsid w:val="137C08CB"/>
    <w:rsid w:val="13816AE9"/>
    <w:rsid w:val="13887C92"/>
    <w:rsid w:val="138C772F"/>
    <w:rsid w:val="139542BA"/>
    <w:rsid w:val="13A51B9B"/>
    <w:rsid w:val="13AF6F12"/>
    <w:rsid w:val="13CA4970"/>
    <w:rsid w:val="13D94907"/>
    <w:rsid w:val="13DE228A"/>
    <w:rsid w:val="13E62665"/>
    <w:rsid w:val="13E9311F"/>
    <w:rsid w:val="13EB6AEB"/>
    <w:rsid w:val="13EE75EA"/>
    <w:rsid w:val="13F0599A"/>
    <w:rsid w:val="13F607BD"/>
    <w:rsid w:val="13FF2EE5"/>
    <w:rsid w:val="14042606"/>
    <w:rsid w:val="14106573"/>
    <w:rsid w:val="141444EE"/>
    <w:rsid w:val="14163CD2"/>
    <w:rsid w:val="14180131"/>
    <w:rsid w:val="141B1125"/>
    <w:rsid w:val="14210A98"/>
    <w:rsid w:val="1426418C"/>
    <w:rsid w:val="14294210"/>
    <w:rsid w:val="14312729"/>
    <w:rsid w:val="143155F9"/>
    <w:rsid w:val="14391733"/>
    <w:rsid w:val="144148D0"/>
    <w:rsid w:val="144802CF"/>
    <w:rsid w:val="14545B49"/>
    <w:rsid w:val="14577B03"/>
    <w:rsid w:val="14640998"/>
    <w:rsid w:val="14645E1C"/>
    <w:rsid w:val="14656E06"/>
    <w:rsid w:val="146C6A5A"/>
    <w:rsid w:val="146D6D18"/>
    <w:rsid w:val="1473362B"/>
    <w:rsid w:val="147C7FAB"/>
    <w:rsid w:val="147D7428"/>
    <w:rsid w:val="14827F33"/>
    <w:rsid w:val="14841859"/>
    <w:rsid w:val="1490624B"/>
    <w:rsid w:val="14A0523C"/>
    <w:rsid w:val="14AE1EF2"/>
    <w:rsid w:val="14AF0574"/>
    <w:rsid w:val="14B04A92"/>
    <w:rsid w:val="14B05C92"/>
    <w:rsid w:val="14C76F17"/>
    <w:rsid w:val="14CF353F"/>
    <w:rsid w:val="14D83EB1"/>
    <w:rsid w:val="14D94191"/>
    <w:rsid w:val="14DE0D5F"/>
    <w:rsid w:val="14E21D97"/>
    <w:rsid w:val="14E268E2"/>
    <w:rsid w:val="14EF3037"/>
    <w:rsid w:val="14F65E5A"/>
    <w:rsid w:val="14F7436C"/>
    <w:rsid w:val="14F96D32"/>
    <w:rsid w:val="15104FA1"/>
    <w:rsid w:val="15176A90"/>
    <w:rsid w:val="15300DB8"/>
    <w:rsid w:val="15315AAD"/>
    <w:rsid w:val="153D18C0"/>
    <w:rsid w:val="153D2C8F"/>
    <w:rsid w:val="153E3F6C"/>
    <w:rsid w:val="1540791D"/>
    <w:rsid w:val="15416726"/>
    <w:rsid w:val="1546033A"/>
    <w:rsid w:val="15490128"/>
    <w:rsid w:val="1551646D"/>
    <w:rsid w:val="15561C05"/>
    <w:rsid w:val="155C212E"/>
    <w:rsid w:val="15633408"/>
    <w:rsid w:val="1565511F"/>
    <w:rsid w:val="15671E57"/>
    <w:rsid w:val="15680EB2"/>
    <w:rsid w:val="15690F99"/>
    <w:rsid w:val="15696C0D"/>
    <w:rsid w:val="15776E04"/>
    <w:rsid w:val="15894DF5"/>
    <w:rsid w:val="15935A5C"/>
    <w:rsid w:val="159547AF"/>
    <w:rsid w:val="15982F09"/>
    <w:rsid w:val="15A210E3"/>
    <w:rsid w:val="15AC3000"/>
    <w:rsid w:val="15B41361"/>
    <w:rsid w:val="15BD1FB7"/>
    <w:rsid w:val="15C5105B"/>
    <w:rsid w:val="15C643C9"/>
    <w:rsid w:val="15CE71FD"/>
    <w:rsid w:val="15D545FA"/>
    <w:rsid w:val="15D55A71"/>
    <w:rsid w:val="15DD74F9"/>
    <w:rsid w:val="15E85630"/>
    <w:rsid w:val="15F232E2"/>
    <w:rsid w:val="15F256E3"/>
    <w:rsid w:val="15F77C14"/>
    <w:rsid w:val="15FF1AA8"/>
    <w:rsid w:val="16026AE4"/>
    <w:rsid w:val="1605724F"/>
    <w:rsid w:val="16064B95"/>
    <w:rsid w:val="160D41C2"/>
    <w:rsid w:val="160F77DA"/>
    <w:rsid w:val="16112D5C"/>
    <w:rsid w:val="16337DC9"/>
    <w:rsid w:val="163A0CB7"/>
    <w:rsid w:val="163E49E1"/>
    <w:rsid w:val="16494245"/>
    <w:rsid w:val="165D1B12"/>
    <w:rsid w:val="165D1B5C"/>
    <w:rsid w:val="16644110"/>
    <w:rsid w:val="16644E05"/>
    <w:rsid w:val="166C1183"/>
    <w:rsid w:val="166F1286"/>
    <w:rsid w:val="167C3929"/>
    <w:rsid w:val="1682501C"/>
    <w:rsid w:val="16883C42"/>
    <w:rsid w:val="169510A5"/>
    <w:rsid w:val="169837D4"/>
    <w:rsid w:val="169C756C"/>
    <w:rsid w:val="16A158B3"/>
    <w:rsid w:val="16A64C4F"/>
    <w:rsid w:val="16A96F1F"/>
    <w:rsid w:val="16B65A30"/>
    <w:rsid w:val="16C675CE"/>
    <w:rsid w:val="16CA31C6"/>
    <w:rsid w:val="16D32D26"/>
    <w:rsid w:val="16D779DB"/>
    <w:rsid w:val="16EC0F1E"/>
    <w:rsid w:val="16F30F52"/>
    <w:rsid w:val="16FC62E5"/>
    <w:rsid w:val="170227BF"/>
    <w:rsid w:val="170B6D31"/>
    <w:rsid w:val="170C5676"/>
    <w:rsid w:val="171966AA"/>
    <w:rsid w:val="172009D8"/>
    <w:rsid w:val="172658DC"/>
    <w:rsid w:val="173A0472"/>
    <w:rsid w:val="173A1E42"/>
    <w:rsid w:val="17410373"/>
    <w:rsid w:val="17433383"/>
    <w:rsid w:val="17481643"/>
    <w:rsid w:val="174A46BE"/>
    <w:rsid w:val="174B716D"/>
    <w:rsid w:val="174E16DD"/>
    <w:rsid w:val="17502542"/>
    <w:rsid w:val="175254C2"/>
    <w:rsid w:val="1754384B"/>
    <w:rsid w:val="175E3FDF"/>
    <w:rsid w:val="176A10B2"/>
    <w:rsid w:val="17805C7B"/>
    <w:rsid w:val="17897978"/>
    <w:rsid w:val="178B43A2"/>
    <w:rsid w:val="178B52A9"/>
    <w:rsid w:val="1791231C"/>
    <w:rsid w:val="17991326"/>
    <w:rsid w:val="17A560B1"/>
    <w:rsid w:val="17B163F8"/>
    <w:rsid w:val="17B5146E"/>
    <w:rsid w:val="17B95B76"/>
    <w:rsid w:val="17BB0700"/>
    <w:rsid w:val="17C6566A"/>
    <w:rsid w:val="17CF7043"/>
    <w:rsid w:val="17D71F31"/>
    <w:rsid w:val="17D96455"/>
    <w:rsid w:val="17E14240"/>
    <w:rsid w:val="17E23324"/>
    <w:rsid w:val="17E25CC3"/>
    <w:rsid w:val="17E466A3"/>
    <w:rsid w:val="17EE38BE"/>
    <w:rsid w:val="17F35138"/>
    <w:rsid w:val="17F80071"/>
    <w:rsid w:val="17F82A77"/>
    <w:rsid w:val="17FD49D4"/>
    <w:rsid w:val="18002687"/>
    <w:rsid w:val="1801774F"/>
    <w:rsid w:val="18133DDB"/>
    <w:rsid w:val="18145CB1"/>
    <w:rsid w:val="18173A56"/>
    <w:rsid w:val="181B4837"/>
    <w:rsid w:val="18204F5C"/>
    <w:rsid w:val="18270035"/>
    <w:rsid w:val="18304CCD"/>
    <w:rsid w:val="1831265A"/>
    <w:rsid w:val="18361615"/>
    <w:rsid w:val="18383447"/>
    <w:rsid w:val="183D4D56"/>
    <w:rsid w:val="183F630B"/>
    <w:rsid w:val="18487461"/>
    <w:rsid w:val="1851197A"/>
    <w:rsid w:val="185A2813"/>
    <w:rsid w:val="185D7696"/>
    <w:rsid w:val="18605AED"/>
    <w:rsid w:val="186D07D0"/>
    <w:rsid w:val="186D394A"/>
    <w:rsid w:val="18777752"/>
    <w:rsid w:val="18787CC9"/>
    <w:rsid w:val="187C76B1"/>
    <w:rsid w:val="188C1375"/>
    <w:rsid w:val="189C18CB"/>
    <w:rsid w:val="18A64D9B"/>
    <w:rsid w:val="18BA0EA0"/>
    <w:rsid w:val="18BD1AC1"/>
    <w:rsid w:val="18C20A24"/>
    <w:rsid w:val="18CD157A"/>
    <w:rsid w:val="18D3550B"/>
    <w:rsid w:val="18D70FB4"/>
    <w:rsid w:val="18E033D2"/>
    <w:rsid w:val="18E67515"/>
    <w:rsid w:val="18F21D06"/>
    <w:rsid w:val="18F3097E"/>
    <w:rsid w:val="18F9554F"/>
    <w:rsid w:val="18FE4E86"/>
    <w:rsid w:val="19040C09"/>
    <w:rsid w:val="19074038"/>
    <w:rsid w:val="190A07BB"/>
    <w:rsid w:val="1915479B"/>
    <w:rsid w:val="19173362"/>
    <w:rsid w:val="19215280"/>
    <w:rsid w:val="19227643"/>
    <w:rsid w:val="192706D4"/>
    <w:rsid w:val="192A6212"/>
    <w:rsid w:val="192C5198"/>
    <w:rsid w:val="192F0131"/>
    <w:rsid w:val="192F754C"/>
    <w:rsid w:val="193361C6"/>
    <w:rsid w:val="194175CA"/>
    <w:rsid w:val="19470E2E"/>
    <w:rsid w:val="1952613B"/>
    <w:rsid w:val="195A02A2"/>
    <w:rsid w:val="195B766C"/>
    <w:rsid w:val="196221B6"/>
    <w:rsid w:val="19644347"/>
    <w:rsid w:val="196D2153"/>
    <w:rsid w:val="19755847"/>
    <w:rsid w:val="197A3952"/>
    <w:rsid w:val="19847DA5"/>
    <w:rsid w:val="19890C77"/>
    <w:rsid w:val="19917F89"/>
    <w:rsid w:val="199249A1"/>
    <w:rsid w:val="199726CA"/>
    <w:rsid w:val="199A57EB"/>
    <w:rsid w:val="199B0459"/>
    <w:rsid w:val="199B4948"/>
    <w:rsid w:val="19A94119"/>
    <w:rsid w:val="19B134E8"/>
    <w:rsid w:val="19BA4393"/>
    <w:rsid w:val="19C1791E"/>
    <w:rsid w:val="19C424C5"/>
    <w:rsid w:val="19CB44A3"/>
    <w:rsid w:val="19CB4C5F"/>
    <w:rsid w:val="19CD7EA8"/>
    <w:rsid w:val="19DB3BE3"/>
    <w:rsid w:val="19DC1A32"/>
    <w:rsid w:val="19E572F0"/>
    <w:rsid w:val="19E61147"/>
    <w:rsid w:val="19E75F6F"/>
    <w:rsid w:val="19E9307D"/>
    <w:rsid w:val="19ED10F4"/>
    <w:rsid w:val="19EE10E6"/>
    <w:rsid w:val="19F16C8E"/>
    <w:rsid w:val="19F81B82"/>
    <w:rsid w:val="19FA2BF4"/>
    <w:rsid w:val="19FF095A"/>
    <w:rsid w:val="1A023BCA"/>
    <w:rsid w:val="1A09628F"/>
    <w:rsid w:val="1A200AC6"/>
    <w:rsid w:val="1A2761A0"/>
    <w:rsid w:val="1A317348"/>
    <w:rsid w:val="1A363C26"/>
    <w:rsid w:val="1A3D08CA"/>
    <w:rsid w:val="1A427417"/>
    <w:rsid w:val="1A53706F"/>
    <w:rsid w:val="1A563D96"/>
    <w:rsid w:val="1A6028C0"/>
    <w:rsid w:val="1A6472DF"/>
    <w:rsid w:val="1A65778C"/>
    <w:rsid w:val="1A6F03D5"/>
    <w:rsid w:val="1A834961"/>
    <w:rsid w:val="1A835833"/>
    <w:rsid w:val="1A8545DC"/>
    <w:rsid w:val="1A8C39B6"/>
    <w:rsid w:val="1A917150"/>
    <w:rsid w:val="1A954C67"/>
    <w:rsid w:val="1A9F010E"/>
    <w:rsid w:val="1AA83338"/>
    <w:rsid w:val="1AA867F3"/>
    <w:rsid w:val="1AA93680"/>
    <w:rsid w:val="1AAB35B8"/>
    <w:rsid w:val="1AB23462"/>
    <w:rsid w:val="1AB55FF9"/>
    <w:rsid w:val="1AB6696A"/>
    <w:rsid w:val="1AB66BC4"/>
    <w:rsid w:val="1ABE28AC"/>
    <w:rsid w:val="1AC76CAE"/>
    <w:rsid w:val="1ACC74AC"/>
    <w:rsid w:val="1AD0371F"/>
    <w:rsid w:val="1AD12D1E"/>
    <w:rsid w:val="1AE902FE"/>
    <w:rsid w:val="1AF6368C"/>
    <w:rsid w:val="1AFB3B45"/>
    <w:rsid w:val="1B0B5058"/>
    <w:rsid w:val="1B17233D"/>
    <w:rsid w:val="1B202673"/>
    <w:rsid w:val="1B2A02DE"/>
    <w:rsid w:val="1B325F26"/>
    <w:rsid w:val="1B3A2FAA"/>
    <w:rsid w:val="1B3D60B4"/>
    <w:rsid w:val="1B3F0ED3"/>
    <w:rsid w:val="1B4445A7"/>
    <w:rsid w:val="1B47284F"/>
    <w:rsid w:val="1B4E3812"/>
    <w:rsid w:val="1B4F496A"/>
    <w:rsid w:val="1B551CD4"/>
    <w:rsid w:val="1B597E2A"/>
    <w:rsid w:val="1B62244A"/>
    <w:rsid w:val="1B6276F1"/>
    <w:rsid w:val="1B645773"/>
    <w:rsid w:val="1B6570A0"/>
    <w:rsid w:val="1B6B4B0C"/>
    <w:rsid w:val="1B7B109F"/>
    <w:rsid w:val="1B7D2A88"/>
    <w:rsid w:val="1B8347C4"/>
    <w:rsid w:val="1B9B204B"/>
    <w:rsid w:val="1B9B606C"/>
    <w:rsid w:val="1B9E711F"/>
    <w:rsid w:val="1BAF3A31"/>
    <w:rsid w:val="1BBD369E"/>
    <w:rsid w:val="1BC92A75"/>
    <w:rsid w:val="1BD2322C"/>
    <w:rsid w:val="1BE62C23"/>
    <w:rsid w:val="1BE7688B"/>
    <w:rsid w:val="1BFA6019"/>
    <w:rsid w:val="1C077948"/>
    <w:rsid w:val="1C081934"/>
    <w:rsid w:val="1C1C7300"/>
    <w:rsid w:val="1C1D4F21"/>
    <w:rsid w:val="1C212010"/>
    <w:rsid w:val="1C2455BE"/>
    <w:rsid w:val="1C323E6F"/>
    <w:rsid w:val="1C383A91"/>
    <w:rsid w:val="1C426E44"/>
    <w:rsid w:val="1C4B3A53"/>
    <w:rsid w:val="1C500C0B"/>
    <w:rsid w:val="1C575FF5"/>
    <w:rsid w:val="1C5D6481"/>
    <w:rsid w:val="1C681539"/>
    <w:rsid w:val="1C7A3144"/>
    <w:rsid w:val="1C90275F"/>
    <w:rsid w:val="1C930083"/>
    <w:rsid w:val="1C95155B"/>
    <w:rsid w:val="1C9A293B"/>
    <w:rsid w:val="1C9E6F9E"/>
    <w:rsid w:val="1CA93819"/>
    <w:rsid w:val="1CAC1189"/>
    <w:rsid w:val="1CAC3751"/>
    <w:rsid w:val="1CC32E38"/>
    <w:rsid w:val="1CC702D6"/>
    <w:rsid w:val="1CC818A6"/>
    <w:rsid w:val="1CC91540"/>
    <w:rsid w:val="1CDA54E0"/>
    <w:rsid w:val="1CE71156"/>
    <w:rsid w:val="1CE9671F"/>
    <w:rsid w:val="1CEB2488"/>
    <w:rsid w:val="1CEE7FE8"/>
    <w:rsid w:val="1CF22E26"/>
    <w:rsid w:val="1D082EA0"/>
    <w:rsid w:val="1D0E60F9"/>
    <w:rsid w:val="1D1554CC"/>
    <w:rsid w:val="1D285748"/>
    <w:rsid w:val="1D2B61D8"/>
    <w:rsid w:val="1D2E3D76"/>
    <w:rsid w:val="1D3C550B"/>
    <w:rsid w:val="1D4A18C0"/>
    <w:rsid w:val="1D4D3C28"/>
    <w:rsid w:val="1D4E1D5C"/>
    <w:rsid w:val="1D591A36"/>
    <w:rsid w:val="1D595B51"/>
    <w:rsid w:val="1D5C36BB"/>
    <w:rsid w:val="1D617ECD"/>
    <w:rsid w:val="1D686E5A"/>
    <w:rsid w:val="1D745763"/>
    <w:rsid w:val="1D7664DE"/>
    <w:rsid w:val="1D873542"/>
    <w:rsid w:val="1D8F2A0C"/>
    <w:rsid w:val="1D916336"/>
    <w:rsid w:val="1D9E68DE"/>
    <w:rsid w:val="1DA11DC8"/>
    <w:rsid w:val="1DA36861"/>
    <w:rsid w:val="1DA84A26"/>
    <w:rsid w:val="1DB3347E"/>
    <w:rsid w:val="1DD62521"/>
    <w:rsid w:val="1DD96DD4"/>
    <w:rsid w:val="1DDD290B"/>
    <w:rsid w:val="1DED7A62"/>
    <w:rsid w:val="1DEE444E"/>
    <w:rsid w:val="1DF2773C"/>
    <w:rsid w:val="1E03464E"/>
    <w:rsid w:val="1E054446"/>
    <w:rsid w:val="1E074BAE"/>
    <w:rsid w:val="1E09566A"/>
    <w:rsid w:val="1E1E6A7F"/>
    <w:rsid w:val="1E2264AC"/>
    <w:rsid w:val="1E267D31"/>
    <w:rsid w:val="1E2A698D"/>
    <w:rsid w:val="1E330055"/>
    <w:rsid w:val="1E3746A2"/>
    <w:rsid w:val="1E3C7069"/>
    <w:rsid w:val="1E3E05BD"/>
    <w:rsid w:val="1E3F0106"/>
    <w:rsid w:val="1E40776C"/>
    <w:rsid w:val="1E427698"/>
    <w:rsid w:val="1E44472D"/>
    <w:rsid w:val="1E4A162B"/>
    <w:rsid w:val="1E4E6D50"/>
    <w:rsid w:val="1E586823"/>
    <w:rsid w:val="1E5C57E5"/>
    <w:rsid w:val="1E6D0335"/>
    <w:rsid w:val="1E6E00C4"/>
    <w:rsid w:val="1E714D36"/>
    <w:rsid w:val="1E79155B"/>
    <w:rsid w:val="1E8958B8"/>
    <w:rsid w:val="1E910305"/>
    <w:rsid w:val="1E98780D"/>
    <w:rsid w:val="1E9933EE"/>
    <w:rsid w:val="1E9B287B"/>
    <w:rsid w:val="1EA86054"/>
    <w:rsid w:val="1EAE2751"/>
    <w:rsid w:val="1EB37AC8"/>
    <w:rsid w:val="1EBA461E"/>
    <w:rsid w:val="1EC01C43"/>
    <w:rsid w:val="1EC362FD"/>
    <w:rsid w:val="1ECC01AE"/>
    <w:rsid w:val="1ECC54CD"/>
    <w:rsid w:val="1EE071F4"/>
    <w:rsid w:val="1EF92CC3"/>
    <w:rsid w:val="1EFE24ED"/>
    <w:rsid w:val="1F0215B2"/>
    <w:rsid w:val="1F0D3C9F"/>
    <w:rsid w:val="1F100F40"/>
    <w:rsid w:val="1F1E7154"/>
    <w:rsid w:val="1F245739"/>
    <w:rsid w:val="1F245847"/>
    <w:rsid w:val="1F2C40E6"/>
    <w:rsid w:val="1F3740AF"/>
    <w:rsid w:val="1F3742E5"/>
    <w:rsid w:val="1F416D50"/>
    <w:rsid w:val="1F460725"/>
    <w:rsid w:val="1F48304B"/>
    <w:rsid w:val="1F4B7219"/>
    <w:rsid w:val="1F4E4C51"/>
    <w:rsid w:val="1F4F5B9B"/>
    <w:rsid w:val="1F5110BF"/>
    <w:rsid w:val="1F524B54"/>
    <w:rsid w:val="1F5758D8"/>
    <w:rsid w:val="1F5C101F"/>
    <w:rsid w:val="1F7105FE"/>
    <w:rsid w:val="1F7B6472"/>
    <w:rsid w:val="1F7F2C0E"/>
    <w:rsid w:val="1F8168C7"/>
    <w:rsid w:val="1F8617EC"/>
    <w:rsid w:val="1F9A37B4"/>
    <w:rsid w:val="1FA1664E"/>
    <w:rsid w:val="1FB354BE"/>
    <w:rsid w:val="1FB36A8E"/>
    <w:rsid w:val="1FBC1105"/>
    <w:rsid w:val="1FC01907"/>
    <w:rsid w:val="1FD470E6"/>
    <w:rsid w:val="1FD65294"/>
    <w:rsid w:val="1FD83494"/>
    <w:rsid w:val="1FE43B07"/>
    <w:rsid w:val="1FE73AF9"/>
    <w:rsid w:val="1FED23F1"/>
    <w:rsid w:val="1FF41FD4"/>
    <w:rsid w:val="1FF85169"/>
    <w:rsid w:val="1FF936FF"/>
    <w:rsid w:val="20032255"/>
    <w:rsid w:val="2016363B"/>
    <w:rsid w:val="20186F31"/>
    <w:rsid w:val="20265B54"/>
    <w:rsid w:val="202C21AA"/>
    <w:rsid w:val="202C2CCC"/>
    <w:rsid w:val="203443A5"/>
    <w:rsid w:val="2037725D"/>
    <w:rsid w:val="20425609"/>
    <w:rsid w:val="20494187"/>
    <w:rsid w:val="204F479E"/>
    <w:rsid w:val="20550D62"/>
    <w:rsid w:val="2056337D"/>
    <w:rsid w:val="205F66F9"/>
    <w:rsid w:val="2064199B"/>
    <w:rsid w:val="20707C36"/>
    <w:rsid w:val="20711D24"/>
    <w:rsid w:val="20792D2F"/>
    <w:rsid w:val="207B4EE9"/>
    <w:rsid w:val="207E4521"/>
    <w:rsid w:val="20825BB0"/>
    <w:rsid w:val="20876933"/>
    <w:rsid w:val="2099315C"/>
    <w:rsid w:val="209C14B6"/>
    <w:rsid w:val="209F43D9"/>
    <w:rsid w:val="20A03358"/>
    <w:rsid w:val="20B52235"/>
    <w:rsid w:val="20BC67E3"/>
    <w:rsid w:val="20C477AA"/>
    <w:rsid w:val="20D114DC"/>
    <w:rsid w:val="20DE3A57"/>
    <w:rsid w:val="20DF4667"/>
    <w:rsid w:val="20E00AC0"/>
    <w:rsid w:val="20E32A24"/>
    <w:rsid w:val="20E36098"/>
    <w:rsid w:val="20EE42F0"/>
    <w:rsid w:val="20F46262"/>
    <w:rsid w:val="21020594"/>
    <w:rsid w:val="21077F78"/>
    <w:rsid w:val="2108519A"/>
    <w:rsid w:val="21146E45"/>
    <w:rsid w:val="21197081"/>
    <w:rsid w:val="211A6792"/>
    <w:rsid w:val="212B314F"/>
    <w:rsid w:val="21390152"/>
    <w:rsid w:val="214252FE"/>
    <w:rsid w:val="2148234A"/>
    <w:rsid w:val="21523823"/>
    <w:rsid w:val="21535033"/>
    <w:rsid w:val="21566BFD"/>
    <w:rsid w:val="215C61C2"/>
    <w:rsid w:val="215C6CE5"/>
    <w:rsid w:val="2163062A"/>
    <w:rsid w:val="216842C9"/>
    <w:rsid w:val="216C01C1"/>
    <w:rsid w:val="216C3FCF"/>
    <w:rsid w:val="217C3CCE"/>
    <w:rsid w:val="21806704"/>
    <w:rsid w:val="21857158"/>
    <w:rsid w:val="219A14AB"/>
    <w:rsid w:val="21BF01FB"/>
    <w:rsid w:val="21C76A4E"/>
    <w:rsid w:val="21CA3F20"/>
    <w:rsid w:val="21CB30E7"/>
    <w:rsid w:val="21D02762"/>
    <w:rsid w:val="21D90655"/>
    <w:rsid w:val="21D97B06"/>
    <w:rsid w:val="21E43C11"/>
    <w:rsid w:val="21E83486"/>
    <w:rsid w:val="21EA6050"/>
    <w:rsid w:val="21EF29B4"/>
    <w:rsid w:val="21EF7BBE"/>
    <w:rsid w:val="2201677C"/>
    <w:rsid w:val="220E5ED1"/>
    <w:rsid w:val="220F53E4"/>
    <w:rsid w:val="221D4D1A"/>
    <w:rsid w:val="222630B3"/>
    <w:rsid w:val="222957FC"/>
    <w:rsid w:val="222E2243"/>
    <w:rsid w:val="2231449C"/>
    <w:rsid w:val="22353BD9"/>
    <w:rsid w:val="223B045B"/>
    <w:rsid w:val="22443619"/>
    <w:rsid w:val="225432C8"/>
    <w:rsid w:val="22575145"/>
    <w:rsid w:val="22600D55"/>
    <w:rsid w:val="226E083D"/>
    <w:rsid w:val="2273352B"/>
    <w:rsid w:val="2275175F"/>
    <w:rsid w:val="22796EF1"/>
    <w:rsid w:val="227A6F02"/>
    <w:rsid w:val="22890380"/>
    <w:rsid w:val="229356BA"/>
    <w:rsid w:val="229D4CBB"/>
    <w:rsid w:val="22AF2CA9"/>
    <w:rsid w:val="22B00677"/>
    <w:rsid w:val="22C81C90"/>
    <w:rsid w:val="22D6243B"/>
    <w:rsid w:val="22EC5517"/>
    <w:rsid w:val="22EF3920"/>
    <w:rsid w:val="22F07628"/>
    <w:rsid w:val="22FA0C7C"/>
    <w:rsid w:val="22FB2125"/>
    <w:rsid w:val="23090D4A"/>
    <w:rsid w:val="23125621"/>
    <w:rsid w:val="231620DC"/>
    <w:rsid w:val="23165B8D"/>
    <w:rsid w:val="23177C4B"/>
    <w:rsid w:val="231A03CF"/>
    <w:rsid w:val="231A3E39"/>
    <w:rsid w:val="231D23A4"/>
    <w:rsid w:val="231D6822"/>
    <w:rsid w:val="232416B9"/>
    <w:rsid w:val="232A6657"/>
    <w:rsid w:val="232E701B"/>
    <w:rsid w:val="233B61BF"/>
    <w:rsid w:val="23460670"/>
    <w:rsid w:val="23466E2A"/>
    <w:rsid w:val="2349111A"/>
    <w:rsid w:val="234966F2"/>
    <w:rsid w:val="234D19DF"/>
    <w:rsid w:val="23567733"/>
    <w:rsid w:val="23594CA2"/>
    <w:rsid w:val="235C03D9"/>
    <w:rsid w:val="235E287C"/>
    <w:rsid w:val="239B2F59"/>
    <w:rsid w:val="239E4230"/>
    <w:rsid w:val="23A213A1"/>
    <w:rsid w:val="23B00605"/>
    <w:rsid w:val="23B15DC3"/>
    <w:rsid w:val="23B3607F"/>
    <w:rsid w:val="23B94D6C"/>
    <w:rsid w:val="23BC737E"/>
    <w:rsid w:val="23CD3616"/>
    <w:rsid w:val="23DA4B4E"/>
    <w:rsid w:val="23DD4003"/>
    <w:rsid w:val="23DE4DB7"/>
    <w:rsid w:val="23E34A00"/>
    <w:rsid w:val="23E549E1"/>
    <w:rsid w:val="23E6305F"/>
    <w:rsid w:val="23F141FD"/>
    <w:rsid w:val="23F87CA0"/>
    <w:rsid w:val="2407639E"/>
    <w:rsid w:val="24107F4D"/>
    <w:rsid w:val="241927A0"/>
    <w:rsid w:val="24196A4A"/>
    <w:rsid w:val="241B460E"/>
    <w:rsid w:val="241F19B3"/>
    <w:rsid w:val="24206411"/>
    <w:rsid w:val="242D7E9A"/>
    <w:rsid w:val="242F24FB"/>
    <w:rsid w:val="243139F2"/>
    <w:rsid w:val="24335EF3"/>
    <w:rsid w:val="24374386"/>
    <w:rsid w:val="24390E23"/>
    <w:rsid w:val="243A7764"/>
    <w:rsid w:val="2444287E"/>
    <w:rsid w:val="24473945"/>
    <w:rsid w:val="244F72D0"/>
    <w:rsid w:val="245363C5"/>
    <w:rsid w:val="245364F8"/>
    <w:rsid w:val="24553CEE"/>
    <w:rsid w:val="24625145"/>
    <w:rsid w:val="24625967"/>
    <w:rsid w:val="246538E3"/>
    <w:rsid w:val="247075A5"/>
    <w:rsid w:val="24766C93"/>
    <w:rsid w:val="24770687"/>
    <w:rsid w:val="247C0A6F"/>
    <w:rsid w:val="247D73E8"/>
    <w:rsid w:val="248372EE"/>
    <w:rsid w:val="24903146"/>
    <w:rsid w:val="249535A5"/>
    <w:rsid w:val="24995184"/>
    <w:rsid w:val="249D2C95"/>
    <w:rsid w:val="24B036C4"/>
    <w:rsid w:val="24B20225"/>
    <w:rsid w:val="24BB2C9E"/>
    <w:rsid w:val="24C447D0"/>
    <w:rsid w:val="24D02CC4"/>
    <w:rsid w:val="24D2514A"/>
    <w:rsid w:val="24D27652"/>
    <w:rsid w:val="24D7398A"/>
    <w:rsid w:val="24DC6357"/>
    <w:rsid w:val="24E80017"/>
    <w:rsid w:val="24ED37A4"/>
    <w:rsid w:val="24F039B8"/>
    <w:rsid w:val="24F73E89"/>
    <w:rsid w:val="24F74359"/>
    <w:rsid w:val="250805E8"/>
    <w:rsid w:val="25190817"/>
    <w:rsid w:val="251D2D5B"/>
    <w:rsid w:val="25206795"/>
    <w:rsid w:val="252231D1"/>
    <w:rsid w:val="25252DC0"/>
    <w:rsid w:val="25281D57"/>
    <w:rsid w:val="25294AA4"/>
    <w:rsid w:val="25295B52"/>
    <w:rsid w:val="254243CF"/>
    <w:rsid w:val="2544245B"/>
    <w:rsid w:val="254C096F"/>
    <w:rsid w:val="255F303D"/>
    <w:rsid w:val="25634784"/>
    <w:rsid w:val="257A12BE"/>
    <w:rsid w:val="258A6A08"/>
    <w:rsid w:val="258B643C"/>
    <w:rsid w:val="258D2C14"/>
    <w:rsid w:val="259E32F6"/>
    <w:rsid w:val="25A13287"/>
    <w:rsid w:val="25A6728E"/>
    <w:rsid w:val="25A679D7"/>
    <w:rsid w:val="25A76CD1"/>
    <w:rsid w:val="25A855EE"/>
    <w:rsid w:val="25AE0990"/>
    <w:rsid w:val="25BA7179"/>
    <w:rsid w:val="25BB52E6"/>
    <w:rsid w:val="25C02FF7"/>
    <w:rsid w:val="25D13EAC"/>
    <w:rsid w:val="25D41687"/>
    <w:rsid w:val="25D92301"/>
    <w:rsid w:val="25DE1FE4"/>
    <w:rsid w:val="25DF0353"/>
    <w:rsid w:val="25E70959"/>
    <w:rsid w:val="25FE077B"/>
    <w:rsid w:val="25FE3CF0"/>
    <w:rsid w:val="2605460B"/>
    <w:rsid w:val="260A4D55"/>
    <w:rsid w:val="260D5427"/>
    <w:rsid w:val="2619763A"/>
    <w:rsid w:val="26232B6D"/>
    <w:rsid w:val="26235856"/>
    <w:rsid w:val="26237A07"/>
    <w:rsid w:val="26243755"/>
    <w:rsid w:val="262A048F"/>
    <w:rsid w:val="263C3B08"/>
    <w:rsid w:val="26523493"/>
    <w:rsid w:val="26540953"/>
    <w:rsid w:val="267114F8"/>
    <w:rsid w:val="267176A5"/>
    <w:rsid w:val="26790974"/>
    <w:rsid w:val="26811FCC"/>
    <w:rsid w:val="26862D8B"/>
    <w:rsid w:val="26943455"/>
    <w:rsid w:val="26A30081"/>
    <w:rsid w:val="26A74202"/>
    <w:rsid w:val="26B117CA"/>
    <w:rsid w:val="26BB311B"/>
    <w:rsid w:val="26C31E9B"/>
    <w:rsid w:val="26D50736"/>
    <w:rsid w:val="26D538D9"/>
    <w:rsid w:val="26D74CCA"/>
    <w:rsid w:val="26E05E6D"/>
    <w:rsid w:val="26E440E3"/>
    <w:rsid w:val="26F7343A"/>
    <w:rsid w:val="26FA0DA2"/>
    <w:rsid w:val="26FB3B57"/>
    <w:rsid w:val="26FE7296"/>
    <w:rsid w:val="26FF187F"/>
    <w:rsid w:val="27012810"/>
    <w:rsid w:val="27035FB8"/>
    <w:rsid w:val="2705359E"/>
    <w:rsid w:val="27094BA6"/>
    <w:rsid w:val="27111B24"/>
    <w:rsid w:val="27124BFB"/>
    <w:rsid w:val="2713186B"/>
    <w:rsid w:val="271A163F"/>
    <w:rsid w:val="27217247"/>
    <w:rsid w:val="274F381F"/>
    <w:rsid w:val="274F4D5C"/>
    <w:rsid w:val="2751667B"/>
    <w:rsid w:val="275B5F2F"/>
    <w:rsid w:val="276B5634"/>
    <w:rsid w:val="277A6408"/>
    <w:rsid w:val="27836697"/>
    <w:rsid w:val="2788178D"/>
    <w:rsid w:val="27886378"/>
    <w:rsid w:val="278A2C0A"/>
    <w:rsid w:val="278E2D5F"/>
    <w:rsid w:val="27A47754"/>
    <w:rsid w:val="27A733C6"/>
    <w:rsid w:val="27A92189"/>
    <w:rsid w:val="27B311E8"/>
    <w:rsid w:val="27B80C21"/>
    <w:rsid w:val="27C437F2"/>
    <w:rsid w:val="27CD2D51"/>
    <w:rsid w:val="27E54603"/>
    <w:rsid w:val="27F06216"/>
    <w:rsid w:val="27F672B2"/>
    <w:rsid w:val="28041C70"/>
    <w:rsid w:val="28075F4F"/>
    <w:rsid w:val="280C7734"/>
    <w:rsid w:val="28112918"/>
    <w:rsid w:val="28226AB2"/>
    <w:rsid w:val="2835289D"/>
    <w:rsid w:val="284A49F4"/>
    <w:rsid w:val="284D2189"/>
    <w:rsid w:val="28513054"/>
    <w:rsid w:val="28591C47"/>
    <w:rsid w:val="285F61BB"/>
    <w:rsid w:val="28635281"/>
    <w:rsid w:val="28687DFE"/>
    <w:rsid w:val="286B7C7E"/>
    <w:rsid w:val="286C31F6"/>
    <w:rsid w:val="28724CCD"/>
    <w:rsid w:val="28741B67"/>
    <w:rsid w:val="287B163A"/>
    <w:rsid w:val="2880225C"/>
    <w:rsid w:val="288505B0"/>
    <w:rsid w:val="2887742C"/>
    <w:rsid w:val="288B0246"/>
    <w:rsid w:val="288C6161"/>
    <w:rsid w:val="28935866"/>
    <w:rsid w:val="28A5196E"/>
    <w:rsid w:val="28A77C8A"/>
    <w:rsid w:val="28A811DB"/>
    <w:rsid w:val="28AE0211"/>
    <w:rsid w:val="28AE73D3"/>
    <w:rsid w:val="28B03BA8"/>
    <w:rsid w:val="28C24E32"/>
    <w:rsid w:val="28C55B49"/>
    <w:rsid w:val="28C80069"/>
    <w:rsid w:val="28D16D19"/>
    <w:rsid w:val="28D5020D"/>
    <w:rsid w:val="28D772C0"/>
    <w:rsid w:val="28DA0C7A"/>
    <w:rsid w:val="28F63717"/>
    <w:rsid w:val="28F75E50"/>
    <w:rsid w:val="290172E5"/>
    <w:rsid w:val="29020AE4"/>
    <w:rsid w:val="29086C0C"/>
    <w:rsid w:val="290B0D70"/>
    <w:rsid w:val="29163D81"/>
    <w:rsid w:val="29182D46"/>
    <w:rsid w:val="291A1E58"/>
    <w:rsid w:val="2920158C"/>
    <w:rsid w:val="29277B31"/>
    <w:rsid w:val="292B0E19"/>
    <w:rsid w:val="2930001C"/>
    <w:rsid w:val="293D2B0F"/>
    <w:rsid w:val="294033CF"/>
    <w:rsid w:val="29411664"/>
    <w:rsid w:val="29423AF2"/>
    <w:rsid w:val="294874CA"/>
    <w:rsid w:val="294E473B"/>
    <w:rsid w:val="295212AB"/>
    <w:rsid w:val="295B1C64"/>
    <w:rsid w:val="295C20AC"/>
    <w:rsid w:val="296978CC"/>
    <w:rsid w:val="296B6FEB"/>
    <w:rsid w:val="296E0CBE"/>
    <w:rsid w:val="296E242B"/>
    <w:rsid w:val="297603E7"/>
    <w:rsid w:val="297614BC"/>
    <w:rsid w:val="297915B9"/>
    <w:rsid w:val="297C3DA8"/>
    <w:rsid w:val="297F2B2C"/>
    <w:rsid w:val="29827170"/>
    <w:rsid w:val="298C5B84"/>
    <w:rsid w:val="29915FF9"/>
    <w:rsid w:val="29917682"/>
    <w:rsid w:val="299A77A5"/>
    <w:rsid w:val="299C31F9"/>
    <w:rsid w:val="299F00B9"/>
    <w:rsid w:val="29A13E61"/>
    <w:rsid w:val="29A527C8"/>
    <w:rsid w:val="29B4209C"/>
    <w:rsid w:val="29B770BC"/>
    <w:rsid w:val="29BB51A9"/>
    <w:rsid w:val="29BD404E"/>
    <w:rsid w:val="29C07338"/>
    <w:rsid w:val="29C16CD7"/>
    <w:rsid w:val="29C31CBC"/>
    <w:rsid w:val="29D263A1"/>
    <w:rsid w:val="29D465AF"/>
    <w:rsid w:val="29D67690"/>
    <w:rsid w:val="29D869AE"/>
    <w:rsid w:val="29DF464F"/>
    <w:rsid w:val="29E27016"/>
    <w:rsid w:val="29E7726E"/>
    <w:rsid w:val="29EB708C"/>
    <w:rsid w:val="29F10CF5"/>
    <w:rsid w:val="29FD5341"/>
    <w:rsid w:val="2A045A1B"/>
    <w:rsid w:val="2A0E033B"/>
    <w:rsid w:val="2A0F387B"/>
    <w:rsid w:val="2A116D2C"/>
    <w:rsid w:val="2A171E62"/>
    <w:rsid w:val="2A1C49AB"/>
    <w:rsid w:val="2A275533"/>
    <w:rsid w:val="2A3217E5"/>
    <w:rsid w:val="2A327970"/>
    <w:rsid w:val="2A375E47"/>
    <w:rsid w:val="2A431DC2"/>
    <w:rsid w:val="2A440B6E"/>
    <w:rsid w:val="2A48283B"/>
    <w:rsid w:val="2A4C4840"/>
    <w:rsid w:val="2A64047E"/>
    <w:rsid w:val="2A700A9D"/>
    <w:rsid w:val="2A7C26D6"/>
    <w:rsid w:val="2A812072"/>
    <w:rsid w:val="2A864EEF"/>
    <w:rsid w:val="2A8C0891"/>
    <w:rsid w:val="2A92090E"/>
    <w:rsid w:val="2A9F268F"/>
    <w:rsid w:val="2AA227C4"/>
    <w:rsid w:val="2AA23D17"/>
    <w:rsid w:val="2AA32FE3"/>
    <w:rsid w:val="2AA86547"/>
    <w:rsid w:val="2AC01607"/>
    <w:rsid w:val="2AC55971"/>
    <w:rsid w:val="2AC63316"/>
    <w:rsid w:val="2ACE4477"/>
    <w:rsid w:val="2ADC04BC"/>
    <w:rsid w:val="2AE60FBE"/>
    <w:rsid w:val="2AE82788"/>
    <w:rsid w:val="2AE84494"/>
    <w:rsid w:val="2AE85535"/>
    <w:rsid w:val="2B0F33AC"/>
    <w:rsid w:val="2B124378"/>
    <w:rsid w:val="2B134DFC"/>
    <w:rsid w:val="2B1354C3"/>
    <w:rsid w:val="2B1A19E8"/>
    <w:rsid w:val="2B1D613F"/>
    <w:rsid w:val="2B20344F"/>
    <w:rsid w:val="2B21701D"/>
    <w:rsid w:val="2B28456B"/>
    <w:rsid w:val="2B337289"/>
    <w:rsid w:val="2B343C7A"/>
    <w:rsid w:val="2B403826"/>
    <w:rsid w:val="2B440203"/>
    <w:rsid w:val="2B4C26A3"/>
    <w:rsid w:val="2B5210B3"/>
    <w:rsid w:val="2B584AEA"/>
    <w:rsid w:val="2B681A03"/>
    <w:rsid w:val="2B690902"/>
    <w:rsid w:val="2B7E37C8"/>
    <w:rsid w:val="2B7F34AC"/>
    <w:rsid w:val="2B8F7FC0"/>
    <w:rsid w:val="2BA053CF"/>
    <w:rsid w:val="2BA37FE9"/>
    <w:rsid w:val="2BA672CB"/>
    <w:rsid w:val="2BAF06DE"/>
    <w:rsid w:val="2BBC41C7"/>
    <w:rsid w:val="2BBC5F45"/>
    <w:rsid w:val="2BC020F3"/>
    <w:rsid w:val="2BC06393"/>
    <w:rsid w:val="2BC36D5D"/>
    <w:rsid w:val="2BCE485F"/>
    <w:rsid w:val="2BD11F77"/>
    <w:rsid w:val="2BD32047"/>
    <w:rsid w:val="2BD346EF"/>
    <w:rsid w:val="2BD92528"/>
    <w:rsid w:val="2BE52FBF"/>
    <w:rsid w:val="2BE715B6"/>
    <w:rsid w:val="2BE7203B"/>
    <w:rsid w:val="2BEA144B"/>
    <w:rsid w:val="2BED6FE8"/>
    <w:rsid w:val="2BF40539"/>
    <w:rsid w:val="2C0760F3"/>
    <w:rsid w:val="2C0822F2"/>
    <w:rsid w:val="2C190094"/>
    <w:rsid w:val="2C1B010D"/>
    <w:rsid w:val="2C1F3B06"/>
    <w:rsid w:val="2C23112B"/>
    <w:rsid w:val="2C2A0A0E"/>
    <w:rsid w:val="2C2D4CC3"/>
    <w:rsid w:val="2C3229C2"/>
    <w:rsid w:val="2C361535"/>
    <w:rsid w:val="2C374788"/>
    <w:rsid w:val="2C395F5B"/>
    <w:rsid w:val="2C3A235F"/>
    <w:rsid w:val="2C3C1015"/>
    <w:rsid w:val="2C3C49C8"/>
    <w:rsid w:val="2C3F3390"/>
    <w:rsid w:val="2C437BF3"/>
    <w:rsid w:val="2C471D48"/>
    <w:rsid w:val="2C583F8F"/>
    <w:rsid w:val="2C5E281E"/>
    <w:rsid w:val="2C5E4F7B"/>
    <w:rsid w:val="2C6132D0"/>
    <w:rsid w:val="2C6E34E3"/>
    <w:rsid w:val="2C703321"/>
    <w:rsid w:val="2C71355B"/>
    <w:rsid w:val="2C71451E"/>
    <w:rsid w:val="2C7C6EF9"/>
    <w:rsid w:val="2C806C38"/>
    <w:rsid w:val="2C867548"/>
    <w:rsid w:val="2C8D3232"/>
    <w:rsid w:val="2C904FCF"/>
    <w:rsid w:val="2C9C0907"/>
    <w:rsid w:val="2C9D411B"/>
    <w:rsid w:val="2CA15F91"/>
    <w:rsid w:val="2CA41915"/>
    <w:rsid w:val="2CA9512B"/>
    <w:rsid w:val="2CB85135"/>
    <w:rsid w:val="2CBF28E9"/>
    <w:rsid w:val="2CC2626E"/>
    <w:rsid w:val="2CCA57E2"/>
    <w:rsid w:val="2CCD5BD9"/>
    <w:rsid w:val="2CD072B1"/>
    <w:rsid w:val="2CE13EA1"/>
    <w:rsid w:val="2CF719A3"/>
    <w:rsid w:val="2D0214BD"/>
    <w:rsid w:val="2D100EEE"/>
    <w:rsid w:val="2D226373"/>
    <w:rsid w:val="2D2E4B5A"/>
    <w:rsid w:val="2D334FC5"/>
    <w:rsid w:val="2D351213"/>
    <w:rsid w:val="2D3D2F81"/>
    <w:rsid w:val="2D483425"/>
    <w:rsid w:val="2D4B57B5"/>
    <w:rsid w:val="2D4E24FD"/>
    <w:rsid w:val="2D4E7D1F"/>
    <w:rsid w:val="2D5A4F0A"/>
    <w:rsid w:val="2D5C7677"/>
    <w:rsid w:val="2D6F158C"/>
    <w:rsid w:val="2D79047A"/>
    <w:rsid w:val="2D7D215B"/>
    <w:rsid w:val="2D804221"/>
    <w:rsid w:val="2D8B6504"/>
    <w:rsid w:val="2D8E0A16"/>
    <w:rsid w:val="2D9E6239"/>
    <w:rsid w:val="2DA066CE"/>
    <w:rsid w:val="2DAE40FB"/>
    <w:rsid w:val="2DBA4E96"/>
    <w:rsid w:val="2DBB7249"/>
    <w:rsid w:val="2DBD3297"/>
    <w:rsid w:val="2DCB7564"/>
    <w:rsid w:val="2DCC44B0"/>
    <w:rsid w:val="2DCF0621"/>
    <w:rsid w:val="2DD9253B"/>
    <w:rsid w:val="2DDA74C5"/>
    <w:rsid w:val="2DDB1844"/>
    <w:rsid w:val="2DDD35FB"/>
    <w:rsid w:val="2DE53E8E"/>
    <w:rsid w:val="2DE92E42"/>
    <w:rsid w:val="2DF15AF7"/>
    <w:rsid w:val="2DF208F9"/>
    <w:rsid w:val="2DFD5B3D"/>
    <w:rsid w:val="2E104155"/>
    <w:rsid w:val="2E177523"/>
    <w:rsid w:val="2E1F377F"/>
    <w:rsid w:val="2E212338"/>
    <w:rsid w:val="2E2225E6"/>
    <w:rsid w:val="2E262F68"/>
    <w:rsid w:val="2E2A17F8"/>
    <w:rsid w:val="2E2A3CEB"/>
    <w:rsid w:val="2E2F3A03"/>
    <w:rsid w:val="2E346EE4"/>
    <w:rsid w:val="2E3A0924"/>
    <w:rsid w:val="2E4353DA"/>
    <w:rsid w:val="2E4D0569"/>
    <w:rsid w:val="2E4D23BD"/>
    <w:rsid w:val="2E510EE3"/>
    <w:rsid w:val="2E573B9D"/>
    <w:rsid w:val="2E612EFF"/>
    <w:rsid w:val="2E8D2E04"/>
    <w:rsid w:val="2E9319BA"/>
    <w:rsid w:val="2E97209E"/>
    <w:rsid w:val="2E9724C8"/>
    <w:rsid w:val="2E9E069E"/>
    <w:rsid w:val="2E9F4D71"/>
    <w:rsid w:val="2EA17D43"/>
    <w:rsid w:val="2EA42062"/>
    <w:rsid w:val="2EA569B3"/>
    <w:rsid w:val="2EAE029A"/>
    <w:rsid w:val="2EBE6E4B"/>
    <w:rsid w:val="2EC2135F"/>
    <w:rsid w:val="2EC843D7"/>
    <w:rsid w:val="2ED824C5"/>
    <w:rsid w:val="2EDA2369"/>
    <w:rsid w:val="2EE47D7E"/>
    <w:rsid w:val="2EE5631D"/>
    <w:rsid w:val="2EEC31D3"/>
    <w:rsid w:val="2EFA2775"/>
    <w:rsid w:val="2EFA5DF5"/>
    <w:rsid w:val="2F231681"/>
    <w:rsid w:val="2F2A77A5"/>
    <w:rsid w:val="2F382481"/>
    <w:rsid w:val="2F3C3D74"/>
    <w:rsid w:val="2F3F235E"/>
    <w:rsid w:val="2F414FC6"/>
    <w:rsid w:val="2F4403EB"/>
    <w:rsid w:val="2F440AB8"/>
    <w:rsid w:val="2F4630F3"/>
    <w:rsid w:val="2F470461"/>
    <w:rsid w:val="2F4B4214"/>
    <w:rsid w:val="2F4C658F"/>
    <w:rsid w:val="2F4E6FE9"/>
    <w:rsid w:val="2F5101C6"/>
    <w:rsid w:val="2F5A4274"/>
    <w:rsid w:val="2F5E7D7A"/>
    <w:rsid w:val="2F6A552A"/>
    <w:rsid w:val="2F6B5A62"/>
    <w:rsid w:val="2F6E4A10"/>
    <w:rsid w:val="2F764EFF"/>
    <w:rsid w:val="2F8A404B"/>
    <w:rsid w:val="2F8A7E74"/>
    <w:rsid w:val="2F903402"/>
    <w:rsid w:val="2F9A041F"/>
    <w:rsid w:val="2FAC10C5"/>
    <w:rsid w:val="2FC56E10"/>
    <w:rsid w:val="2FC853A0"/>
    <w:rsid w:val="2FD10A39"/>
    <w:rsid w:val="2FD611FB"/>
    <w:rsid w:val="2FD7612D"/>
    <w:rsid w:val="2FD9347D"/>
    <w:rsid w:val="2FE66D4B"/>
    <w:rsid w:val="2FEB0032"/>
    <w:rsid w:val="2FEF1DE9"/>
    <w:rsid w:val="2FF02B65"/>
    <w:rsid w:val="2FF4629D"/>
    <w:rsid w:val="2FFA4381"/>
    <w:rsid w:val="3025033B"/>
    <w:rsid w:val="30261ECC"/>
    <w:rsid w:val="30370912"/>
    <w:rsid w:val="303B3528"/>
    <w:rsid w:val="303C1C96"/>
    <w:rsid w:val="3047511C"/>
    <w:rsid w:val="30482335"/>
    <w:rsid w:val="30570F22"/>
    <w:rsid w:val="30577A03"/>
    <w:rsid w:val="305B7D97"/>
    <w:rsid w:val="3061776A"/>
    <w:rsid w:val="30667187"/>
    <w:rsid w:val="306B587D"/>
    <w:rsid w:val="306E1321"/>
    <w:rsid w:val="307170B4"/>
    <w:rsid w:val="30723988"/>
    <w:rsid w:val="3074506D"/>
    <w:rsid w:val="30790BBB"/>
    <w:rsid w:val="307E2473"/>
    <w:rsid w:val="308F3F6B"/>
    <w:rsid w:val="30917DEE"/>
    <w:rsid w:val="309C594A"/>
    <w:rsid w:val="309E1846"/>
    <w:rsid w:val="30A13EB8"/>
    <w:rsid w:val="30A80A3F"/>
    <w:rsid w:val="30AD0005"/>
    <w:rsid w:val="30B4225F"/>
    <w:rsid w:val="30C035AD"/>
    <w:rsid w:val="30C7072C"/>
    <w:rsid w:val="30CD2042"/>
    <w:rsid w:val="30CE5B94"/>
    <w:rsid w:val="30CF1B61"/>
    <w:rsid w:val="30E623A1"/>
    <w:rsid w:val="30E7460B"/>
    <w:rsid w:val="30E84E53"/>
    <w:rsid w:val="30EE4929"/>
    <w:rsid w:val="30F15B8B"/>
    <w:rsid w:val="30F52DC8"/>
    <w:rsid w:val="30F96E12"/>
    <w:rsid w:val="30FE400E"/>
    <w:rsid w:val="31074601"/>
    <w:rsid w:val="310C7290"/>
    <w:rsid w:val="310F1716"/>
    <w:rsid w:val="311201F9"/>
    <w:rsid w:val="31266E33"/>
    <w:rsid w:val="31327757"/>
    <w:rsid w:val="31336C57"/>
    <w:rsid w:val="31444EA7"/>
    <w:rsid w:val="3145235A"/>
    <w:rsid w:val="314D66E4"/>
    <w:rsid w:val="314F2D4B"/>
    <w:rsid w:val="314F50C1"/>
    <w:rsid w:val="3150148F"/>
    <w:rsid w:val="31577DCD"/>
    <w:rsid w:val="315D728B"/>
    <w:rsid w:val="31604329"/>
    <w:rsid w:val="31641D44"/>
    <w:rsid w:val="3167327A"/>
    <w:rsid w:val="316C225B"/>
    <w:rsid w:val="316F6698"/>
    <w:rsid w:val="31701A44"/>
    <w:rsid w:val="31713A9F"/>
    <w:rsid w:val="317604A9"/>
    <w:rsid w:val="317A7F92"/>
    <w:rsid w:val="317F6AAC"/>
    <w:rsid w:val="31814D0D"/>
    <w:rsid w:val="31843F85"/>
    <w:rsid w:val="31855669"/>
    <w:rsid w:val="31897407"/>
    <w:rsid w:val="318F6741"/>
    <w:rsid w:val="319861BF"/>
    <w:rsid w:val="31986408"/>
    <w:rsid w:val="319A0AD1"/>
    <w:rsid w:val="319C435A"/>
    <w:rsid w:val="319E316B"/>
    <w:rsid w:val="31A35DD7"/>
    <w:rsid w:val="31A37B90"/>
    <w:rsid w:val="31A60539"/>
    <w:rsid w:val="31A6135F"/>
    <w:rsid w:val="31BA57F4"/>
    <w:rsid w:val="31BD03C2"/>
    <w:rsid w:val="31D239A2"/>
    <w:rsid w:val="31D84EC7"/>
    <w:rsid w:val="31E3407C"/>
    <w:rsid w:val="31E57CF9"/>
    <w:rsid w:val="31ED5C9A"/>
    <w:rsid w:val="32052DFA"/>
    <w:rsid w:val="32192209"/>
    <w:rsid w:val="321E7875"/>
    <w:rsid w:val="322E5288"/>
    <w:rsid w:val="32310907"/>
    <w:rsid w:val="32335971"/>
    <w:rsid w:val="323C683D"/>
    <w:rsid w:val="32586AF4"/>
    <w:rsid w:val="325D4EC0"/>
    <w:rsid w:val="326567D4"/>
    <w:rsid w:val="326E6698"/>
    <w:rsid w:val="327F4478"/>
    <w:rsid w:val="327F4E98"/>
    <w:rsid w:val="328C5B25"/>
    <w:rsid w:val="32935037"/>
    <w:rsid w:val="32991B4E"/>
    <w:rsid w:val="32A34E05"/>
    <w:rsid w:val="32AB4E15"/>
    <w:rsid w:val="32AE3A99"/>
    <w:rsid w:val="32B47560"/>
    <w:rsid w:val="32C63824"/>
    <w:rsid w:val="32D04C14"/>
    <w:rsid w:val="32D168ED"/>
    <w:rsid w:val="32D32ED1"/>
    <w:rsid w:val="32D43677"/>
    <w:rsid w:val="32E35FCC"/>
    <w:rsid w:val="32E425FA"/>
    <w:rsid w:val="32F32B7F"/>
    <w:rsid w:val="32F42A93"/>
    <w:rsid w:val="32F44EE3"/>
    <w:rsid w:val="330A3095"/>
    <w:rsid w:val="33110E6E"/>
    <w:rsid w:val="33136AC0"/>
    <w:rsid w:val="331A41C2"/>
    <w:rsid w:val="332C04F3"/>
    <w:rsid w:val="333002F9"/>
    <w:rsid w:val="33496609"/>
    <w:rsid w:val="3351083C"/>
    <w:rsid w:val="335933B1"/>
    <w:rsid w:val="336445D1"/>
    <w:rsid w:val="33662867"/>
    <w:rsid w:val="336D4447"/>
    <w:rsid w:val="3372782E"/>
    <w:rsid w:val="33830A35"/>
    <w:rsid w:val="33871581"/>
    <w:rsid w:val="338C30DD"/>
    <w:rsid w:val="339B3686"/>
    <w:rsid w:val="33A75C1B"/>
    <w:rsid w:val="33B24C8D"/>
    <w:rsid w:val="33B32935"/>
    <w:rsid w:val="33C80F15"/>
    <w:rsid w:val="33CA3B75"/>
    <w:rsid w:val="33CA7727"/>
    <w:rsid w:val="33CD1BDE"/>
    <w:rsid w:val="33CF7AF5"/>
    <w:rsid w:val="33DA38AF"/>
    <w:rsid w:val="33E52535"/>
    <w:rsid w:val="33EC36AE"/>
    <w:rsid w:val="33FA5691"/>
    <w:rsid w:val="33FC7CE6"/>
    <w:rsid w:val="340975D2"/>
    <w:rsid w:val="340F06E5"/>
    <w:rsid w:val="3418113F"/>
    <w:rsid w:val="341C7FF4"/>
    <w:rsid w:val="34255D1D"/>
    <w:rsid w:val="342637A0"/>
    <w:rsid w:val="342F163D"/>
    <w:rsid w:val="343E49C1"/>
    <w:rsid w:val="343E7E92"/>
    <w:rsid w:val="34571A5C"/>
    <w:rsid w:val="345C5EC1"/>
    <w:rsid w:val="345F400A"/>
    <w:rsid w:val="346270E2"/>
    <w:rsid w:val="34654ED7"/>
    <w:rsid w:val="347D2C4C"/>
    <w:rsid w:val="348173C3"/>
    <w:rsid w:val="34865319"/>
    <w:rsid w:val="348B49D3"/>
    <w:rsid w:val="348E54F2"/>
    <w:rsid w:val="348F477F"/>
    <w:rsid w:val="34917C9F"/>
    <w:rsid w:val="349D129C"/>
    <w:rsid w:val="349F647A"/>
    <w:rsid w:val="34A841C8"/>
    <w:rsid w:val="34B11722"/>
    <w:rsid w:val="34B658F1"/>
    <w:rsid w:val="34B85358"/>
    <w:rsid w:val="34C055DC"/>
    <w:rsid w:val="34C56EC1"/>
    <w:rsid w:val="34C75F92"/>
    <w:rsid w:val="34C90D17"/>
    <w:rsid w:val="34CB22A7"/>
    <w:rsid w:val="34E07F2C"/>
    <w:rsid w:val="35001B30"/>
    <w:rsid w:val="350A5821"/>
    <w:rsid w:val="350D4F84"/>
    <w:rsid w:val="350F731B"/>
    <w:rsid w:val="3511498E"/>
    <w:rsid w:val="351C7D4B"/>
    <w:rsid w:val="352307F1"/>
    <w:rsid w:val="352A799D"/>
    <w:rsid w:val="352C7D40"/>
    <w:rsid w:val="35381A32"/>
    <w:rsid w:val="354F7ED3"/>
    <w:rsid w:val="35531D63"/>
    <w:rsid w:val="35536CE8"/>
    <w:rsid w:val="3560218F"/>
    <w:rsid w:val="35736E05"/>
    <w:rsid w:val="3584010E"/>
    <w:rsid w:val="358657BB"/>
    <w:rsid w:val="35895DF7"/>
    <w:rsid w:val="359568ED"/>
    <w:rsid w:val="35BE6B8C"/>
    <w:rsid w:val="35C44324"/>
    <w:rsid w:val="35C70C4B"/>
    <w:rsid w:val="35E10260"/>
    <w:rsid w:val="35E370F9"/>
    <w:rsid w:val="35E37A01"/>
    <w:rsid w:val="35EE74AD"/>
    <w:rsid w:val="35FA6A62"/>
    <w:rsid w:val="35FC5AC5"/>
    <w:rsid w:val="36124966"/>
    <w:rsid w:val="36137ECA"/>
    <w:rsid w:val="361700D1"/>
    <w:rsid w:val="361A1FB9"/>
    <w:rsid w:val="3621260F"/>
    <w:rsid w:val="36214773"/>
    <w:rsid w:val="362448BF"/>
    <w:rsid w:val="36274398"/>
    <w:rsid w:val="362C2AFC"/>
    <w:rsid w:val="36332687"/>
    <w:rsid w:val="3648593D"/>
    <w:rsid w:val="3648618C"/>
    <w:rsid w:val="364B1753"/>
    <w:rsid w:val="365671CC"/>
    <w:rsid w:val="365B75D2"/>
    <w:rsid w:val="3667154B"/>
    <w:rsid w:val="367E762D"/>
    <w:rsid w:val="36813F7F"/>
    <w:rsid w:val="368B7221"/>
    <w:rsid w:val="36A1727E"/>
    <w:rsid w:val="36A6368D"/>
    <w:rsid w:val="36AC0A38"/>
    <w:rsid w:val="36B736C6"/>
    <w:rsid w:val="36B85614"/>
    <w:rsid w:val="36B94AF5"/>
    <w:rsid w:val="36BC5527"/>
    <w:rsid w:val="36BE53B2"/>
    <w:rsid w:val="36C17C6A"/>
    <w:rsid w:val="36C70583"/>
    <w:rsid w:val="36C8632C"/>
    <w:rsid w:val="36D25801"/>
    <w:rsid w:val="36DA2684"/>
    <w:rsid w:val="36DB6B30"/>
    <w:rsid w:val="36DD5641"/>
    <w:rsid w:val="36DF5846"/>
    <w:rsid w:val="36F25B9D"/>
    <w:rsid w:val="36F30B83"/>
    <w:rsid w:val="36F66D7D"/>
    <w:rsid w:val="36F803CA"/>
    <w:rsid w:val="37047113"/>
    <w:rsid w:val="370F2E55"/>
    <w:rsid w:val="372B40C9"/>
    <w:rsid w:val="3731175B"/>
    <w:rsid w:val="3731512D"/>
    <w:rsid w:val="373558BD"/>
    <w:rsid w:val="37415C0A"/>
    <w:rsid w:val="374D5484"/>
    <w:rsid w:val="37550CAF"/>
    <w:rsid w:val="37587C07"/>
    <w:rsid w:val="37650EAD"/>
    <w:rsid w:val="37684744"/>
    <w:rsid w:val="376C28DC"/>
    <w:rsid w:val="37744DAC"/>
    <w:rsid w:val="377C1ABC"/>
    <w:rsid w:val="377F478A"/>
    <w:rsid w:val="377F5A1C"/>
    <w:rsid w:val="37801373"/>
    <w:rsid w:val="378D1F2B"/>
    <w:rsid w:val="3794108D"/>
    <w:rsid w:val="3794711D"/>
    <w:rsid w:val="37A1310D"/>
    <w:rsid w:val="37A37195"/>
    <w:rsid w:val="37A579A4"/>
    <w:rsid w:val="37B944DD"/>
    <w:rsid w:val="37BF3FE5"/>
    <w:rsid w:val="37C305E9"/>
    <w:rsid w:val="37D33B93"/>
    <w:rsid w:val="37D71605"/>
    <w:rsid w:val="37DF29B8"/>
    <w:rsid w:val="37E827EF"/>
    <w:rsid w:val="37EA7759"/>
    <w:rsid w:val="37EB7AA7"/>
    <w:rsid w:val="37EC239D"/>
    <w:rsid w:val="37F5514F"/>
    <w:rsid w:val="37FA4F27"/>
    <w:rsid w:val="37FF2315"/>
    <w:rsid w:val="380753D2"/>
    <w:rsid w:val="38106459"/>
    <w:rsid w:val="381179B6"/>
    <w:rsid w:val="38225D4B"/>
    <w:rsid w:val="3828097F"/>
    <w:rsid w:val="382A590F"/>
    <w:rsid w:val="382C498E"/>
    <w:rsid w:val="384E13FF"/>
    <w:rsid w:val="38531C75"/>
    <w:rsid w:val="38534C7C"/>
    <w:rsid w:val="385B38A6"/>
    <w:rsid w:val="38767145"/>
    <w:rsid w:val="387726C6"/>
    <w:rsid w:val="387A149C"/>
    <w:rsid w:val="388B699F"/>
    <w:rsid w:val="38965054"/>
    <w:rsid w:val="38987E3C"/>
    <w:rsid w:val="389A23D1"/>
    <w:rsid w:val="38A90108"/>
    <w:rsid w:val="38AA0E45"/>
    <w:rsid w:val="38AE4358"/>
    <w:rsid w:val="38B807EA"/>
    <w:rsid w:val="38BC29E8"/>
    <w:rsid w:val="38D274F8"/>
    <w:rsid w:val="38D53585"/>
    <w:rsid w:val="38D56916"/>
    <w:rsid w:val="38D701DD"/>
    <w:rsid w:val="38D76EDE"/>
    <w:rsid w:val="38D831E1"/>
    <w:rsid w:val="38D92BE6"/>
    <w:rsid w:val="38DC4588"/>
    <w:rsid w:val="38E856CA"/>
    <w:rsid w:val="38EA78F9"/>
    <w:rsid w:val="38EF2D47"/>
    <w:rsid w:val="38FB5B41"/>
    <w:rsid w:val="39020F49"/>
    <w:rsid w:val="390402B9"/>
    <w:rsid w:val="390522C4"/>
    <w:rsid w:val="390A7C55"/>
    <w:rsid w:val="390C6AB5"/>
    <w:rsid w:val="391754FB"/>
    <w:rsid w:val="392B1FC1"/>
    <w:rsid w:val="392E5A0A"/>
    <w:rsid w:val="393070BD"/>
    <w:rsid w:val="39350D42"/>
    <w:rsid w:val="39453BAC"/>
    <w:rsid w:val="394D39DB"/>
    <w:rsid w:val="394E5313"/>
    <w:rsid w:val="394F7054"/>
    <w:rsid w:val="396543D2"/>
    <w:rsid w:val="39722F57"/>
    <w:rsid w:val="39780736"/>
    <w:rsid w:val="3978669B"/>
    <w:rsid w:val="3980590B"/>
    <w:rsid w:val="398E1859"/>
    <w:rsid w:val="39901AC9"/>
    <w:rsid w:val="39990A7B"/>
    <w:rsid w:val="39A75B81"/>
    <w:rsid w:val="39AA1FEA"/>
    <w:rsid w:val="39AC7F54"/>
    <w:rsid w:val="39AE0330"/>
    <w:rsid w:val="39AE6D84"/>
    <w:rsid w:val="39BA49AD"/>
    <w:rsid w:val="39C03DE5"/>
    <w:rsid w:val="39C14363"/>
    <w:rsid w:val="39C650CD"/>
    <w:rsid w:val="39C97C91"/>
    <w:rsid w:val="39CA58A7"/>
    <w:rsid w:val="39D1432A"/>
    <w:rsid w:val="39D83456"/>
    <w:rsid w:val="39E34461"/>
    <w:rsid w:val="39E36337"/>
    <w:rsid w:val="39EA2A15"/>
    <w:rsid w:val="39EE08BE"/>
    <w:rsid w:val="39F36FF9"/>
    <w:rsid w:val="39F619AE"/>
    <w:rsid w:val="3A0730D1"/>
    <w:rsid w:val="3A0C22A9"/>
    <w:rsid w:val="3A14675C"/>
    <w:rsid w:val="3A1C1446"/>
    <w:rsid w:val="3A1C4447"/>
    <w:rsid w:val="3A26475F"/>
    <w:rsid w:val="3A2D30A3"/>
    <w:rsid w:val="3A3D3F97"/>
    <w:rsid w:val="3A521EC6"/>
    <w:rsid w:val="3A5C6E17"/>
    <w:rsid w:val="3A623C75"/>
    <w:rsid w:val="3A633962"/>
    <w:rsid w:val="3A695FD9"/>
    <w:rsid w:val="3A725603"/>
    <w:rsid w:val="3A7359D8"/>
    <w:rsid w:val="3A811B6A"/>
    <w:rsid w:val="3A870F1A"/>
    <w:rsid w:val="3A931987"/>
    <w:rsid w:val="3A9B588D"/>
    <w:rsid w:val="3AA01056"/>
    <w:rsid w:val="3AA53E12"/>
    <w:rsid w:val="3AAB51A4"/>
    <w:rsid w:val="3ABE0097"/>
    <w:rsid w:val="3AC01675"/>
    <w:rsid w:val="3AC36540"/>
    <w:rsid w:val="3AC650D7"/>
    <w:rsid w:val="3AC84B9F"/>
    <w:rsid w:val="3AC87DD6"/>
    <w:rsid w:val="3ACA7FCD"/>
    <w:rsid w:val="3ACF22C1"/>
    <w:rsid w:val="3AE07C38"/>
    <w:rsid w:val="3AE938DA"/>
    <w:rsid w:val="3B03622A"/>
    <w:rsid w:val="3B0F7D05"/>
    <w:rsid w:val="3B107531"/>
    <w:rsid w:val="3B13403C"/>
    <w:rsid w:val="3B144720"/>
    <w:rsid w:val="3B22408E"/>
    <w:rsid w:val="3B293BFF"/>
    <w:rsid w:val="3B2D382D"/>
    <w:rsid w:val="3B3979D2"/>
    <w:rsid w:val="3B3B14D5"/>
    <w:rsid w:val="3B473ACA"/>
    <w:rsid w:val="3B4D78C9"/>
    <w:rsid w:val="3B5A0133"/>
    <w:rsid w:val="3B5A5475"/>
    <w:rsid w:val="3B6A2873"/>
    <w:rsid w:val="3B6A659B"/>
    <w:rsid w:val="3B6F1DA6"/>
    <w:rsid w:val="3B7255A2"/>
    <w:rsid w:val="3B7C4A77"/>
    <w:rsid w:val="3B801D42"/>
    <w:rsid w:val="3B8308CD"/>
    <w:rsid w:val="3B8D5721"/>
    <w:rsid w:val="3B953432"/>
    <w:rsid w:val="3B961ACF"/>
    <w:rsid w:val="3B997007"/>
    <w:rsid w:val="3BA00257"/>
    <w:rsid w:val="3BA613F2"/>
    <w:rsid w:val="3BB12805"/>
    <w:rsid w:val="3BBD08D0"/>
    <w:rsid w:val="3BC06DF7"/>
    <w:rsid w:val="3BC52E4B"/>
    <w:rsid w:val="3BCD1034"/>
    <w:rsid w:val="3BD342D8"/>
    <w:rsid w:val="3BE927C8"/>
    <w:rsid w:val="3BF0781C"/>
    <w:rsid w:val="3C0E2A2D"/>
    <w:rsid w:val="3C1463C7"/>
    <w:rsid w:val="3C1E7B58"/>
    <w:rsid w:val="3C21651D"/>
    <w:rsid w:val="3C296DD3"/>
    <w:rsid w:val="3C2A7CED"/>
    <w:rsid w:val="3C2D5939"/>
    <w:rsid w:val="3C2E4252"/>
    <w:rsid w:val="3C302DAD"/>
    <w:rsid w:val="3C4256C0"/>
    <w:rsid w:val="3C4B44B2"/>
    <w:rsid w:val="3C507CD6"/>
    <w:rsid w:val="3C537F72"/>
    <w:rsid w:val="3C567FFA"/>
    <w:rsid w:val="3C5C1F3D"/>
    <w:rsid w:val="3C5F05FB"/>
    <w:rsid w:val="3C6254EE"/>
    <w:rsid w:val="3C657C71"/>
    <w:rsid w:val="3C6F29A1"/>
    <w:rsid w:val="3C780FF5"/>
    <w:rsid w:val="3C8015AD"/>
    <w:rsid w:val="3C8B7DC7"/>
    <w:rsid w:val="3C8C7DF0"/>
    <w:rsid w:val="3C8D2CCC"/>
    <w:rsid w:val="3C8E1701"/>
    <w:rsid w:val="3C9C7606"/>
    <w:rsid w:val="3C9F0ADE"/>
    <w:rsid w:val="3CA578C9"/>
    <w:rsid w:val="3CB03648"/>
    <w:rsid w:val="3CB6223D"/>
    <w:rsid w:val="3CB7685D"/>
    <w:rsid w:val="3CB86AC9"/>
    <w:rsid w:val="3CBC6D9C"/>
    <w:rsid w:val="3CC7541F"/>
    <w:rsid w:val="3CCE2605"/>
    <w:rsid w:val="3CCE622A"/>
    <w:rsid w:val="3CD20F57"/>
    <w:rsid w:val="3CDE54FC"/>
    <w:rsid w:val="3CE51713"/>
    <w:rsid w:val="3CE66B2B"/>
    <w:rsid w:val="3CE77279"/>
    <w:rsid w:val="3CF21BC5"/>
    <w:rsid w:val="3CF44C9E"/>
    <w:rsid w:val="3CFD2508"/>
    <w:rsid w:val="3CFF5314"/>
    <w:rsid w:val="3D0439F6"/>
    <w:rsid w:val="3D184818"/>
    <w:rsid w:val="3D1B1713"/>
    <w:rsid w:val="3D1C52FA"/>
    <w:rsid w:val="3D1C5FC0"/>
    <w:rsid w:val="3D27750C"/>
    <w:rsid w:val="3D287A27"/>
    <w:rsid w:val="3D2A4798"/>
    <w:rsid w:val="3D306B3C"/>
    <w:rsid w:val="3D340EEA"/>
    <w:rsid w:val="3D42217A"/>
    <w:rsid w:val="3D4647B3"/>
    <w:rsid w:val="3D4F0CE1"/>
    <w:rsid w:val="3D597BD2"/>
    <w:rsid w:val="3D666E3D"/>
    <w:rsid w:val="3D710620"/>
    <w:rsid w:val="3D7B457E"/>
    <w:rsid w:val="3D875ECA"/>
    <w:rsid w:val="3D8D3DC5"/>
    <w:rsid w:val="3D8F53DF"/>
    <w:rsid w:val="3D9430CE"/>
    <w:rsid w:val="3D99346C"/>
    <w:rsid w:val="3DA25CC2"/>
    <w:rsid w:val="3DA522E3"/>
    <w:rsid w:val="3DA57116"/>
    <w:rsid w:val="3DAB5471"/>
    <w:rsid w:val="3DBB10BC"/>
    <w:rsid w:val="3DBD7A12"/>
    <w:rsid w:val="3DC13D14"/>
    <w:rsid w:val="3DC562A6"/>
    <w:rsid w:val="3DC77C10"/>
    <w:rsid w:val="3DCE7C5B"/>
    <w:rsid w:val="3DD7386E"/>
    <w:rsid w:val="3DE50020"/>
    <w:rsid w:val="3DE80E52"/>
    <w:rsid w:val="3DF13BA2"/>
    <w:rsid w:val="3E05485A"/>
    <w:rsid w:val="3E074D32"/>
    <w:rsid w:val="3E1C66EA"/>
    <w:rsid w:val="3E1D206A"/>
    <w:rsid w:val="3E1F4BF7"/>
    <w:rsid w:val="3E281E2A"/>
    <w:rsid w:val="3E2D1DA2"/>
    <w:rsid w:val="3E2D244D"/>
    <w:rsid w:val="3E392E98"/>
    <w:rsid w:val="3E3B07DA"/>
    <w:rsid w:val="3E457610"/>
    <w:rsid w:val="3E46203E"/>
    <w:rsid w:val="3E465A6D"/>
    <w:rsid w:val="3E50786D"/>
    <w:rsid w:val="3E56288F"/>
    <w:rsid w:val="3E59377D"/>
    <w:rsid w:val="3E5B12A7"/>
    <w:rsid w:val="3E6131FA"/>
    <w:rsid w:val="3E6E588D"/>
    <w:rsid w:val="3E7802BA"/>
    <w:rsid w:val="3E7B7713"/>
    <w:rsid w:val="3E8C1BE4"/>
    <w:rsid w:val="3E913942"/>
    <w:rsid w:val="3E986BB2"/>
    <w:rsid w:val="3EA03482"/>
    <w:rsid w:val="3EAE52E8"/>
    <w:rsid w:val="3EB95779"/>
    <w:rsid w:val="3EC3387C"/>
    <w:rsid w:val="3EC654C5"/>
    <w:rsid w:val="3ECF45A8"/>
    <w:rsid w:val="3ED20A76"/>
    <w:rsid w:val="3ED67021"/>
    <w:rsid w:val="3EE27653"/>
    <w:rsid w:val="3EE76D9A"/>
    <w:rsid w:val="3EE81C15"/>
    <w:rsid w:val="3EEA37AB"/>
    <w:rsid w:val="3EF04C0F"/>
    <w:rsid w:val="3EF22395"/>
    <w:rsid w:val="3EF7532E"/>
    <w:rsid w:val="3F077648"/>
    <w:rsid w:val="3F100684"/>
    <w:rsid w:val="3F1457F0"/>
    <w:rsid w:val="3F152140"/>
    <w:rsid w:val="3F1C50C6"/>
    <w:rsid w:val="3F2C6E0E"/>
    <w:rsid w:val="3F2D18C3"/>
    <w:rsid w:val="3F2F3C80"/>
    <w:rsid w:val="3F486803"/>
    <w:rsid w:val="3F4E045F"/>
    <w:rsid w:val="3F5816BA"/>
    <w:rsid w:val="3F5F33A3"/>
    <w:rsid w:val="3F780DCB"/>
    <w:rsid w:val="3F934BC9"/>
    <w:rsid w:val="3F955449"/>
    <w:rsid w:val="3FA603AD"/>
    <w:rsid w:val="3FA94B1C"/>
    <w:rsid w:val="3FAD473C"/>
    <w:rsid w:val="3FB30964"/>
    <w:rsid w:val="3FB455CF"/>
    <w:rsid w:val="3FB6519F"/>
    <w:rsid w:val="3FC5790E"/>
    <w:rsid w:val="3FE167D9"/>
    <w:rsid w:val="3FE4333E"/>
    <w:rsid w:val="3FE56BF8"/>
    <w:rsid w:val="3FF77DF9"/>
    <w:rsid w:val="3FFC3934"/>
    <w:rsid w:val="40015173"/>
    <w:rsid w:val="4010764A"/>
    <w:rsid w:val="402722EE"/>
    <w:rsid w:val="402E650F"/>
    <w:rsid w:val="403B1ACD"/>
    <w:rsid w:val="4048121D"/>
    <w:rsid w:val="404F39EE"/>
    <w:rsid w:val="405462D2"/>
    <w:rsid w:val="405B1DB9"/>
    <w:rsid w:val="40605002"/>
    <w:rsid w:val="4061207F"/>
    <w:rsid w:val="40656F4D"/>
    <w:rsid w:val="4066176F"/>
    <w:rsid w:val="406864E3"/>
    <w:rsid w:val="407C2C86"/>
    <w:rsid w:val="40884C56"/>
    <w:rsid w:val="40903994"/>
    <w:rsid w:val="409F0988"/>
    <w:rsid w:val="40AA3F2F"/>
    <w:rsid w:val="40AD3EEA"/>
    <w:rsid w:val="40AF4677"/>
    <w:rsid w:val="40B0436B"/>
    <w:rsid w:val="40B23E1E"/>
    <w:rsid w:val="40B779B3"/>
    <w:rsid w:val="40C10379"/>
    <w:rsid w:val="40C13249"/>
    <w:rsid w:val="40CF1B0A"/>
    <w:rsid w:val="40D40110"/>
    <w:rsid w:val="40D955BE"/>
    <w:rsid w:val="40D97C49"/>
    <w:rsid w:val="40DD5CB7"/>
    <w:rsid w:val="410367A9"/>
    <w:rsid w:val="41090FBE"/>
    <w:rsid w:val="410F2F61"/>
    <w:rsid w:val="411E2CF0"/>
    <w:rsid w:val="41214127"/>
    <w:rsid w:val="4126574E"/>
    <w:rsid w:val="412950D4"/>
    <w:rsid w:val="412A3ED8"/>
    <w:rsid w:val="412B279B"/>
    <w:rsid w:val="412C5F95"/>
    <w:rsid w:val="41307C39"/>
    <w:rsid w:val="413F5075"/>
    <w:rsid w:val="414802FF"/>
    <w:rsid w:val="41513141"/>
    <w:rsid w:val="41556CAF"/>
    <w:rsid w:val="4166774E"/>
    <w:rsid w:val="416A70A2"/>
    <w:rsid w:val="416E33E7"/>
    <w:rsid w:val="417112F5"/>
    <w:rsid w:val="4178312C"/>
    <w:rsid w:val="4182779D"/>
    <w:rsid w:val="419077BB"/>
    <w:rsid w:val="419A2144"/>
    <w:rsid w:val="419A5DFF"/>
    <w:rsid w:val="41B33226"/>
    <w:rsid w:val="41B71E59"/>
    <w:rsid w:val="41B776AA"/>
    <w:rsid w:val="41B91162"/>
    <w:rsid w:val="41C50059"/>
    <w:rsid w:val="41D459C3"/>
    <w:rsid w:val="41D65E97"/>
    <w:rsid w:val="41DF4E3C"/>
    <w:rsid w:val="41E021F0"/>
    <w:rsid w:val="41ED58E0"/>
    <w:rsid w:val="41F80693"/>
    <w:rsid w:val="41FA0EA6"/>
    <w:rsid w:val="420B2503"/>
    <w:rsid w:val="421477C5"/>
    <w:rsid w:val="42184BC1"/>
    <w:rsid w:val="421A3EC7"/>
    <w:rsid w:val="42270327"/>
    <w:rsid w:val="42276B9A"/>
    <w:rsid w:val="422E3A3E"/>
    <w:rsid w:val="42343662"/>
    <w:rsid w:val="4235743D"/>
    <w:rsid w:val="423706AA"/>
    <w:rsid w:val="42377613"/>
    <w:rsid w:val="4239767B"/>
    <w:rsid w:val="423B3470"/>
    <w:rsid w:val="42413794"/>
    <w:rsid w:val="4249678B"/>
    <w:rsid w:val="42544461"/>
    <w:rsid w:val="4256555C"/>
    <w:rsid w:val="4258129C"/>
    <w:rsid w:val="427820D4"/>
    <w:rsid w:val="429A5322"/>
    <w:rsid w:val="429A6685"/>
    <w:rsid w:val="429D0063"/>
    <w:rsid w:val="42AC471E"/>
    <w:rsid w:val="42B14B14"/>
    <w:rsid w:val="42B15FC4"/>
    <w:rsid w:val="42B5273D"/>
    <w:rsid w:val="42CF4555"/>
    <w:rsid w:val="42D871B4"/>
    <w:rsid w:val="42DA5DFD"/>
    <w:rsid w:val="42E67B83"/>
    <w:rsid w:val="430D74C8"/>
    <w:rsid w:val="43146818"/>
    <w:rsid w:val="431B1986"/>
    <w:rsid w:val="431D1968"/>
    <w:rsid w:val="43261748"/>
    <w:rsid w:val="43297113"/>
    <w:rsid w:val="432B7533"/>
    <w:rsid w:val="433A5E9D"/>
    <w:rsid w:val="434377FF"/>
    <w:rsid w:val="434559ED"/>
    <w:rsid w:val="43497CCD"/>
    <w:rsid w:val="434F3836"/>
    <w:rsid w:val="43537153"/>
    <w:rsid w:val="435A3C0C"/>
    <w:rsid w:val="43667A7C"/>
    <w:rsid w:val="436D4C37"/>
    <w:rsid w:val="436E35F8"/>
    <w:rsid w:val="43772FA3"/>
    <w:rsid w:val="437E583A"/>
    <w:rsid w:val="438020F3"/>
    <w:rsid w:val="438F74FB"/>
    <w:rsid w:val="43937136"/>
    <w:rsid w:val="43993142"/>
    <w:rsid w:val="439B7F8B"/>
    <w:rsid w:val="439D75E7"/>
    <w:rsid w:val="43A10B41"/>
    <w:rsid w:val="43A87BF0"/>
    <w:rsid w:val="43A96D47"/>
    <w:rsid w:val="43AA52C2"/>
    <w:rsid w:val="43AD5EE9"/>
    <w:rsid w:val="43B87F62"/>
    <w:rsid w:val="43C12DE0"/>
    <w:rsid w:val="43C50198"/>
    <w:rsid w:val="43C565BB"/>
    <w:rsid w:val="43C97F4E"/>
    <w:rsid w:val="43E301F6"/>
    <w:rsid w:val="43E46C00"/>
    <w:rsid w:val="43E67C6F"/>
    <w:rsid w:val="43F14803"/>
    <w:rsid w:val="43F638F3"/>
    <w:rsid w:val="43FF5995"/>
    <w:rsid w:val="44013274"/>
    <w:rsid w:val="440B59D1"/>
    <w:rsid w:val="441F5B73"/>
    <w:rsid w:val="442B261A"/>
    <w:rsid w:val="4437498A"/>
    <w:rsid w:val="443A36AE"/>
    <w:rsid w:val="444249B7"/>
    <w:rsid w:val="444779C4"/>
    <w:rsid w:val="44510D26"/>
    <w:rsid w:val="44622B2E"/>
    <w:rsid w:val="44674BD1"/>
    <w:rsid w:val="44681A45"/>
    <w:rsid w:val="447023E0"/>
    <w:rsid w:val="447922CC"/>
    <w:rsid w:val="447A0C36"/>
    <w:rsid w:val="447A799E"/>
    <w:rsid w:val="44880904"/>
    <w:rsid w:val="4493670A"/>
    <w:rsid w:val="44995B11"/>
    <w:rsid w:val="449D22AF"/>
    <w:rsid w:val="449F7E0E"/>
    <w:rsid w:val="44A0419A"/>
    <w:rsid w:val="44B076CC"/>
    <w:rsid w:val="44B43BBC"/>
    <w:rsid w:val="44CB17D2"/>
    <w:rsid w:val="44D224F6"/>
    <w:rsid w:val="44D40D10"/>
    <w:rsid w:val="44D45788"/>
    <w:rsid w:val="44D46F52"/>
    <w:rsid w:val="44D51C34"/>
    <w:rsid w:val="44DC2290"/>
    <w:rsid w:val="44DC3134"/>
    <w:rsid w:val="44DE056E"/>
    <w:rsid w:val="44E53FB0"/>
    <w:rsid w:val="44E862B8"/>
    <w:rsid w:val="44EE2383"/>
    <w:rsid w:val="44F0480A"/>
    <w:rsid w:val="45041599"/>
    <w:rsid w:val="450F365D"/>
    <w:rsid w:val="45156ABC"/>
    <w:rsid w:val="451E602D"/>
    <w:rsid w:val="45214C5D"/>
    <w:rsid w:val="45214E1F"/>
    <w:rsid w:val="45272132"/>
    <w:rsid w:val="453A289D"/>
    <w:rsid w:val="453C7448"/>
    <w:rsid w:val="453E2803"/>
    <w:rsid w:val="454142D1"/>
    <w:rsid w:val="45414D1E"/>
    <w:rsid w:val="45526FF0"/>
    <w:rsid w:val="455375CC"/>
    <w:rsid w:val="45567D67"/>
    <w:rsid w:val="455C7FCA"/>
    <w:rsid w:val="456B390D"/>
    <w:rsid w:val="4572706B"/>
    <w:rsid w:val="458343A8"/>
    <w:rsid w:val="458C3BA1"/>
    <w:rsid w:val="45901F1F"/>
    <w:rsid w:val="45915747"/>
    <w:rsid w:val="459622F1"/>
    <w:rsid w:val="459A6144"/>
    <w:rsid w:val="459F403B"/>
    <w:rsid w:val="45A028DA"/>
    <w:rsid w:val="45AC2048"/>
    <w:rsid w:val="45AE338E"/>
    <w:rsid w:val="45AE4B7C"/>
    <w:rsid w:val="45B87D0B"/>
    <w:rsid w:val="45BC13B3"/>
    <w:rsid w:val="45BE292A"/>
    <w:rsid w:val="45BF5DA8"/>
    <w:rsid w:val="45C06B77"/>
    <w:rsid w:val="45D040EF"/>
    <w:rsid w:val="45D4066D"/>
    <w:rsid w:val="45D40C32"/>
    <w:rsid w:val="45D45EB1"/>
    <w:rsid w:val="45DA27A8"/>
    <w:rsid w:val="45DD5013"/>
    <w:rsid w:val="45E16D97"/>
    <w:rsid w:val="45E867E1"/>
    <w:rsid w:val="45E92AB3"/>
    <w:rsid w:val="45F45067"/>
    <w:rsid w:val="45F77781"/>
    <w:rsid w:val="4601326B"/>
    <w:rsid w:val="46024DD8"/>
    <w:rsid w:val="46096C14"/>
    <w:rsid w:val="460C41F8"/>
    <w:rsid w:val="46113BB1"/>
    <w:rsid w:val="46147A06"/>
    <w:rsid w:val="462B60D3"/>
    <w:rsid w:val="463470F5"/>
    <w:rsid w:val="463B57C2"/>
    <w:rsid w:val="463B7945"/>
    <w:rsid w:val="464151DC"/>
    <w:rsid w:val="46464FCD"/>
    <w:rsid w:val="46562C1B"/>
    <w:rsid w:val="4663489F"/>
    <w:rsid w:val="466729CB"/>
    <w:rsid w:val="46727896"/>
    <w:rsid w:val="46737CC0"/>
    <w:rsid w:val="468401B0"/>
    <w:rsid w:val="46870EBB"/>
    <w:rsid w:val="46953A35"/>
    <w:rsid w:val="469D231F"/>
    <w:rsid w:val="46AD7BCA"/>
    <w:rsid w:val="46B83653"/>
    <w:rsid w:val="46C141DF"/>
    <w:rsid w:val="46CD1236"/>
    <w:rsid w:val="46CF0686"/>
    <w:rsid w:val="46D040A0"/>
    <w:rsid w:val="46D05A8C"/>
    <w:rsid w:val="46D226E1"/>
    <w:rsid w:val="46D33102"/>
    <w:rsid w:val="46DA377B"/>
    <w:rsid w:val="46DE4170"/>
    <w:rsid w:val="46F22B1B"/>
    <w:rsid w:val="46F45BED"/>
    <w:rsid w:val="46F6335F"/>
    <w:rsid w:val="46F70486"/>
    <w:rsid w:val="470D1EF2"/>
    <w:rsid w:val="47107917"/>
    <w:rsid w:val="47120D4C"/>
    <w:rsid w:val="47185E31"/>
    <w:rsid w:val="471E567A"/>
    <w:rsid w:val="473245DC"/>
    <w:rsid w:val="47354310"/>
    <w:rsid w:val="473E1A4D"/>
    <w:rsid w:val="473F6220"/>
    <w:rsid w:val="474E1037"/>
    <w:rsid w:val="47526219"/>
    <w:rsid w:val="476B5BF5"/>
    <w:rsid w:val="476D6570"/>
    <w:rsid w:val="4777096A"/>
    <w:rsid w:val="477B7E75"/>
    <w:rsid w:val="478F4146"/>
    <w:rsid w:val="47981814"/>
    <w:rsid w:val="47984B5D"/>
    <w:rsid w:val="479D6316"/>
    <w:rsid w:val="47A04C10"/>
    <w:rsid w:val="47A46C40"/>
    <w:rsid w:val="47A65E82"/>
    <w:rsid w:val="47B5564C"/>
    <w:rsid w:val="47B6010B"/>
    <w:rsid w:val="47B74253"/>
    <w:rsid w:val="47BF0ED4"/>
    <w:rsid w:val="47C56911"/>
    <w:rsid w:val="47CF3B6A"/>
    <w:rsid w:val="47D12764"/>
    <w:rsid w:val="47DB12CA"/>
    <w:rsid w:val="47E033CA"/>
    <w:rsid w:val="47E2758B"/>
    <w:rsid w:val="47EB030E"/>
    <w:rsid w:val="47EB198B"/>
    <w:rsid w:val="47F23326"/>
    <w:rsid w:val="47F604D9"/>
    <w:rsid w:val="47FB34BC"/>
    <w:rsid w:val="47FF130C"/>
    <w:rsid w:val="48007D67"/>
    <w:rsid w:val="480963B1"/>
    <w:rsid w:val="48120C3F"/>
    <w:rsid w:val="48196B53"/>
    <w:rsid w:val="48252EFF"/>
    <w:rsid w:val="482717B1"/>
    <w:rsid w:val="482C1CD7"/>
    <w:rsid w:val="483B47D3"/>
    <w:rsid w:val="48491FCB"/>
    <w:rsid w:val="484A0F1B"/>
    <w:rsid w:val="484B5C86"/>
    <w:rsid w:val="485767CB"/>
    <w:rsid w:val="487074E3"/>
    <w:rsid w:val="487C0A49"/>
    <w:rsid w:val="48840DB3"/>
    <w:rsid w:val="4893620F"/>
    <w:rsid w:val="489B76CC"/>
    <w:rsid w:val="48A11FF4"/>
    <w:rsid w:val="48A47F8D"/>
    <w:rsid w:val="48A858C9"/>
    <w:rsid w:val="48A93E12"/>
    <w:rsid w:val="48E6692F"/>
    <w:rsid w:val="48EF03D2"/>
    <w:rsid w:val="48F340A5"/>
    <w:rsid w:val="49086972"/>
    <w:rsid w:val="490A3D9C"/>
    <w:rsid w:val="491119C8"/>
    <w:rsid w:val="491432F8"/>
    <w:rsid w:val="49144982"/>
    <w:rsid w:val="49147420"/>
    <w:rsid w:val="49152BF0"/>
    <w:rsid w:val="49165B22"/>
    <w:rsid w:val="491F1126"/>
    <w:rsid w:val="49202CB6"/>
    <w:rsid w:val="49284ACD"/>
    <w:rsid w:val="49290CFD"/>
    <w:rsid w:val="492F720E"/>
    <w:rsid w:val="49302D48"/>
    <w:rsid w:val="49334A83"/>
    <w:rsid w:val="494633CE"/>
    <w:rsid w:val="494D2FFB"/>
    <w:rsid w:val="49510D34"/>
    <w:rsid w:val="4952704C"/>
    <w:rsid w:val="495661B7"/>
    <w:rsid w:val="495864D5"/>
    <w:rsid w:val="4958696E"/>
    <w:rsid w:val="495C4C37"/>
    <w:rsid w:val="49617D52"/>
    <w:rsid w:val="49682334"/>
    <w:rsid w:val="498C2D66"/>
    <w:rsid w:val="499410CC"/>
    <w:rsid w:val="499575D5"/>
    <w:rsid w:val="49975FDF"/>
    <w:rsid w:val="49AF0859"/>
    <w:rsid w:val="49B04DB5"/>
    <w:rsid w:val="49B16590"/>
    <w:rsid w:val="49B5725A"/>
    <w:rsid w:val="49B9605A"/>
    <w:rsid w:val="49BA11DB"/>
    <w:rsid w:val="49C1464B"/>
    <w:rsid w:val="49CD1AF4"/>
    <w:rsid w:val="49D50FE0"/>
    <w:rsid w:val="49F53CAD"/>
    <w:rsid w:val="49FE6909"/>
    <w:rsid w:val="49FF45F0"/>
    <w:rsid w:val="4A017D5E"/>
    <w:rsid w:val="4A085CD8"/>
    <w:rsid w:val="4A0930A3"/>
    <w:rsid w:val="4A0E25BD"/>
    <w:rsid w:val="4A0E4137"/>
    <w:rsid w:val="4A11326A"/>
    <w:rsid w:val="4A147B3C"/>
    <w:rsid w:val="4A1E4778"/>
    <w:rsid w:val="4A1F206F"/>
    <w:rsid w:val="4A2B5797"/>
    <w:rsid w:val="4A2C6BBB"/>
    <w:rsid w:val="4A354489"/>
    <w:rsid w:val="4A474C0D"/>
    <w:rsid w:val="4A4B7D61"/>
    <w:rsid w:val="4A4D0B76"/>
    <w:rsid w:val="4A5542F8"/>
    <w:rsid w:val="4A5C4088"/>
    <w:rsid w:val="4A5F21A3"/>
    <w:rsid w:val="4A6101BD"/>
    <w:rsid w:val="4A620078"/>
    <w:rsid w:val="4A676E7A"/>
    <w:rsid w:val="4A782A83"/>
    <w:rsid w:val="4A7956EA"/>
    <w:rsid w:val="4A8A2608"/>
    <w:rsid w:val="4A9D2D29"/>
    <w:rsid w:val="4A9F71A0"/>
    <w:rsid w:val="4AA31309"/>
    <w:rsid w:val="4AA46108"/>
    <w:rsid w:val="4AAE54D2"/>
    <w:rsid w:val="4ABB32AA"/>
    <w:rsid w:val="4ACB5424"/>
    <w:rsid w:val="4ACC0299"/>
    <w:rsid w:val="4ACF0D53"/>
    <w:rsid w:val="4AD50A2A"/>
    <w:rsid w:val="4AE517C1"/>
    <w:rsid w:val="4AF225F5"/>
    <w:rsid w:val="4AF53EA9"/>
    <w:rsid w:val="4AF85A62"/>
    <w:rsid w:val="4B045A55"/>
    <w:rsid w:val="4B0C33C0"/>
    <w:rsid w:val="4B110339"/>
    <w:rsid w:val="4B12485C"/>
    <w:rsid w:val="4B1776EE"/>
    <w:rsid w:val="4B251593"/>
    <w:rsid w:val="4B263C56"/>
    <w:rsid w:val="4B2D3DF4"/>
    <w:rsid w:val="4B43102F"/>
    <w:rsid w:val="4B4327AB"/>
    <w:rsid w:val="4B4824C9"/>
    <w:rsid w:val="4B4A7515"/>
    <w:rsid w:val="4B4E2154"/>
    <w:rsid w:val="4B681C66"/>
    <w:rsid w:val="4B6C5BE7"/>
    <w:rsid w:val="4B727F80"/>
    <w:rsid w:val="4B7A4851"/>
    <w:rsid w:val="4B7B003E"/>
    <w:rsid w:val="4B843864"/>
    <w:rsid w:val="4B8E74DA"/>
    <w:rsid w:val="4B9318C8"/>
    <w:rsid w:val="4B935406"/>
    <w:rsid w:val="4B9E748B"/>
    <w:rsid w:val="4BA1334E"/>
    <w:rsid w:val="4BA96607"/>
    <w:rsid w:val="4BAE78B9"/>
    <w:rsid w:val="4BBF069A"/>
    <w:rsid w:val="4BC71AB1"/>
    <w:rsid w:val="4BC8764A"/>
    <w:rsid w:val="4BD413F9"/>
    <w:rsid w:val="4BD614AE"/>
    <w:rsid w:val="4BD67D68"/>
    <w:rsid w:val="4BD71E76"/>
    <w:rsid w:val="4BEE3601"/>
    <w:rsid w:val="4BFD218E"/>
    <w:rsid w:val="4BFD4241"/>
    <w:rsid w:val="4C0868DC"/>
    <w:rsid w:val="4C0B06F0"/>
    <w:rsid w:val="4C0B42D3"/>
    <w:rsid w:val="4C111889"/>
    <w:rsid w:val="4C134C98"/>
    <w:rsid w:val="4C153201"/>
    <w:rsid w:val="4C165F47"/>
    <w:rsid w:val="4C2F3F23"/>
    <w:rsid w:val="4C3A21F9"/>
    <w:rsid w:val="4C4C6FA5"/>
    <w:rsid w:val="4C4E6541"/>
    <w:rsid w:val="4C522940"/>
    <w:rsid w:val="4C5D58D4"/>
    <w:rsid w:val="4C7170C5"/>
    <w:rsid w:val="4C720CEE"/>
    <w:rsid w:val="4C7252EA"/>
    <w:rsid w:val="4C760BCB"/>
    <w:rsid w:val="4C7D0B6A"/>
    <w:rsid w:val="4C8D1346"/>
    <w:rsid w:val="4C8E7BC4"/>
    <w:rsid w:val="4C957DD1"/>
    <w:rsid w:val="4C995C39"/>
    <w:rsid w:val="4CA0408B"/>
    <w:rsid w:val="4CA34E88"/>
    <w:rsid w:val="4CA6331E"/>
    <w:rsid w:val="4CAC235A"/>
    <w:rsid w:val="4CAE0B43"/>
    <w:rsid w:val="4CB82790"/>
    <w:rsid w:val="4CB859BE"/>
    <w:rsid w:val="4CBB43D8"/>
    <w:rsid w:val="4CBB5F86"/>
    <w:rsid w:val="4CBE0738"/>
    <w:rsid w:val="4CBE238F"/>
    <w:rsid w:val="4CC527EC"/>
    <w:rsid w:val="4CC7153B"/>
    <w:rsid w:val="4CD47109"/>
    <w:rsid w:val="4CE70410"/>
    <w:rsid w:val="4CEB0D22"/>
    <w:rsid w:val="4CFD5352"/>
    <w:rsid w:val="4CFE6DCB"/>
    <w:rsid w:val="4D0C0AD3"/>
    <w:rsid w:val="4D143B7E"/>
    <w:rsid w:val="4D18225F"/>
    <w:rsid w:val="4D1F6087"/>
    <w:rsid w:val="4D287CFA"/>
    <w:rsid w:val="4D2D5781"/>
    <w:rsid w:val="4D33683A"/>
    <w:rsid w:val="4D375BAD"/>
    <w:rsid w:val="4D3D5D27"/>
    <w:rsid w:val="4D564028"/>
    <w:rsid w:val="4D584B02"/>
    <w:rsid w:val="4D587817"/>
    <w:rsid w:val="4D5C5110"/>
    <w:rsid w:val="4D614A5F"/>
    <w:rsid w:val="4D6320DE"/>
    <w:rsid w:val="4D6D4028"/>
    <w:rsid w:val="4D6E2FAA"/>
    <w:rsid w:val="4D754B38"/>
    <w:rsid w:val="4D7C3503"/>
    <w:rsid w:val="4D8477AA"/>
    <w:rsid w:val="4D85759A"/>
    <w:rsid w:val="4D9D41DD"/>
    <w:rsid w:val="4DA05B04"/>
    <w:rsid w:val="4DB92BD5"/>
    <w:rsid w:val="4DBE3B14"/>
    <w:rsid w:val="4DBF0DE5"/>
    <w:rsid w:val="4DC47D35"/>
    <w:rsid w:val="4DC63A14"/>
    <w:rsid w:val="4DC73385"/>
    <w:rsid w:val="4DD07C06"/>
    <w:rsid w:val="4DD44F7C"/>
    <w:rsid w:val="4DE026FC"/>
    <w:rsid w:val="4DE80AE4"/>
    <w:rsid w:val="4DE82ECA"/>
    <w:rsid w:val="4DE970BB"/>
    <w:rsid w:val="4DED4FAA"/>
    <w:rsid w:val="4DF67719"/>
    <w:rsid w:val="4DF80890"/>
    <w:rsid w:val="4DFC582F"/>
    <w:rsid w:val="4E0118AD"/>
    <w:rsid w:val="4E020CC9"/>
    <w:rsid w:val="4E0C258C"/>
    <w:rsid w:val="4E1424D2"/>
    <w:rsid w:val="4E165349"/>
    <w:rsid w:val="4E1D2672"/>
    <w:rsid w:val="4E2166A3"/>
    <w:rsid w:val="4E240D7B"/>
    <w:rsid w:val="4E2A0A20"/>
    <w:rsid w:val="4E2B6F70"/>
    <w:rsid w:val="4E311356"/>
    <w:rsid w:val="4E3211F4"/>
    <w:rsid w:val="4E344F9D"/>
    <w:rsid w:val="4E3848D4"/>
    <w:rsid w:val="4E410886"/>
    <w:rsid w:val="4E4745C0"/>
    <w:rsid w:val="4E4D0C8E"/>
    <w:rsid w:val="4E682855"/>
    <w:rsid w:val="4E7406B8"/>
    <w:rsid w:val="4E7546C5"/>
    <w:rsid w:val="4E755430"/>
    <w:rsid w:val="4E8D5EDB"/>
    <w:rsid w:val="4E967BD0"/>
    <w:rsid w:val="4E996AC8"/>
    <w:rsid w:val="4E9E5988"/>
    <w:rsid w:val="4EAB120B"/>
    <w:rsid w:val="4EAB7D86"/>
    <w:rsid w:val="4EAE365C"/>
    <w:rsid w:val="4EB430BF"/>
    <w:rsid w:val="4EB850F3"/>
    <w:rsid w:val="4ECB6374"/>
    <w:rsid w:val="4ED3437F"/>
    <w:rsid w:val="4ED45BD9"/>
    <w:rsid w:val="4ED541CF"/>
    <w:rsid w:val="4EE83167"/>
    <w:rsid w:val="4EEF6457"/>
    <w:rsid w:val="4EF212E1"/>
    <w:rsid w:val="4EF53193"/>
    <w:rsid w:val="4F025F22"/>
    <w:rsid w:val="4F051591"/>
    <w:rsid w:val="4F0834CD"/>
    <w:rsid w:val="4F093C01"/>
    <w:rsid w:val="4F0E0B10"/>
    <w:rsid w:val="4F1F405F"/>
    <w:rsid w:val="4F39192D"/>
    <w:rsid w:val="4F4224E4"/>
    <w:rsid w:val="4F4F180C"/>
    <w:rsid w:val="4F51723E"/>
    <w:rsid w:val="4F590AC5"/>
    <w:rsid w:val="4F645524"/>
    <w:rsid w:val="4F657603"/>
    <w:rsid w:val="4F69466F"/>
    <w:rsid w:val="4F7645E4"/>
    <w:rsid w:val="4F787B83"/>
    <w:rsid w:val="4F812B15"/>
    <w:rsid w:val="4F992107"/>
    <w:rsid w:val="4FAF37F3"/>
    <w:rsid w:val="4FB52DBD"/>
    <w:rsid w:val="4FB87AB1"/>
    <w:rsid w:val="4FBB1EE8"/>
    <w:rsid w:val="4FBB305D"/>
    <w:rsid w:val="4FBF291F"/>
    <w:rsid w:val="4FC5467C"/>
    <w:rsid w:val="4FCB4AF9"/>
    <w:rsid w:val="4FCF51DE"/>
    <w:rsid w:val="4FD561AE"/>
    <w:rsid w:val="4FE15106"/>
    <w:rsid w:val="4FEA31D4"/>
    <w:rsid w:val="4FF140F5"/>
    <w:rsid w:val="4FF927C0"/>
    <w:rsid w:val="4FFC26F4"/>
    <w:rsid w:val="50097822"/>
    <w:rsid w:val="502D695B"/>
    <w:rsid w:val="50373BB7"/>
    <w:rsid w:val="50377FBA"/>
    <w:rsid w:val="50501FC8"/>
    <w:rsid w:val="50543D51"/>
    <w:rsid w:val="50543E9C"/>
    <w:rsid w:val="505D79A8"/>
    <w:rsid w:val="505E5762"/>
    <w:rsid w:val="506078BE"/>
    <w:rsid w:val="506E0B59"/>
    <w:rsid w:val="50702E64"/>
    <w:rsid w:val="507733B4"/>
    <w:rsid w:val="507A7DE8"/>
    <w:rsid w:val="507D73D3"/>
    <w:rsid w:val="50832E31"/>
    <w:rsid w:val="508B21B1"/>
    <w:rsid w:val="508D7571"/>
    <w:rsid w:val="50977B08"/>
    <w:rsid w:val="50AC18B7"/>
    <w:rsid w:val="50AD24D6"/>
    <w:rsid w:val="50BD70DA"/>
    <w:rsid w:val="50BF15D1"/>
    <w:rsid w:val="50C10724"/>
    <w:rsid w:val="50D169FD"/>
    <w:rsid w:val="50D60BFD"/>
    <w:rsid w:val="50E046AD"/>
    <w:rsid w:val="50EC2590"/>
    <w:rsid w:val="50EC6330"/>
    <w:rsid w:val="50EF0A83"/>
    <w:rsid w:val="50FE7E43"/>
    <w:rsid w:val="511B3005"/>
    <w:rsid w:val="511D7300"/>
    <w:rsid w:val="5129388C"/>
    <w:rsid w:val="5138243B"/>
    <w:rsid w:val="513A5542"/>
    <w:rsid w:val="513B2746"/>
    <w:rsid w:val="513D0FC2"/>
    <w:rsid w:val="513D153C"/>
    <w:rsid w:val="514004F6"/>
    <w:rsid w:val="51471690"/>
    <w:rsid w:val="514D0DD3"/>
    <w:rsid w:val="514F46F4"/>
    <w:rsid w:val="516768C5"/>
    <w:rsid w:val="5171062E"/>
    <w:rsid w:val="51736636"/>
    <w:rsid w:val="51822786"/>
    <w:rsid w:val="518446BA"/>
    <w:rsid w:val="518A5087"/>
    <w:rsid w:val="518C6A23"/>
    <w:rsid w:val="518D0C58"/>
    <w:rsid w:val="518D57FF"/>
    <w:rsid w:val="51973D0F"/>
    <w:rsid w:val="5197691F"/>
    <w:rsid w:val="51A07577"/>
    <w:rsid w:val="51AB171E"/>
    <w:rsid w:val="51AD643D"/>
    <w:rsid w:val="51B03476"/>
    <w:rsid w:val="51B43EEA"/>
    <w:rsid w:val="51B745AB"/>
    <w:rsid w:val="51B92CB0"/>
    <w:rsid w:val="51C111BE"/>
    <w:rsid w:val="51C734D4"/>
    <w:rsid w:val="51CF7C2E"/>
    <w:rsid w:val="51D02541"/>
    <w:rsid w:val="51DC47F8"/>
    <w:rsid w:val="51DD0CEB"/>
    <w:rsid w:val="51E71ACB"/>
    <w:rsid w:val="51E80836"/>
    <w:rsid w:val="51EC7919"/>
    <w:rsid w:val="51ED543B"/>
    <w:rsid w:val="51EE7565"/>
    <w:rsid w:val="51F175CA"/>
    <w:rsid w:val="51F913D3"/>
    <w:rsid w:val="52010F1D"/>
    <w:rsid w:val="52022CCF"/>
    <w:rsid w:val="520253E4"/>
    <w:rsid w:val="52030FCE"/>
    <w:rsid w:val="5203685E"/>
    <w:rsid w:val="520C6C93"/>
    <w:rsid w:val="52106EDD"/>
    <w:rsid w:val="52175A80"/>
    <w:rsid w:val="521E3C32"/>
    <w:rsid w:val="52224B75"/>
    <w:rsid w:val="52376B28"/>
    <w:rsid w:val="523B423B"/>
    <w:rsid w:val="5240268C"/>
    <w:rsid w:val="52483C1A"/>
    <w:rsid w:val="52547F13"/>
    <w:rsid w:val="525819E4"/>
    <w:rsid w:val="525B6EA5"/>
    <w:rsid w:val="52861FB9"/>
    <w:rsid w:val="528631D0"/>
    <w:rsid w:val="528C0E9B"/>
    <w:rsid w:val="528E10B0"/>
    <w:rsid w:val="528F41AD"/>
    <w:rsid w:val="529F1E84"/>
    <w:rsid w:val="529F2614"/>
    <w:rsid w:val="52AB0D39"/>
    <w:rsid w:val="52AD4816"/>
    <w:rsid w:val="52B12BC1"/>
    <w:rsid w:val="52B3259B"/>
    <w:rsid w:val="52B52A19"/>
    <w:rsid w:val="52BE31DB"/>
    <w:rsid w:val="52BE367F"/>
    <w:rsid w:val="52C57442"/>
    <w:rsid w:val="52C83138"/>
    <w:rsid w:val="52CD04BF"/>
    <w:rsid w:val="52D14427"/>
    <w:rsid w:val="52D47182"/>
    <w:rsid w:val="52D6580A"/>
    <w:rsid w:val="52DB67B6"/>
    <w:rsid w:val="52DB74BB"/>
    <w:rsid w:val="52E009F0"/>
    <w:rsid w:val="52EF31E7"/>
    <w:rsid w:val="52EF723F"/>
    <w:rsid w:val="52FD48D0"/>
    <w:rsid w:val="53030266"/>
    <w:rsid w:val="530363FB"/>
    <w:rsid w:val="53170A58"/>
    <w:rsid w:val="5325096E"/>
    <w:rsid w:val="5327262E"/>
    <w:rsid w:val="53272E5B"/>
    <w:rsid w:val="53374F77"/>
    <w:rsid w:val="53435884"/>
    <w:rsid w:val="534A70F2"/>
    <w:rsid w:val="53597F54"/>
    <w:rsid w:val="537805B8"/>
    <w:rsid w:val="537F4E3F"/>
    <w:rsid w:val="53846E91"/>
    <w:rsid w:val="5394304D"/>
    <w:rsid w:val="539B74B5"/>
    <w:rsid w:val="539C479B"/>
    <w:rsid w:val="539E23DA"/>
    <w:rsid w:val="53A142F0"/>
    <w:rsid w:val="53A14533"/>
    <w:rsid w:val="53A745C8"/>
    <w:rsid w:val="53AB059B"/>
    <w:rsid w:val="53AE31DB"/>
    <w:rsid w:val="53AF114A"/>
    <w:rsid w:val="53C233E3"/>
    <w:rsid w:val="53CC3A94"/>
    <w:rsid w:val="53D114D1"/>
    <w:rsid w:val="53D40FDB"/>
    <w:rsid w:val="53D828FA"/>
    <w:rsid w:val="53DD3392"/>
    <w:rsid w:val="53E22F87"/>
    <w:rsid w:val="53EC0500"/>
    <w:rsid w:val="53F1535C"/>
    <w:rsid w:val="541203D2"/>
    <w:rsid w:val="5418032A"/>
    <w:rsid w:val="541B36F4"/>
    <w:rsid w:val="54212956"/>
    <w:rsid w:val="54313707"/>
    <w:rsid w:val="5432734F"/>
    <w:rsid w:val="5433077B"/>
    <w:rsid w:val="5435388B"/>
    <w:rsid w:val="54451D4E"/>
    <w:rsid w:val="54505CE1"/>
    <w:rsid w:val="545E26A4"/>
    <w:rsid w:val="54604B4C"/>
    <w:rsid w:val="54623A6E"/>
    <w:rsid w:val="54657E39"/>
    <w:rsid w:val="54696125"/>
    <w:rsid w:val="546A0CD6"/>
    <w:rsid w:val="546C6509"/>
    <w:rsid w:val="546D4A9D"/>
    <w:rsid w:val="54701325"/>
    <w:rsid w:val="54763F6A"/>
    <w:rsid w:val="54766500"/>
    <w:rsid w:val="54785698"/>
    <w:rsid w:val="547B2EF8"/>
    <w:rsid w:val="547D3173"/>
    <w:rsid w:val="547F23FA"/>
    <w:rsid w:val="548F4ED4"/>
    <w:rsid w:val="54913BDB"/>
    <w:rsid w:val="549B171F"/>
    <w:rsid w:val="54A53CC1"/>
    <w:rsid w:val="54A65B4B"/>
    <w:rsid w:val="54AC1BA8"/>
    <w:rsid w:val="54B8429B"/>
    <w:rsid w:val="54CA6EA8"/>
    <w:rsid w:val="54CC6F72"/>
    <w:rsid w:val="54D930FD"/>
    <w:rsid w:val="54DF5E81"/>
    <w:rsid w:val="54E21483"/>
    <w:rsid w:val="54E34CFD"/>
    <w:rsid w:val="54EB6D3C"/>
    <w:rsid w:val="54F15F8C"/>
    <w:rsid w:val="54F25872"/>
    <w:rsid w:val="54F274A3"/>
    <w:rsid w:val="54FC7C79"/>
    <w:rsid w:val="550007F9"/>
    <w:rsid w:val="55075FA4"/>
    <w:rsid w:val="55086443"/>
    <w:rsid w:val="551B445B"/>
    <w:rsid w:val="551C2FB4"/>
    <w:rsid w:val="551E196D"/>
    <w:rsid w:val="552F7479"/>
    <w:rsid w:val="55435C0A"/>
    <w:rsid w:val="55436C20"/>
    <w:rsid w:val="55452D9A"/>
    <w:rsid w:val="554A2728"/>
    <w:rsid w:val="554B7F4E"/>
    <w:rsid w:val="554C4DD2"/>
    <w:rsid w:val="554D32A9"/>
    <w:rsid w:val="554E2D73"/>
    <w:rsid w:val="554E5BA8"/>
    <w:rsid w:val="55526B2C"/>
    <w:rsid w:val="55536C26"/>
    <w:rsid w:val="557822AF"/>
    <w:rsid w:val="55860413"/>
    <w:rsid w:val="558852DD"/>
    <w:rsid w:val="558A42E2"/>
    <w:rsid w:val="559A47F3"/>
    <w:rsid w:val="559E5BA4"/>
    <w:rsid w:val="55A81885"/>
    <w:rsid w:val="55A916AF"/>
    <w:rsid w:val="55AB74CC"/>
    <w:rsid w:val="55AF3306"/>
    <w:rsid w:val="55B769F8"/>
    <w:rsid w:val="55C73022"/>
    <w:rsid w:val="55C9641E"/>
    <w:rsid w:val="55D54A79"/>
    <w:rsid w:val="55EC2329"/>
    <w:rsid w:val="55F153E4"/>
    <w:rsid w:val="5601534D"/>
    <w:rsid w:val="56037E0F"/>
    <w:rsid w:val="56043EE9"/>
    <w:rsid w:val="560C1B75"/>
    <w:rsid w:val="560E77EF"/>
    <w:rsid w:val="56135620"/>
    <w:rsid w:val="561532B4"/>
    <w:rsid w:val="56262A9D"/>
    <w:rsid w:val="562F3230"/>
    <w:rsid w:val="563C0B8B"/>
    <w:rsid w:val="564209E4"/>
    <w:rsid w:val="564232E4"/>
    <w:rsid w:val="56440901"/>
    <w:rsid w:val="564D2CDF"/>
    <w:rsid w:val="564F44A1"/>
    <w:rsid w:val="56512ACC"/>
    <w:rsid w:val="565548F7"/>
    <w:rsid w:val="5657174D"/>
    <w:rsid w:val="56576AEA"/>
    <w:rsid w:val="56594F75"/>
    <w:rsid w:val="566C6C85"/>
    <w:rsid w:val="56726D65"/>
    <w:rsid w:val="56735F8C"/>
    <w:rsid w:val="568741AA"/>
    <w:rsid w:val="568B7ADE"/>
    <w:rsid w:val="569238A8"/>
    <w:rsid w:val="569701AC"/>
    <w:rsid w:val="56A03946"/>
    <w:rsid w:val="56A7121B"/>
    <w:rsid w:val="56AF440D"/>
    <w:rsid w:val="56B31825"/>
    <w:rsid w:val="56C93E9B"/>
    <w:rsid w:val="56D14050"/>
    <w:rsid w:val="56D80CF1"/>
    <w:rsid w:val="56DD4914"/>
    <w:rsid w:val="56ED05AB"/>
    <w:rsid w:val="56F07FEE"/>
    <w:rsid w:val="56F23038"/>
    <w:rsid w:val="56F34F3A"/>
    <w:rsid w:val="56F41267"/>
    <w:rsid w:val="56F616F5"/>
    <w:rsid w:val="56FC360F"/>
    <w:rsid w:val="571939F0"/>
    <w:rsid w:val="572E4668"/>
    <w:rsid w:val="5740067E"/>
    <w:rsid w:val="57452DAD"/>
    <w:rsid w:val="574F5945"/>
    <w:rsid w:val="57645827"/>
    <w:rsid w:val="5765390D"/>
    <w:rsid w:val="576A3E8A"/>
    <w:rsid w:val="576F03E3"/>
    <w:rsid w:val="577A719B"/>
    <w:rsid w:val="579B76DF"/>
    <w:rsid w:val="57A03838"/>
    <w:rsid w:val="57A152F6"/>
    <w:rsid w:val="57A3151E"/>
    <w:rsid w:val="57AC14E6"/>
    <w:rsid w:val="57B152CF"/>
    <w:rsid w:val="57B22C1E"/>
    <w:rsid w:val="57C55EA2"/>
    <w:rsid w:val="57C702DE"/>
    <w:rsid w:val="57C971D0"/>
    <w:rsid w:val="57D107B1"/>
    <w:rsid w:val="57D40681"/>
    <w:rsid w:val="57D650AA"/>
    <w:rsid w:val="57DB3EA0"/>
    <w:rsid w:val="57E138B4"/>
    <w:rsid w:val="57E50089"/>
    <w:rsid w:val="57E506AD"/>
    <w:rsid w:val="57EC1FC5"/>
    <w:rsid w:val="57ED0B05"/>
    <w:rsid w:val="57F308B6"/>
    <w:rsid w:val="57F422FB"/>
    <w:rsid w:val="57F913BC"/>
    <w:rsid w:val="57FE2585"/>
    <w:rsid w:val="58026831"/>
    <w:rsid w:val="58044BFF"/>
    <w:rsid w:val="58073DF4"/>
    <w:rsid w:val="580A7835"/>
    <w:rsid w:val="580E29EB"/>
    <w:rsid w:val="581710E7"/>
    <w:rsid w:val="581B303A"/>
    <w:rsid w:val="58253084"/>
    <w:rsid w:val="583130F7"/>
    <w:rsid w:val="58323E49"/>
    <w:rsid w:val="584947DD"/>
    <w:rsid w:val="585354FC"/>
    <w:rsid w:val="585C3814"/>
    <w:rsid w:val="585D079F"/>
    <w:rsid w:val="58714E38"/>
    <w:rsid w:val="587B3CC5"/>
    <w:rsid w:val="587E2057"/>
    <w:rsid w:val="58861757"/>
    <w:rsid w:val="588D2EA4"/>
    <w:rsid w:val="58960B83"/>
    <w:rsid w:val="58A31419"/>
    <w:rsid w:val="58B32340"/>
    <w:rsid w:val="58BE4469"/>
    <w:rsid w:val="58C14F76"/>
    <w:rsid w:val="58C37666"/>
    <w:rsid w:val="58CE058F"/>
    <w:rsid w:val="58D43DAD"/>
    <w:rsid w:val="58E13638"/>
    <w:rsid w:val="58E828F6"/>
    <w:rsid w:val="58F1021D"/>
    <w:rsid w:val="58F80808"/>
    <w:rsid w:val="58FE178C"/>
    <w:rsid w:val="58FF1CF8"/>
    <w:rsid w:val="59035802"/>
    <w:rsid w:val="5920604F"/>
    <w:rsid w:val="592A55B2"/>
    <w:rsid w:val="59322C3F"/>
    <w:rsid w:val="593C5743"/>
    <w:rsid w:val="5942131E"/>
    <w:rsid w:val="5942609C"/>
    <w:rsid w:val="5945167A"/>
    <w:rsid w:val="59552430"/>
    <w:rsid w:val="595B13F8"/>
    <w:rsid w:val="595E475B"/>
    <w:rsid w:val="59612222"/>
    <w:rsid w:val="59630F92"/>
    <w:rsid w:val="59655C0E"/>
    <w:rsid w:val="59667F96"/>
    <w:rsid w:val="59684C5D"/>
    <w:rsid w:val="596B67D9"/>
    <w:rsid w:val="59732B8B"/>
    <w:rsid w:val="59845D99"/>
    <w:rsid w:val="598A1AB6"/>
    <w:rsid w:val="598F2892"/>
    <w:rsid w:val="59912989"/>
    <w:rsid w:val="59981230"/>
    <w:rsid w:val="599867DE"/>
    <w:rsid w:val="59A06FAE"/>
    <w:rsid w:val="59AB41FC"/>
    <w:rsid w:val="59AD432B"/>
    <w:rsid w:val="59CE0ADE"/>
    <w:rsid w:val="59D15647"/>
    <w:rsid w:val="59D161A5"/>
    <w:rsid w:val="59D33CC4"/>
    <w:rsid w:val="59DA398A"/>
    <w:rsid w:val="59E17446"/>
    <w:rsid w:val="59E42770"/>
    <w:rsid w:val="59E6117B"/>
    <w:rsid w:val="59FA0EDA"/>
    <w:rsid w:val="5A085EEF"/>
    <w:rsid w:val="5A1D0CCF"/>
    <w:rsid w:val="5A1D4539"/>
    <w:rsid w:val="5A2458B2"/>
    <w:rsid w:val="5A2C73C4"/>
    <w:rsid w:val="5A35245E"/>
    <w:rsid w:val="5A38552E"/>
    <w:rsid w:val="5A3957D5"/>
    <w:rsid w:val="5A496D00"/>
    <w:rsid w:val="5A4B1BD5"/>
    <w:rsid w:val="5A5F54A5"/>
    <w:rsid w:val="5A62428E"/>
    <w:rsid w:val="5A654918"/>
    <w:rsid w:val="5A6865D2"/>
    <w:rsid w:val="5A6911A9"/>
    <w:rsid w:val="5A75795D"/>
    <w:rsid w:val="5A8E40F0"/>
    <w:rsid w:val="5A9048C9"/>
    <w:rsid w:val="5A936DAF"/>
    <w:rsid w:val="5AA96265"/>
    <w:rsid w:val="5AB83780"/>
    <w:rsid w:val="5ABA3050"/>
    <w:rsid w:val="5ABE2007"/>
    <w:rsid w:val="5ABE5D64"/>
    <w:rsid w:val="5AD8123F"/>
    <w:rsid w:val="5AEA2453"/>
    <w:rsid w:val="5AF06096"/>
    <w:rsid w:val="5AF52310"/>
    <w:rsid w:val="5AFB5FFB"/>
    <w:rsid w:val="5AFC4EBC"/>
    <w:rsid w:val="5B1131A7"/>
    <w:rsid w:val="5B152453"/>
    <w:rsid w:val="5B1F7A88"/>
    <w:rsid w:val="5B2234BC"/>
    <w:rsid w:val="5B234522"/>
    <w:rsid w:val="5B270C1F"/>
    <w:rsid w:val="5B286F7D"/>
    <w:rsid w:val="5B421E86"/>
    <w:rsid w:val="5B595E19"/>
    <w:rsid w:val="5B6B44EA"/>
    <w:rsid w:val="5B6C5FD5"/>
    <w:rsid w:val="5B737982"/>
    <w:rsid w:val="5B7C5B4E"/>
    <w:rsid w:val="5B825496"/>
    <w:rsid w:val="5B8E0DD0"/>
    <w:rsid w:val="5B8F704C"/>
    <w:rsid w:val="5B960030"/>
    <w:rsid w:val="5BA24006"/>
    <w:rsid w:val="5BB3328E"/>
    <w:rsid w:val="5BC54C32"/>
    <w:rsid w:val="5BC861A2"/>
    <w:rsid w:val="5BCC22FE"/>
    <w:rsid w:val="5BCD7257"/>
    <w:rsid w:val="5BCE1F96"/>
    <w:rsid w:val="5BD744F7"/>
    <w:rsid w:val="5BDC35C2"/>
    <w:rsid w:val="5BDE2D67"/>
    <w:rsid w:val="5BE27D05"/>
    <w:rsid w:val="5BF11753"/>
    <w:rsid w:val="5BF22C45"/>
    <w:rsid w:val="5BF476C5"/>
    <w:rsid w:val="5C017D6B"/>
    <w:rsid w:val="5C0221CE"/>
    <w:rsid w:val="5C0E555C"/>
    <w:rsid w:val="5C112AC0"/>
    <w:rsid w:val="5C184EFE"/>
    <w:rsid w:val="5C1901FE"/>
    <w:rsid w:val="5C214BA5"/>
    <w:rsid w:val="5C2943D2"/>
    <w:rsid w:val="5C2F6D3A"/>
    <w:rsid w:val="5C301B7F"/>
    <w:rsid w:val="5C30701D"/>
    <w:rsid w:val="5C36738E"/>
    <w:rsid w:val="5C370D35"/>
    <w:rsid w:val="5C3C15B3"/>
    <w:rsid w:val="5C3D177E"/>
    <w:rsid w:val="5C460F27"/>
    <w:rsid w:val="5C462C1C"/>
    <w:rsid w:val="5C563A09"/>
    <w:rsid w:val="5C5F03E7"/>
    <w:rsid w:val="5C61298D"/>
    <w:rsid w:val="5C6804E6"/>
    <w:rsid w:val="5C6D5E9D"/>
    <w:rsid w:val="5C7052F1"/>
    <w:rsid w:val="5C7221D8"/>
    <w:rsid w:val="5C75523E"/>
    <w:rsid w:val="5C774529"/>
    <w:rsid w:val="5C7B07E5"/>
    <w:rsid w:val="5C830E1B"/>
    <w:rsid w:val="5C8939FF"/>
    <w:rsid w:val="5C8C1F56"/>
    <w:rsid w:val="5C8D32CE"/>
    <w:rsid w:val="5C8F5124"/>
    <w:rsid w:val="5C942113"/>
    <w:rsid w:val="5C991768"/>
    <w:rsid w:val="5CA16A48"/>
    <w:rsid w:val="5CAB42E2"/>
    <w:rsid w:val="5CAC62E0"/>
    <w:rsid w:val="5CC66529"/>
    <w:rsid w:val="5CC713A9"/>
    <w:rsid w:val="5CD51DE2"/>
    <w:rsid w:val="5CD57CAC"/>
    <w:rsid w:val="5CDF7EC4"/>
    <w:rsid w:val="5CE465C3"/>
    <w:rsid w:val="5CE80677"/>
    <w:rsid w:val="5CFA6BFB"/>
    <w:rsid w:val="5D0C3935"/>
    <w:rsid w:val="5D176D63"/>
    <w:rsid w:val="5D1D43C8"/>
    <w:rsid w:val="5D250270"/>
    <w:rsid w:val="5D2635A1"/>
    <w:rsid w:val="5D2835EF"/>
    <w:rsid w:val="5D304B9F"/>
    <w:rsid w:val="5D3439DE"/>
    <w:rsid w:val="5D361F47"/>
    <w:rsid w:val="5D3A5ECB"/>
    <w:rsid w:val="5D3B2394"/>
    <w:rsid w:val="5D4179B0"/>
    <w:rsid w:val="5D49763B"/>
    <w:rsid w:val="5D500B3F"/>
    <w:rsid w:val="5D53079B"/>
    <w:rsid w:val="5D5A3C33"/>
    <w:rsid w:val="5D602A4D"/>
    <w:rsid w:val="5D617090"/>
    <w:rsid w:val="5D647F12"/>
    <w:rsid w:val="5D66376B"/>
    <w:rsid w:val="5D755B10"/>
    <w:rsid w:val="5D764F62"/>
    <w:rsid w:val="5D7A3B1C"/>
    <w:rsid w:val="5D81631E"/>
    <w:rsid w:val="5D8F2D7A"/>
    <w:rsid w:val="5D97088B"/>
    <w:rsid w:val="5D995322"/>
    <w:rsid w:val="5DB84369"/>
    <w:rsid w:val="5DBE3A52"/>
    <w:rsid w:val="5DC8588E"/>
    <w:rsid w:val="5DCC5471"/>
    <w:rsid w:val="5DCE0FF1"/>
    <w:rsid w:val="5DCF0819"/>
    <w:rsid w:val="5DCF4EE9"/>
    <w:rsid w:val="5DD12F9C"/>
    <w:rsid w:val="5DD21D5C"/>
    <w:rsid w:val="5DD579AA"/>
    <w:rsid w:val="5DD64EC6"/>
    <w:rsid w:val="5DD81BB2"/>
    <w:rsid w:val="5DE10C1C"/>
    <w:rsid w:val="5DE1430C"/>
    <w:rsid w:val="5DED30FE"/>
    <w:rsid w:val="5DFC0786"/>
    <w:rsid w:val="5E1A2B58"/>
    <w:rsid w:val="5E282717"/>
    <w:rsid w:val="5E2C14B9"/>
    <w:rsid w:val="5E303CE3"/>
    <w:rsid w:val="5E3B2B92"/>
    <w:rsid w:val="5E3B4E35"/>
    <w:rsid w:val="5E3C48D2"/>
    <w:rsid w:val="5E4D10D8"/>
    <w:rsid w:val="5E544C33"/>
    <w:rsid w:val="5E551256"/>
    <w:rsid w:val="5E5A4698"/>
    <w:rsid w:val="5E6161BE"/>
    <w:rsid w:val="5E651004"/>
    <w:rsid w:val="5E67266A"/>
    <w:rsid w:val="5E677B75"/>
    <w:rsid w:val="5E6C3A5A"/>
    <w:rsid w:val="5E73418D"/>
    <w:rsid w:val="5E782554"/>
    <w:rsid w:val="5E7A5D4A"/>
    <w:rsid w:val="5E7C6389"/>
    <w:rsid w:val="5E7E75FD"/>
    <w:rsid w:val="5E803A3F"/>
    <w:rsid w:val="5E87204E"/>
    <w:rsid w:val="5E9C5855"/>
    <w:rsid w:val="5EA93A79"/>
    <w:rsid w:val="5EB55257"/>
    <w:rsid w:val="5EB60B87"/>
    <w:rsid w:val="5EBA4E7D"/>
    <w:rsid w:val="5EBB0D78"/>
    <w:rsid w:val="5EBE247B"/>
    <w:rsid w:val="5EC70C8C"/>
    <w:rsid w:val="5ED63165"/>
    <w:rsid w:val="5ED744A7"/>
    <w:rsid w:val="5EEA4D74"/>
    <w:rsid w:val="5EEA4F00"/>
    <w:rsid w:val="5EEE0A58"/>
    <w:rsid w:val="5EF35F1C"/>
    <w:rsid w:val="5EF80527"/>
    <w:rsid w:val="5EFE56C5"/>
    <w:rsid w:val="5EFF3CCF"/>
    <w:rsid w:val="5F026C23"/>
    <w:rsid w:val="5F04411D"/>
    <w:rsid w:val="5F113B52"/>
    <w:rsid w:val="5F154EBF"/>
    <w:rsid w:val="5F216F65"/>
    <w:rsid w:val="5F2704AE"/>
    <w:rsid w:val="5F2E24A3"/>
    <w:rsid w:val="5F2F1224"/>
    <w:rsid w:val="5F3B7007"/>
    <w:rsid w:val="5F434C78"/>
    <w:rsid w:val="5F447D3D"/>
    <w:rsid w:val="5F4927D7"/>
    <w:rsid w:val="5F6B4E8A"/>
    <w:rsid w:val="5F784915"/>
    <w:rsid w:val="5F7F330B"/>
    <w:rsid w:val="5F8564F4"/>
    <w:rsid w:val="5F8A4B83"/>
    <w:rsid w:val="5F932955"/>
    <w:rsid w:val="5F951447"/>
    <w:rsid w:val="5F9870C7"/>
    <w:rsid w:val="5F9B36A5"/>
    <w:rsid w:val="5FA269BE"/>
    <w:rsid w:val="5FA41F13"/>
    <w:rsid w:val="5FA90C7F"/>
    <w:rsid w:val="5FAE3DB1"/>
    <w:rsid w:val="5FB05BA3"/>
    <w:rsid w:val="5FB459F2"/>
    <w:rsid w:val="5FB64E37"/>
    <w:rsid w:val="5FBB2F3B"/>
    <w:rsid w:val="5FBC0FE9"/>
    <w:rsid w:val="5FBC2482"/>
    <w:rsid w:val="5FBD644B"/>
    <w:rsid w:val="5FC63015"/>
    <w:rsid w:val="5FC94ED7"/>
    <w:rsid w:val="5FCA2FF2"/>
    <w:rsid w:val="5FD7714F"/>
    <w:rsid w:val="5FE1024E"/>
    <w:rsid w:val="5FEF1CE7"/>
    <w:rsid w:val="5FF06265"/>
    <w:rsid w:val="5FF1231C"/>
    <w:rsid w:val="60006DD7"/>
    <w:rsid w:val="600B6933"/>
    <w:rsid w:val="600E5F7F"/>
    <w:rsid w:val="601811FF"/>
    <w:rsid w:val="60237213"/>
    <w:rsid w:val="60251B47"/>
    <w:rsid w:val="6026570E"/>
    <w:rsid w:val="602A5DB5"/>
    <w:rsid w:val="602D5E45"/>
    <w:rsid w:val="60366747"/>
    <w:rsid w:val="60462A3F"/>
    <w:rsid w:val="6046383B"/>
    <w:rsid w:val="60466F95"/>
    <w:rsid w:val="60540C58"/>
    <w:rsid w:val="60562719"/>
    <w:rsid w:val="605D0BE8"/>
    <w:rsid w:val="60623DBA"/>
    <w:rsid w:val="60666011"/>
    <w:rsid w:val="60671F05"/>
    <w:rsid w:val="60695F69"/>
    <w:rsid w:val="606C7BB0"/>
    <w:rsid w:val="606F603F"/>
    <w:rsid w:val="6070125C"/>
    <w:rsid w:val="607740F6"/>
    <w:rsid w:val="608356BA"/>
    <w:rsid w:val="6085269F"/>
    <w:rsid w:val="6093350B"/>
    <w:rsid w:val="60982FDD"/>
    <w:rsid w:val="609B2DDD"/>
    <w:rsid w:val="60A128B6"/>
    <w:rsid w:val="60A371AD"/>
    <w:rsid w:val="60A73FAA"/>
    <w:rsid w:val="60AC5E58"/>
    <w:rsid w:val="60B563E2"/>
    <w:rsid w:val="60BA6E9B"/>
    <w:rsid w:val="60C30488"/>
    <w:rsid w:val="60C82685"/>
    <w:rsid w:val="60CB587D"/>
    <w:rsid w:val="60CE15B7"/>
    <w:rsid w:val="60CF29A5"/>
    <w:rsid w:val="60D444B8"/>
    <w:rsid w:val="60E42694"/>
    <w:rsid w:val="60E7603B"/>
    <w:rsid w:val="60FB11E2"/>
    <w:rsid w:val="611D6E8E"/>
    <w:rsid w:val="613214B6"/>
    <w:rsid w:val="61383167"/>
    <w:rsid w:val="613A6DAA"/>
    <w:rsid w:val="614159CA"/>
    <w:rsid w:val="614D5BC8"/>
    <w:rsid w:val="615515FC"/>
    <w:rsid w:val="6157058F"/>
    <w:rsid w:val="6157295D"/>
    <w:rsid w:val="61585034"/>
    <w:rsid w:val="615B18E4"/>
    <w:rsid w:val="61703628"/>
    <w:rsid w:val="617058B2"/>
    <w:rsid w:val="61763662"/>
    <w:rsid w:val="61765A12"/>
    <w:rsid w:val="61844AA1"/>
    <w:rsid w:val="618A7BCC"/>
    <w:rsid w:val="618B077E"/>
    <w:rsid w:val="61AD2CF3"/>
    <w:rsid w:val="61B55827"/>
    <w:rsid w:val="61BE4B4A"/>
    <w:rsid w:val="61C43783"/>
    <w:rsid w:val="61C811DA"/>
    <w:rsid w:val="61D04A6C"/>
    <w:rsid w:val="61D47D13"/>
    <w:rsid w:val="61D814FF"/>
    <w:rsid w:val="61D90DCE"/>
    <w:rsid w:val="61DF4E29"/>
    <w:rsid w:val="61E55BB3"/>
    <w:rsid w:val="62015A49"/>
    <w:rsid w:val="621852BA"/>
    <w:rsid w:val="6232373B"/>
    <w:rsid w:val="62330CB9"/>
    <w:rsid w:val="62347EB3"/>
    <w:rsid w:val="624467F6"/>
    <w:rsid w:val="624F1B95"/>
    <w:rsid w:val="62513AA0"/>
    <w:rsid w:val="62533A0F"/>
    <w:rsid w:val="62574B6A"/>
    <w:rsid w:val="625F276F"/>
    <w:rsid w:val="627146B7"/>
    <w:rsid w:val="627435CF"/>
    <w:rsid w:val="62853302"/>
    <w:rsid w:val="62886014"/>
    <w:rsid w:val="628D0B5C"/>
    <w:rsid w:val="628D2D02"/>
    <w:rsid w:val="62944E98"/>
    <w:rsid w:val="629646A0"/>
    <w:rsid w:val="62965352"/>
    <w:rsid w:val="629750CC"/>
    <w:rsid w:val="62AC7F89"/>
    <w:rsid w:val="62AD6559"/>
    <w:rsid w:val="62AF67A9"/>
    <w:rsid w:val="62B165D9"/>
    <w:rsid w:val="62B16C0A"/>
    <w:rsid w:val="62BD588D"/>
    <w:rsid w:val="62CD37E0"/>
    <w:rsid w:val="62D14847"/>
    <w:rsid w:val="62D60D6D"/>
    <w:rsid w:val="62D738A6"/>
    <w:rsid w:val="62DF6A57"/>
    <w:rsid w:val="62E43192"/>
    <w:rsid w:val="62EF5693"/>
    <w:rsid w:val="62FA7AB9"/>
    <w:rsid w:val="63013147"/>
    <w:rsid w:val="63025D05"/>
    <w:rsid w:val="63037AB2"/>
    <w:rsid w:val="63057761"/>
    <w:rsid w:val="630D7577"/>
    <w:rsid w:val="631A2116"/>
    <w:rsid w:val="631E6726"/>
    <w:rsid w:val="63297937"/>
    <w:rsid w:val="634011A8"/>
    <w:rsid w:val="634621E9"/>
    <w:rsid w:val="6347029A"/>
    <w:rsid w:val="634E03AA"/>
    <w:rsid w:val="63537B27"/>
    <w:rsid w:val="636103E4"/>
    <w:rsid w:val="6369382B"/>
    <w:rsid w:val="63694450"/>
    <w:rsid w:val="636D1E5B"/>
    <w:rsid w:val="637130AC"/>
    <w:rsid w:val="6372559E"/>
    <w:rsid w:val="63774F0F"/>
    <w:rsid w:val="637D33DB"/>
    <w:rsid w:val="638A18F2"/>
    <w:rsid w:val="6398531F"/>
    <w:rsid w:val="63990DE1"/>
    <w:rsid w:val="63A12660"/>
    <w:rsid w:val="63A67D29"/>
    <w:rsid w:val="63A870F4"/>
    <w:rsid w:val="63AD0B7F"/>
    <w:rsid w:val="63AF229A"/>
    <w:rsid w:val="63B402EB"/>
    <w:rsid w:val="63BA5440"/>
    <w:rsid w:val="63C35F5C"/>
    <w:rsid w:val="63D85F26"/>
    <w:rsid w:val="63D953C1"/>
    <w:rsid w:val="63DB144A"/>
    <w:rsid w:val="63DD10A0"/>
    <w:rsid w:val="63E3050A"/>
    <w:rsid w:val="63EC46C4"/>
    <w:rsid w:val="63ED7BB9"/>
    <w:rsid w:val="63F47D88"/>
    <w:rsid w:val="63FD40D2"/>
    <w:rsid w:val="64121B5F"/>
    <w:rsid w:val="64126A42"/>
    <w:rsid w:val="64143468"/>
    <w:rsid w:val="64163464"/>
    <w:rsid w:val="641E7A0B"/>
    <w:rsid w:val="64223BB6"/>
    <w:rsid w:val="64227F96"/>
    <w:rsid w:val="642E2E2D"/>
    <w:rsid w:val="64347183"/>
    <w:rsid w:val="643D6F1C"/>
    <w:rsid w:val="64472BC8"/>
    <w:rsid w:val="644B059C"/>
    <w:rsid w:val="644B4341"/>
    <w:rsid w:val="64530C1C"/>
    <w:rsid w:val="6460139F"/>
    <w:rsid w:val="64742891"/>
    <w:rsid w:val="64831D43"/>
    <w:rsid w:val="64965DA9"/>
    <w:rsid w:val="64A21F1F"/>
    <w:rsid w:val="64A52F92"/>
    <w:rsid w:val="64AE2940"/>
    <w:rsid w:val="64B14305"/>
    <w:rsid w:val="64BC2C6A"/>
    <w:rsid w:val="64DB0EA8"/>
    <w:rsid w:val="64DC14C8"/>
    <w:rsid w:val="64DC171E"/>
    <w:rsid w:val="64DF1AD8"/>
    <w:rsid w:val="64E113E2"/>
    <w:rsid w:val="64E91CFD"/>
    <w:rsid w:val="64E9378A"/>
    <w:rsid w:val="64EC225B"/>
    <w:rsid w:val="64F9554D"/>
    <w:rsid w:val="64FE6D70"/>
    <w:rsid w:val="650269C3"/>
    <w:rsid w:val="65163DD5"/>
    <w:rsid w:val="6522475D"/>
    <w:rsid w:val="65234633"/>
    <w:rsid w:val="652347EA"/>
    <w:rsid w:val="6524714A"/>
    <w:rsid w:val="652E46D3"/>
    <w:rsid w:val="65300199"/>
    <w:rsid w:val="653213B7"/>
    <w:rsid w:val="653A0FA9"/>
    <w:rsid w:val="65586BDD"/>
    <w:rsid w:val="655A6351"/>
    <w:rsid w:val="655B4E8D"/>
    <w:rsid w:val="655F1A88"/>
    <w:rsid w:val="65653590"/>
    <w:rsid w:val="656B4D55"/>
    <w:rsid w:val="65731A9A"/>
    <w:rsid w:val="657A278C"/>
    <w:rsid w:val="65851A81"/>
    <w:rsid w:val="658D6144"/>
    <w:rsid w:val="65A510BB"/>
    <w:rsid w:val="65AA04D0"/>
    <w:rsid w:val="65AA7CC0"/>
    <w:rsid w:val="65B53460"/>
    <w:rsid w:val="65BA66AE"/>
    <w:rsid w:val="65CB08FE"/>
    <w:rsid w:val="65DC6428"/>
    <w:rsid w:val="65E45454"/>
    <w:rsid w:val="65E47376"/>
    <w:rsid w:val="65E970F2"/>
    <w:rsid w:val="65EB47D7"/>
    <w:rsid w:val="65ED3F17"/>
    <w:rsid w:val="65EF00FA"/>
    <w:rsid w:val="65F227B4"/>
    <w:rsid w:val="65FA7A7B"/>
    <w:rsid w:val="660B5AC9"/>
    <w:rsid w:val="661054EC"/>
    <w:rsid w:val="6621068F"/>
    <w:rsid w:val="66251DD7"/>
    <w:rsid w:val="66316B9F"/>
    <w:rsid w:val="66333B53"/>
    <w:rsid w:val="663A47B8"/>
    <w:rsid w:val="66417AE3"/>
    <w:rsid w:val="66424F54"/>
    <w:rsid w:val="66435063"/>
    <w:rsid w:val="66647BB1"/>
    <w:rsid w:val="666739C2"/>
    <w:rsid w:val="666F4769"/>
    <w:rsid w:val="667A31C0"/>
    <w:rsid w:val="667E48BF"/>
    <w:rsid w:val="669219D7"/>
    <w:rsid w:val="669E2556"/>
    <w:rsid w:val="66A010B6"/>
    <w:rsid w:val="66A10378"/>
    <w:rsid w:val="66A334EA"/>
    <w:rsid w:val="66A63EC3"/>
    <w:rsid w:val="66B37AF6"/>
    <w:rsid w:val="66BB4553"/>
    <w:rsid w:val="66BE316E"/>
    <w:rsid w:val="66C163B8"/>
    <w:rsid w:val="66C85964"/>
    <w:rsid w:val="66DD14CF"/>
    <w:rsid w:val="66E33761"/>
    <w:rsid w:val="66E527CF"/>
    <w:rsid w:val="66E84E8B"/>
    <w:rsid w:val="66F66E13"/>
    <w:rsid w:val="66FA5C67"/>
    <w:rsid w:val="670925BC"/>
    <w:rsid w:val="67186248"/>
    <w:rsid w:val="671D29FB"/>
    <w:rsid w:val="672E5C05"/>
    <w:rsid w:val="673166BB"/>
    <w:rsid w:val="673C12A6"/>
    <w:rsid w:val="673D7C7F"/>
    <w:rsid w:val="673F3B5E"/>
    <w:rsid w:val="67546A0E"/>
    <w:rsid w:val="675700C5"/>
    <w:rsid w:val="67590382"/>
    <w:rsid w:val="67596B1A"/>
    <w:rsid w:val="675C57E3"/>
    <w:rsid w:val="675C678A"/>
    <w:rsid w:val="675D326E"/>
    <w:rsid w:val="67633642"/>
    <w:rsid w:val="67665B3A"/>
    <w:rsid w:val="67674FEB"/>
    <w:rsid w:val="67707339"/>
    <w:rsid w:val="678A5F37"/>
    <w:rsid w:val="67940FDD"/>
    <w:rsid w:val="679E7690"/>
    <w:rsid w:val="67A10792"/>
    <w:rsid w:val="67AA5335"/>
    <w:rsid w:val="67AF3AC1"/>
    <w:rsid w:val="67B304C1"/>
    <w:rsid w:val="67BB3164"/>
    <w:rsid w:val="67BD731B"/>
    <w:rsid w:val="67C44DE9"/>
    <w:rsid w:val="67D02DD9"/>
    <w:rsid w:val="67D550E8"/>
    <w:rsid w:val="67E03513"/>
    <w:rsid w:val="67E56938"/>
    <w:rsid w:val="67E57C24"/>
    <w:rsid w:val="67E74424"/>
    <w:rsid w:val="67EC2FDF"/>
    <w:rsid w:val="68035234"/>
    <w:rsid w:val="680D6363"/>
    <w:rsid w:val="68121A7A"/>
    <w:rsid w:val="68137F6E"/>
    <w:rsid w:val="68145297"/>
    <w:rsid w:val="68146B16"/>
    <w:rsid w:val="6821653F"/>
    <w:rsid w:val="68231870"/>
    <w:rsid w:val="68235FC3"/>
    <w:rsid w:val="68273EB7"/>
    <w:rsid w:val="682954C1"/>
    <w:rsid w:val="683D07B7"/>
    <w:rsid w:val="683F01ED"/>
    <w:rsid w:val="683F5BB3"/>
    <w:rsid w:val="68462FE4"/>
    <w:rsid w:val="68471DA3"/>
    <w:rsid w:val="68484B95"/>
    <w:rsid w:val="684B1DA0"/>
    <w:rsid w:val="6854581F"/>
    <w:rsid w:val="6862344A"/>
    <w:rsid w:val="6869588F"/>
    <w:rsid w:val="686E2EA6"/>
    <w:rsid w:val="686F5F24"/>
    <w:rsid w:val="68761448"/>
    <w:rsid w:val="68774364"/>
    <w:rsid w:val="688E4DD0"/>
    <w:rsid w:val="68931A52"/>
    <w:rsid w:val="689A41DC"/>
    <w:rsid w:val="68A26F51"/>
    <w:rsid w:val="68A36D16"/>
    <w:rsid w:val="68AF5643"/>
    <w:rsid w:val="68B07271"/>
    <w:rsid w:val="68B23DBB"/>
    <w:rsid w:val="68B273F2"/>
    <w:rsid w:val="68B458E2"/>
    <w:rsid w:val="68B95662"/>
    <w:rsid w:val="68C17CEE"/>
    <w:rsid w:val="68C82C08"/>
    <w:rsid w:val="68CA525D"/>
    <w:rsid w:val="68DA769A"/>
    <w:rsid w:val="68DF756C"/>
    <w:rsid w:val="68E03FBB"/>
    <w:rsid w:val="68E829B1"/>
    <w:rsid w:val="68F721CA"/>
    <w:rsid w:val="68FF0DAD"/>
    <w:rsid w:val="690D3099"/>
    <w:rsid w:val="69151ED9"/>
    <w:rsid w:val="691C719F"/>
    <w:rsid w:val="691F0628"/>
    <w:rsid w:val="691F7CA3"/>
    <w:rsid w:val="692A0EA9"/>
    <w:rsid w:val="692E2AD9"/>
    <w:rsid w:val="69324BDB"/>
    <w:rsid w:val="6939150C"/>
    <w:rsid w:val="69447E4D"/>
    <w:rsid w:val="69473926"/>
    <w:rsid w:val="694B0614"/>
    <w:rsid w:val="694C638F"/>
    <w:rsid w:val="694E3C43"/>
    <w:rsid w:val="69504D46"/>
    <w:rsid w:val="69534B8B"/>
    <w:rsid w:val="69562D91"/>
    <w:rsid w:val="695D6E15"/>
    <w:rsid w:val="69611C24"/>
    <w:rsid w:val="69746794"/>
    <w:rsid w:val="697B7A40"/>
    <w:rsid w:val="697D4322"/>
    <w:rsid w:val="69811126"/>
    <w:rsid w:val="69896E11"/>
    <w:rsid w:val="69A1353B"/>
    <w:rsid w:val="69AC2176"/>
    <w:rsid w:val="69B55F6D"/>
    <w:rsid w:val="69B77619"/>
    <w:rsid w:val="69B816C2"/>
    <w:rsid w:val="69B9159E"/>
    <w:rsid w:val="69BB5EF8"/>
    <w:rsid w:val="69BE2D6A"/>
    <w:rsid w:val="69D13CA7"/>
    <w:rsid w:val="69D53FB7"/>
    <w:rsid w:val="69D74984"/>
    <w:rsid w:val="69DA7891"/>
    <w:rsid w:val="69DB4B12"/>
    <w:rsid w:val="6A04080A"/>
    <w:rsid w:val="6A043392"/>
    <w:rsid w:val="6A0909D7"/>
    <w:rsid w:val="6A135ED0"/>
    <w:rsid w:val="6A286A62"/>
    <w:rsid w:val="6A2C168C"/>
    <w:rsid w:val="6A3429B8"/>
    <w:rsid w:val="6A4049FD"/>
    <w:rsid w:val="6A4E22CF"/>
    <w:rsid w:val="6A57114A"/>
    <w:rsid w:val="6A6021FA"/>
    <w:rsid w:val="6A6022DC"/>
    <w:rsid w:val="6A703F66"/>
    <w:rsid w:val="6A7174C2"/>
    <w:rsid w:val="6A7A1367"/>
    <w:rsid w:val="6A7A5A68"/>
    <w:rsid w:val="6A8353A4"/>
    <w:rsid w:val="6A851A35"/>
    <w:rsid w:val="6A8A44DA"/>
    <w:rsid w:val="6A8C4FAD"/>
    <w:rsid w:val="6A991720"/>
    <w:rsid w:val="6A9F26AE"/>
    <w:rsid w:val="6AA14F5D"/>
    <w:rsid w:val="6AA53CB9"/>
    <w:rsid w:val="6AB46018"/>
    <w:rsid w:val="6AB9256A"/>
    <w:rsid w:val="6AC016FE"/>
    <w:rsid w:val="6ACD3CA9"/>
    <w:rsid w:val="6AD078DF"/>
    <w:rsid w:val="6AD21865"/>
    <w:rsid w:val="6ADD0BBB"/>
    <w:rsid w:val="6ADD531B"/>
    <w:rsid w:val="6AE8704D"/>
    <w:rsid w:val="6AE93927"/>
    <w:rsid w:val="6AED62C8"/>
    <w:rsid w:val="6AF132E9"/>
    <w:rsid w:val="6AFA0C92"/>
    <w:rsid w:val="6B03594A"/>
    <w:rsid w:val="6B0764DC"/>
    <w:rsid w:val="6B080B0A"/>
    <w:rsid w:val="6B080D9A"/>
    <w:rsid w:val="6B091462"/>
    <w:rsid w:val="6B1A72B5"/>
    <w:rsid w:val="6B1E1744"/>
    <w:rsid w:val="6B2747F3"/>
    <w:rsid w:val="6B3E7B06"/>
    <w:rsid w:val="6B4617B7"/>
    <w:rsid w:val="6B4A0491"/>
    <w:rsid w:val="6B4F218E"/>
    <w:rsid w:val="6B5B3F17"/>
    <w:rsid w:val="6B5C3BBD"/>
    <w:rsid w:val="6B5D6A82"/>
    <w:rsid w:val="6B5E767B"/>
    <w:rsid w:val="6B6447BA"/>
    <w:rsid w:val="6B6768EA"/>
    <w:rsid w:val="6B680839"/>
    <w:rsid w:val="6B7B6838"/>
    <w:rsid w:val="6B9B3440"/>
    <w:rsid w:val="6BA60976"/>
    <w:rsid w:val="6BA75FA3"/>
    <w:rsid w:val="6BAE1F3A"/>
    <w:rsid w:val="6BAE4EF2"/>
    <w:rsid w:val="6BC84BE4"/>
    <w:rsid w:val="6BD627B8"/>
    <w:rsid w:val="6BDA2C04"/>
    <w:rsid w:val="6BE0153B"/>
    <w:rsid w:val="6BE70E39"/>
    <w:rsid w:val="6C033B1C"/>
    <w:rsid w:val="6C142C2C"/>
    <w:rsid w:val="6C1C281E"/>
    <w:rsid w:val="6C1D6234"/>
    <w:rsid w:val="6C294FB3"/>
    <w:rsid w:val="6C3034E5"/>
    <w:rsid w:val="6C307401"/>
    <w:rsid w:val="6C341B82"/>
    <w:rsid w:val="6C465E8A"/>
    <w:rsid w:val="6C5121F1"/>
    <w:rsid w:val="6C522E5B"/>
    <w:rsid w:val="6C57302A"/>
    <w:rsid w:val="6C5C4293"/>
    <w:rsid w:val="6C635518"/>
    <w:rsid w:val="6C696B5E"/>
    <w:rsid w:val="6C6B3F78"/>
    <w:rsid w:val="6C6C60A0"/>
    <w:rsid w:val="6C7771CF"/>
    <w:rsid w:val="6C8248EC"/>
    <w:rsid w:val="6C84255E"/>
    <w:rsid w:val="6C8546D1"/>
    <w:rsid w:val="6C8C5E8F"/>
    <w:rsid w:val="6C916564"/>
    <w:rsid w:val="6C9363ED"/>
    <w:rsid w:val="6C97578C"/>
    <w:rsid w:val="6C9856EE"/>
    <w:rsid w:val="6C9B3F99"/>
    <w:rsid w:val="6CA9068A"/>
    <w:rsid w:val="6CB712AE"/>
    <w:rsid w:val="6CB766F8"/>
    <w:rsid w:val="6CBE7594"/>
    <w:rsid w:val="6CBF4FB5"/>
    <w:rsid w:val="6CC25AC4"/>
    <w:rsid w:val="6CC70CF9"/>
    <w:rsid w:val="6CC756B2"/>
    <w:rsid w:val="6CCA7878"/>
    <w:rsid w:val="6CD13B76"/>
    <w:rsid w:val="6CE74CB0"/>
    <w:rsid w:val="6CF269F6"/>
    <w:rsid w:val="6CF90BB4"/>
    <w:rsid w:val="6CFA01D4"/>
    <w:rsid w:val="6D034132"/>
    <w:rsid w:val="6D08588D"/>
    <w:rsid w:val="6D0D516D"/>
    <w:rsid w:val="6D2166F1"/>
    <w:rsid w:val="6D237C97"/>
    <w:rsid w:val="6D241D45"/>
    <w:rsid w:val="6D3364B4"/>
    <w:rsid w:val="6D3A75B2"/>
    <w:rsid w:val="6D412F10"/>
    <w:rsid w:val="6D484FDA"/>
    <w:rsid w:val="6D4A403F"/>
    <w:rsid w:val="6D52498A"/>
    <w:rsid w:val="6D5820E4"/>
    <w:rsid w:val="6D5C50B1"/>
    <w:rsid w:val="6D5C5129"/>
    <w:rsid w:val="6D627534"/>
    <w:rsid w:val="6D683F55"/>
    <w:rsid w:val="6D702C38"/>
    <w:rsid w:val="6D750198"/>
    <w:rsid w:val="6D7B3E84"/>
    <w:rsid w:val="6D7E06EF"/>
    <w:rsid w:val="6D810F51"/>
    <w:rsid w:val="6D8770EA"/>
    <w:rsid w:val="6D8B0CB3"/>
    <w:rsid w:val="6D9436D3"/>
    <w:rsid w:val="6D963059"/>
    <w:rsid w:val="6D984331"/>
    <w:rsid w:val="6D997AFC"/>
    <w:rsid w:val="6D9B2FCE"/>
    <w:rsid w:val="6DA434AF"/>
    <w:rsid w:val="6DAB2CBD"/>
    <w:rsid w:val="6DC36FB6"/>
    <w:rsid w:val="6DC61279"/>
    <w:rsid w:val="6DD03233"/>
    <w:rsid w:val="6DDA6726"/>
    <w:rsid w:val="6DE5103F"/>
    <w:rsid w:val="6DE74A38"/>
    <w:rsid w:val="6DEA3F6F"/>
    <w:rsid w:val="6DF25DB8"/>
    <w:rsid w:val="6E0322A3"/>
    <w:rsid w:val="6E057442"/>
    <w:rsid w:val="6E1156BA"/>
    <w:rsid w:val="6E12097D"/>
    <w:rsid w:val="6E13662E"/>
    <w:rsid w:val="6E157B98"/>
    <w:rsid w:val="6E167560"/>
    <w:rsid w:val="6E172929"/>
    <w:rsid w:val="6E1B5637"/>
    <w:rsid w:val="6E1D3816"/>
    <w:rsid w:val="6E2030D3"/>
    <w:rsid w:val="6E272A39"/>
    <w:rsid w:val="6E3544F2"/>
    <w:rsid w:val="6E5243E9"/>
    <w:rsid w:val="6E5318D1"/>
    <w:rsid w:val="6E531C0B"/>
    <w:rsid w:val="6E5D4B4D"/>
    <w:rsid w:val="6E655F59"/>
    <w:rsid w:val="6E696732"/>
    <w:rsid w:val="6E6C569C"/>
    <w:rsid w:val="6E702D9F"/>
    <w:rsid w:val="6E760B42"/>
    <w:rsid w:val="6E777071"/>
    <w:rsid w:val="6E7D7322"/>
    <w:rsid w:val="6E8578D9"/>
    <w:rsid w:val="6E8800C5"/>
    <w:rsid w:val="6E8F4FEA"/>
    <w:rsid w:val="6EA93AB5"/>
    <w:rsid w:val="6EB83AF7"/>
    <w:rsid w:val="6EC74E7D"/>
    <w:rsid w:val="6EC825B1"/>
    <w:rsid w:val="6ECD4F7C"/>
    <w:rsid w:val="6ED62F61"/>
    <w:rsid w:val="6EDF0F0D"/>
    <w:rsid w:val="6EDF4D86"/>
    <w:rsid w:val="6EF1431D"/>
    <w:rsid w:val="6F0300AC"/>
    <w:rsid w:val="6F077040"/>
    <w:rsid w:val="6F0867D6"/>
    <w:rsid w:val="6F0E59DE"/>
    <w:rsid w:val="6F0F1CC4"/>
    <w:rsid w:val="6F145028"/>
    <w:rsid w:val="6F162257"/>
    <w:rsid w:val="6F1D1813"/>
    <w:rsid w:val="6F207E33"/>
    <w:rsid w:val="6F292EC0"/>
    <w:rsid w:val="6F2E1569"/>
    <w:rsid w:val="6F346501"/>
    <w:rsid w:val="6F392C3E"/>
    <w:rsid w:val="6F3A51EB"/>
    <w:rsid w:val="6F3D1068"/>
    <w:rsid w:val="6F415887"/>
    <w:rsid w:val="6F475644"/>
    <w:rsid w:val="6F4F21BB"/>
    <w:rsid w:val="6F537424"/>
    <w:rsid w:val="6F596322"/>
    <w:rsid w:val="6F5A5128"/>
    <w:rsid w:val="6F6B527F"/>
    <w:rsid w:val="6F6E2B7C"/>
    <w:rsid w:val="6F6E76EB"/>
    <w:rsid w:val="6F73469E"/>
    <w:rsid w:val="6F774283"/>
    <w:rsid w:val="6F7936F1"/>
    <w:rsid w:val="6F7A1F68"/>
    <w:rsid w:val="6F7A652A"/>
    <w:rsid w:val="6F7D1A42"/>
    <w:rsid w:val="6F832AD6"/>
    <w:rsid w:val="6F926D20"/>
    <w:rsid w:val="6F952B72"/>
    <w:rsid w:val="6FC6021A"/>
    <w:rsid w:val="6FCB1313"/>
    <w:rsid w:val="6FD14687"/>
    <w:rsid w:val="6FD30AC4"/>
    <w:rsid w:val="6FDC2989"/>
    <w:rsid w:val="6FE02A7F"/>
    <w:rsid w:val="6FE03C05"/>
    <w:rsid w:val="6FE60BA9"/>
    <w:rsid w:val="6FE94F45"/>
    <w:rsid w:val="6FEC6D17"/>
    <w:rsid w:val="6FF21E2C"/>
    <w:rsid w:val="6FF2521D"/>
    <w:rsid w:val="6FF553A3"/>
    <w:rsid w:val="6FFD16F4"/>
    <w:rsid w:val="70034B83"/>
    <w:rsid w:val="701054FD"/>
    <w:rsid w:val="70127B3B"/>
    <w:rsid w:val="701716DD"/>
    <w:rsid w:val="702C1152"/>
    <w:rsid w:val="70411F84"/>
    <w:rsid w:val="704B1CFB"/>
    <w:rsid w:val="705370E3"/>
    <w:rsid w:val="706B198D"/>
    <w:rsid w:val="70720E0D"/>
    <w:rsid w:val="707E34FC"/>
    <w:rsid w:val="70926B0E"/>
    <w:rsid w:val="70B31679"/>
    <w:rsid w:val="70CC59F4"/>
    <w:rsid w:val="70E641E0"/>
    <w:rsid w:val="70E816CB"/>
    <w:rsid w:val="70EF1AC0"/>
    <w:rsid w:val="70EF64EA"/>
    <w:rsid w:val="70F73A4C"/>
    <w:rsid w:val="70FE346B"/>
    <w:rsid w:val="711212B1"/>
    <w:rsid w:val="71127567"/>
    <w:rsid w:val="71175802"/>
    <w:rsid w:val="711C4101"/>
    <w:rsid w:val="713A0A4A"/>
    <w:rsid w:val="713B6A93"/>
    <w:rsid w:val="713D33BB"/>
    <w:rsid w:val="71434201"/>
    <w:rsid w:val="71476B82"/>
    <w:rsid w:val="71485F1A"/>
    <w:rsid w:val="714C6211"/>
    <w:rsid w:val="714D74E5"/>
    <w:rsid w:val="71501258"/>
    <w:rsid w:val="715C7035"/>
    <w:rsid w:val="715E2221"/>
    <w:rsid w:val="7164453B"/>
    <w:rsid w:val="71673DE0"/>
    <w:rsid w:val="716A0810"/>
    <w:rsid w:val="716A5457"/>
    <w:rsid w:val="71722F9E"/>
    <w:rsid w:val="71A22462"/>
    <w:rsid w:val="71A2666B"/>
    <w:rsid w:val="71A868DE"/>
    <w:rsid w:val="71AB0628"/>
    <w:rsid w:val="71AF0A11"/>
    <w:rsid w:val="71B86D3B"/>
    <w:rsid w:val="71BA7EA9"/>
    <w:rsid w:val="71BE2234"/>
    <w:rsid w:val="71C03420"/>
    <w:rsid w:val="71C268A8"/>
    <w:rsid w:val="71CF1BDE"/>
    <w:rsid w:val="71CF461F"/>
    <w:rsid w:val="71D040AB"/>
    <w:rsid w:val="71D3651F"/>
    <w:rsid w:val="71D63E3B"/>
    <w:rsid w:val="71DE20AD"/>
    <w:rsid w:val="71E37FD8"/>
    <w:rsid w:val="71EE4F07"/>
    <w:rsid w:val="71F536A3"/>
    <w:rsid w:val="71FC4351"/>
    <w:rsid w:val="71FD192E"/>
    <w:rsid w:val="72010117"/>
    <w:rsid w:val="7214146C"/>
    <w:rsid w:val="721F376D"/>
    <w:rsid w:val="72217548"/>
    <w:rsid w:val="723C38D6"/>
    <w:rsid w:val="723D2E12"/>
    <w:rsid w:val="723E75BA"/>
    <w:rsid w:val="7240363D"/>
    <w:rsid w:val="724E33F8"/>
    <w:rsid w:val="726774A5"/>
    <w:rsid w:val="726D71D0"/>
    <w:rsid w:val="728864B2"/>
    <w:rsid w:val="728D4B8D"/>
    <w:rsid w:val="728E123D"/>
    <w:rsid w:val="729467BD"/>
    <w:rsid w:val="729E4833"/>
    <w:rsid w:val="729F3320"/>
    <w:rsid w:val="72A71B63"/>
    <w:rsid w:val="72BC6FBF"/>
    <w:rsid w:val="72EF16E9"/>
    <w:rsid w:val="72F0647A"/>
    <w:rsid w:val="72F20159"/>
    <w:rsid w:val="72F760DE"/>
    <w:rsid w:val="72FC4456"/>
    <w:rsid w:val="730C3238"/>
    <w:rsid w:val="73111BE8"/>
    <w:rsid w:val="73127AE5"/>
    <w:rsid w:val="731C45DD"/>
    <w:rsid w:val="73214C6D"/>
    <w:rsid w:val="73326BCD"/>
    <w:rsid w:val="73343731"/>
    <w:rsid w:val="73443B5C"/>
    <w:rsid w:val="73455427"/>
    <w:rsid w:val="734E346A"/>
    <w:rsid w:val="734F4A2D"/>
    <w:rsid w:val="735036F8"/>
    <w:rsid w:val="7352311D"/>
    <w:rsid w:val="73644021"/>
    <w:rsid w:val="73680E33"/>
    <w:rsid w:val="73687752"/>
    <w:rsid w:val="736A27E9"/>
    <w:rsid w:val="73745130"/>
    <w:rsid w:val="73775736"/>
    <w:rsid w:val="737F624D"/>
    <w:rsid w:val="738659E1"/>
    <w:rsid w:val="738B0D0B"/>
    <w:rsid w:val="739E1FF5"/>
    <w:rsid w:val="73AB4EEC"/>
    <w:rsid w:val="73B24B13"/>
    <w:rsid w:val="73B84ECC"/>
    <w:rsid w:val="73B964F1"/>
    <w:rsid w:val="73C25375"/>
    <w:rsid w:val="73C4414D"/>
    <w:rsid w:val="73C60C2D"/>
    <w:rsid w:val="73DA1934"/>
    <w:rsid w:val="73E00B69"/>
    <w:rsid w:val="73F44225"/>
    <w:rsid w:val="73F55183"/>
    <w:rsid w:val="7404127A"/>
    <w:rsid w:val="7404512A"/>
    <w:rsid w:val="740F02C5"/>
    <w:rsid w:val="74194D93"/>
    <w:rsid w:val="741B2BB6"/>
    <w:rsid w:val="742604CF"/>
    <w:rsid w:val="74364D7C"/>
    <w:rsid w:val="744958DF"/>
    <w:rsid w:val="744B1F4E"/>
    <w:rsid w:val="744C672D"/>
    <w:rsid w:val="74502292"/>
    <w:rsid w:val="746A0D9A"/>
    <w:rsid w:val="746B76C5"/>
    <w:rsid w:val="74700A49"/>
    <w:rsid w:val="747A33D8"/>
    <w:rsid w:val="748817A4"/>
    <w:rsid w:val="74901756"/>
    <w:rsid w:val="74985E78"/>
    <w:rsid w:val="749E0FA0"/>
    <w:rsid w:val="74A30DDD"/>
    <w:rsid w:val="74A876E5"/>
    <w:rsid w:val="74AD2367"/>
    <w:rsid w:val="74AD7EC5"/>
    <w:rsid w:val="74C13664"/>
    <w:rsid w:val="74C75CAA"/>
    <w:rsid w:val="74E13EBA"/>
    <w:rsid w:val="74EA116F"/>
    <w:rsid w:val="74EA6826"/>
    <w:rsid w:val="74ED63A8"/>
    <w:rsid w:val="74F70A7C"/>
    <w:rsid w:val="750374E5"/>
    <w:rsid w:val="750C5A29"/>
    <w:rsid w:val="7510752B"/>
    <w:rsid w:val="75196392"/>
    <w:rsid w:val="751E4507"/>
    <w:rsid w:val="75271124"/>
    <w:rsid w:val="7528284E"/>
    <w:rsid w:val="75283652"/>
    <w:rsid w:val="752918ED"/>
    <w:rsid w:val="752A595B"/>
    <w:rsid w:val="752B5BDD"/>
    <w:rsid w:val="752B78A0"/>
    <w:rsid w:val="753E7CB0"/>
    <w:rsid w:val="755665F7"/>
    <w:rsid w:val="75582F1F"/>
    <w:rsid w:val="755E6D33"/>
    <w:rsid w:val="756002CE"/>
    <w:rsid w:val="756749D3"/>
    <w:rsid w:val="75694D8E"/>
    <w:rsid w:val="756C28F9"/>
    <w:rsid w:val="756E2101"/>
    <w:rsid w:val="75710264"/>
    <w:rsid w:val="758F2FF0"/>
    <w:rsid w:val="75901984"/>
    <w:rsid w:val="7591662E"/>
    <w:rsid w:val="7596291C"/>
    <w:rsid w:val="75A045C2"/>
    <w:rsid w:val="75A35E57"/>
    <w:rsid w:val="75A534D7"/>
    <w:rsid w:val="75A53598"/>
    <w:rsid w:val="75AC35F4"/>
    <w:rsid w:val="75B742D7"/>
    <w:rsid w:val="75C81022"/>
    <w:rsid w:val="75CC46FC"/>
    <w:rsid w:val="75D10FBA"/>
    <w:rsid w:val="75D246B7"/>
    <w:rsid w:val="75D52350"/>
    <w:rsid w:val="75EC7DDE"/>
    <w:rsid w:val="75ED243D"/>
    <w:rsid w:val="75F61153"/>
    <w:rsid w:val="76011954"/>
    <w:rsid w:val="760B1B51"/>
    <w:rsid w:val="761809E0"/>
    <w:rsid w:val="76192B96"/>
    <w:rsid w:val="762108F9"/>
    <w:rsid w:val="762563F6"/>
    <w:rsid w:val="76275F68"/>
    <w:rsid w:val="762F3419"/>
    <w:rsid w:val="76357912"/>
    <w:rsid w:val="764728D5"/>
    <w:rsid w:val="764E349F"/>
    <w:rsid w:val="764F27FB"/>
    <w:rsid w:val="765B41CB"/>
    <w:rsid w:val="766949C9"/>
    <w:rsid w:val="76726A9B"/>
    <w:rsid w:val="76735CD1"/>
    <w:rsid w:val="767F0BCC"/>
    <w:rsid w:val="768732AA"/>
    <w:rsid w:val="76887A86"/>
    <w:rsid w:val="76962B37"/>
    <w:rsid w:val="769B07A7"/>
    <w:rsid w:val="769D57B6"/>
    <w:rsid w:val="76B47F7A"/>
    <w:rsid w:val="76BB716A"/>
    <w:rsid w:val="76BF72B6"/>
    <w:rsid w:val="76CF5B83"/>
    <w:rsid w:val="76DA78AA"/>
    <w:rsid w:val="76E80045"/>
    <w:rsid w:val="76F01897"/>
    <w:rsid w:val="76F13014"/>
    <w:rsid w:val="76F46A69"/>
    <w:rsid w:val="770A7052"/>
    <w:rsid w:val="770D56DD"/>
    <w:rsid w:val="770D6F37"/>
    <w:rsid w:val="77172D83"/>
    <w:rsid w:val="77255C5E"/>
    <w:rsid w:val="772A6CCF"/>
    <w:rsid w:val="772B04D1"/>
    <w:rsid w:val="7732228E"/>
    <w:rsid w:val="7736471D"/>
    <w:rsid w:val="77521677"/>
    <w:rsid w:val="77597C00"/>
    <w:rsid w:val="77606E3D"/>
    <w:rsid w:val="77785C76"/>
    <w:rsid w:val="777C60CC"/>
    <w:rsid w:val="777F7839"/>
    <w:rsid w:val="7780780C"/>
    <w:rsid w:val="778227FD"/>
    <w:rsid w:val="77825F4E"/>
    <w:rsid w:val="778C04A7"/>
    <w:rsid w:val="779268E9"/>
    <w:rsid w:val="77932722"/>
    <w:rsid w:val="779D1531"/>
    <w:rsid w:val="77A30EF1"/>
    <w:rsid w:val="77AB5D5B"/>
    <w:rsid w:val="77B16B95"/>
    <w:rsid w:val="77B71665"/>
    <w:rsid w:val="77BA65E9"/>
    <w:rsid w:val="77C24A9C"/>
    <w:rsid w:val="77C755AC"/>
    <w:rsid w:val="77D3286C"/>
    <w:rsid w:val="77DE2BAF"/>
    <w:rsid w:val="77E302CC"/>
    <w:rsid w:val="77E66672"/>
    <w:rsid w:val="77E82524"/>
    <w:rsid w:val="77EE0510"/>
    <w:rsid w:val="77F00ED7"/>
    <w:rsid w:val="77F169C1"/>
    <w:rsid w:val="77F54E7A"/>
    <w:rsid w:val="77F8216A"/>
    <w:rsid w:val="78195C4A"/>
    <w:rsid w:val="782131AD"/>
    <w:rsid w:val="783B1B0B"/>
    <w:rsid w:val="783F2710"/>
    <w:rsid w:val="7848590F"/>
    <w:rsid w:val="784E1C07"/>
    <w:rsid w:val="784F2C7E"/>
    <w:rsid w:val="784F4FCD"/>
    <w:rsid w:val="78527F78"/>
    <w:rsid w:val="7853575A"/>
    <w:rsid w:val="785B2416"/>
    <w:rsid w:val="785B5240"/>
    <w:rsid w:val="786C593A"/>
    <w:rsid w:val="78711E8B"/>
    <w:rsid w:val="78786709"/>
    <w:rsid w:val="78857A51"/>
    <w:rsid w:val="788651D9"/>
    <w:rsid w:val="788724FE"/>
    <w:rsid w:val="78916232"/>
    <w:rsid w:val="7894075E"/>
    <w:rsid w:val="78940AB2"/>
    <w:rsid w:val="789B754B"/>
    <w:rsid w:val="789E0686"/>
    <w:rsid w:val="789F23F9"/>
    <w:rsid w:val="78A52E2C"/>
    <w:rsid w:val="78B115BC"/>
    <w:rsid w:val="78BC603F"/>
    <w:rsid w:val="78CA78DC"/>
    <w:rsid w:val="78CE6B21"/>
    <w:rsid w:val="78D35E3F"/>
    <w:rsid w:val="78D70945"/>
    <w:rsid w:val="78DB4EC4"/>
    <w:rsid w:val="78E1254E"/>
    <w:rsid w:val="78E812DB"/>
    <w:rsid w:val="78ED3640"/>
    <w:rsid w:val="78EE2450"/>
    <w:rsid w:val="79067F1A"/>
    <w:rsid w:val="7908099A"/>
    <w:rsid w:val="791412E7"/>
    <w:rsid w:val="79205872"/>
    <w:rsid w:val="79313501"/>
    <w:rsid w:val="793272FC"/>
    <w:rsid w:val="793B2150"/>
    <w:rsid w:val="79546F50"/>
    <w:rsid w:val="79593CBE"/>
    <w:rsid w:val="795F115A"/>
    <w:rsid w:val="79607C6B"/>
    <w:rsid w:val="796815FE"/>
    <w:rsid w:val="7968571D"/>
    <w:rsid w:val="79725AD5"/>
    <w:rsid w:val="797F795A"/>
    <w:rsid w:val="79895029"/>
    <w:rsid w:val="798D55A2"/>
    <w:rsid w:val="799007CB"/>
    <w:rsid w:val="79A01235"/>
    <w:rsid w:val="79AD5AE3"/>
    <w:rsid w:val="79AE6EA7"/>
    <w:rsid w:val="79C27479"/>
    <w:rsid w:val="79F543FD"/>
    <w:rsid w:val="79F74220"/>
    <w:rsid w:val="79FC4DA1"/>
    <w:rsid w:val="7A0F09A6"/>
    <w:rsid w:val="7A1D776F"/>
    <w:rsid w:val="7A1F2907"/>
    <w:rsid w:val="7A24348E"/>
    <w:rsid w:val="7A2B1BC7"/>
    <w:rsid w:val="7A2B631A"/>
    <w:rsid w:val="7A2C729D"/>
    <w:rsid w:val="7A2D7901"/>
    <w:rsid w:val="7A460335"/>
    <w:rsid w:val="7A492C0B"/>
    <w:rsid w:val="7A4C44FA"/>
    <w:rsid w:val="7A4F5C82"/>
    <w:rsid w:val="7A734C9F"/>
    <w:rsid w:val="7A77737A"/>
    <w:rsid w:val="7A8457B0"/>
    <w:rsid w:val="7A8516A5"/>
    <w:rsid w:val="7A94272C"/>
    <w:rsid w:val="7AA155DC"/>
    <w:rsid w:val="7AA84469"/>
    <w:rsid w:val="7AAE0C7A"/>
    <w:rsid w:val="7AB60A49"/>
    <w:rsid w:val="7ABF6083"/>
    <w:rsid w:val="7AC824ED"/>
    <w:rsid w:val="7AD105B4"/>
    <w:rsid w:val="7ADA2D7A"/>
    <w:rsid w:val="7ADA3B09"/>
    <w:rsid w:val="7ADE113B"/>
    <w:rsid w:val="7AE45999"/>
    <w:rsid w:val="7AE81470"/>
    <w:rsid w:val="7AEB4818"/>
    <w:rsid w:val="7AEF0496"/>
    <w:rsid w:val="7AF877E8"/>
    <w:rsid w:val="7B006E8A"/>
    <w:rsid w:val="7B0B5FFF"/>
    <w:rsid w:val="7B141D15"/>
    <w:rsid w:val="7B167CCF"/>
    <w:rsid w:val="7B1B37D1"/>
    <w:rsid w:val="7B1D6448"/>
    <w:rsid w:val="7B244DCE"/>
    <w:rsid w:val="7B3A1648"/>
    <w:rsid w:val="7B3B2D7A"/>
    <w:rsid w:val="7B404FFF"/>
    <w:rsid w:val="7B47697F"/>
    <w:rsid w:val="7B4C4D05"/>
    <w:rsid w:val="7B503340"/>
    <w:rsid w:val="7B513BAA"/>
    <w:rsid w:val="7B542467"/>
    <w:rsid w:val="7B5A5FC7"/>
    <w:rsid w:val="7B631F39"/>
    <w:rsid w:val="7B714433"/>
    <w:rsid w:val="7B7C5290"/>
    <w:rsid w:val="7B8C574B"/>
    <w:rsid w:val="7B8D56D4"/>
    <w:rsid w:val="7B9D560D"/>
    <w:rsid w:val="7B9E0C2E"/>
    <w:rsid w:val="7B9F208A"/>
    <w:rsid w:val="7BAD32EA"/>
    <w:rsid w:val="7BB578EB"/>
    <w:rsid w:val="7BB66964"/>
    <w:rsid w:val="7BBB2050"/>
    <w:rsid w:val="7BBB3267"/>
    <w:rsid w:val="7BC30BF1"/>
    <w:rsid w:val="7BC7411D"/>
    <w:rsid w:val="7BD03150"/>
    <w:rsid w:val="7BD1159E"/>
    <w:rsid w:val="7BD3697D"/>
    <w:rsid w:val="7BD5095C"/>
    <w:rsid w:val="7BD6557C"/>
    <w:rsid w:val="7BE00E5D"/>
    <w:rsid w:val="7BE04DA4"/>
    <w:rsid w:val="7BE6417B"/>
    <w:rsid w:val="7BED0861"/>
    <w:rsid w:val="7BF059CF"/>
    <w:rsid w:val="7BF64A65"/>
    <w:rsid w:val="7BF756AB"/>
    <w:rsid w:val="7BFB7C0E"/>
    <w:rsid w:val="7BFC394D"/>
    <w:rsid w:val="7BFC4191"/>
    <w:rsid w:val="7C046A6C"/>
    <w:rsid w:val="7C056D61"/>
    <w:rsid w:val="7C0E7861"/>
    <w:rsid w:val="7C1D474E"/>
    <w:rsid w:val="7C223BE8"/>
    <w:rsid w:val="7C245CD0"/>
    <w:rsid w:val="7C2556DF"/>
    <w:rsid w:val="7C291C61"/>
    <w:rsid w:val="7C2B1F90"/>
    <w:rsid w:val="7C367163"/>
    <w:rsid w:val="7C385370"/>
    <w:rsid w:val="7C4B344F"/>
    <w:rsid w:val="7C533E8E"/>
    <w:rsid w:val="7C570C67"/>
    <w:rsid w:val="7C7B377A"/>
    <w:rsid w:val="7C7D4A93"/>
    <w:rsid w:val="7C8841D0"/>
    <w:rsid w:val="7C942501"/>
    <w:rsid w:val="7CAF11E3"/>
    <w:rsid w:val="7CB204EC"/>
    <w:rsid w:val="7CB5406C"/>
    <w:rsid w:val="7CB5504E"/>
    <w:rsid w:val="7CB96571"/>
    <w:rsid w:val="7CCB6018"/>
    <w:rsid w:val="7CD76DBF"/>
    <w:rsid w:val="7CDC1C14"/>
    <w:rsid w:val="7CE96A5E"/>
    <w:rsid w:val="7CEA5028"/>
    <w:rsid w:val="7CF83E34"/>
    <w:rsid w:val="7D036317"/>
    <w:rsid w:val="7D1015A4"/>
    <w:rsid w:val="7D103CA2"/>
    <w:rsid w:val="7D142149"/>
    <w:rsid w:val="7D174EEA"/>
    <w:rsid w:val="7D35727D"/>
    <w:rsid w:val="7D3D7334"/>
    <w:rsid w:val="7D3E017E"/>
    <w:rsid w:val="7D4B78FF"/>
    <w:rsid w:val="7D546A80"/>
    <w:rsid w:val="7D577660"/>
    <w:rsid w:val="7D5B2733"/>
    <w:rsid w:val="7D65663E"/>
    <w:rsid w:val="7D6F48FE"/>
    <w:rsid w:val="7D7438D1"/>
    <w:rsid w:val="7D8C6979"/>
    <w:rsid w:val="7D9D06F9"/>
    <w:rsid w:val="7DA65FFC"/>
    <w:rsid w:val="7DA70304"/>
    <w:rsid w:val="7DA763D8"/>
    <w:rsid w:val="7DAB0888"/>
    <w:rsid w:val="7DAF4A53"/>
    <w:rsid w:val="7DB66C88"/>
    <w:rsid w:val="7DC10274"/>
    <w:rsid w:val="7DC14F69"/>
    <w:rsid w:val="7DC25C15"/>
    <w:rsid w:val="7DC26B2F"/>
    <w:rsid w:val="7DC54CFA"/>
    <w:rsid w:val="7DE92960"/>
    <w:rsid w:val="7DF52060"/>
    <w:rsid w:val="7DF60E33"/>
    <w:rsid w:val="7DF74168"/>
    <w:rsid w:val="7DFF5133"/>
    <w:rsid w:val="7E015F26"/>
    <w:rsid w:val="7E0207B5"/>
    <w:rsid w:val="7E1721F2"/>
    <w:rsid w:val="7E186BF6"/>
    <w:rsid w:val="7E2B6D62"/>
    <w:rsid w:val="7E2C166E"/>
    <w:rsid w:val="7E31482C"/>
    <w:rsid w:val="7E3B4346"/>
    <w:rsid w:val="7E3C3476"/>
    <w:rsid w:val="7E3E3D64"/>
    <w:rsid w:val="7E4A2C8D"/>
    <w:rsid w:val="7E4C5755"/>
    <w:rsid w:val="7E55798D"/>
    <w:rsid w:val="7E5D0368"/>
    <w:rsid w:val="7E5D5944"/>
    <w:rsid w:val="7E614725"/>
    <w:rsid w:val="7E697223"/>
    <w:rsid w:val="7E731B01"/>
    <w:rsid w:val="7E7F09F2"/>
    <w:rsid w:val="7E807021"/>
    <w:rsid w:val="7E8C0C30"/>
    <w:rsid w:val="7E973B8F"/>
    <w:rsid w:val="7EA07638"/>
    <w:rsid w:val="7EA21CFF"/>
    <w:rsid w:val="7EAB0E19"/>
    <w:rsid w:val="7EBC2B81"/>
    <w:rsid w:val="7EC22FFF"/>
    <w:rsid w:val="7EC7031E"/>
    <w:rsid w:val="7ECA5DAA"/>
    <w:rsid w:val="7ECE2F5E"/>
    <w:rsid w:val="7ED44D56"/>
    <w:rsid w:val="7EDE3A3C"/>
    <w:rsid w:val="7EDF769D"/>
    <w:rsid w:val="7EE450EE"/>
    <w:rsid w:val="7EEA6198"/>
    <w:rsid w:val="7EEF404F"/>
    <w:rsid w:val="7EF2110C"/>
    <w:rsid w:val="7F0B0A8F"/>
    <w:rsid w:val="7F0D0C24"/>
    <w:rsid w:val="7F117BA1"/>
    <w:rsid w:val="7F1768E3"/>
    <w:rsid w:val="7F1B4BF7"/>
    <w:rsid w:val="7F1D77EF"/>
    <w:rsid w:val="7F287DBC"/>
    <w:rsid w:val="7F291B6F"/>
    <w:rsid w:val="7F306E0F"/>
    <w:rsid w:val="7F3407BB"/>
    <w:rsid w:val="7F39577E"/>
    <w:rsid w:val="7F3A561D"/>
    <w:rsid w:val="7F3D6497"/>
    <w:rsid w:val="7F3E6562"/>
    <w:rsid w:val="7F477996"/>
    <w:rsid w:val="7F4C006A"/>
    <w:rsid w:val="7F587E33"/>
    <w:rsid w:val="7F7B124B"/>
    <w:rsid w:val="7F806FE5"/>
    <w:rsid w:val="7F825E0B"/>
    <w:rsid w:val="7F8A748F"/>
    <w:rsid w:val="7FA03B81"/>
    <w:rsid w:val="7FB67B95"/>
    <w:rsid w:val="7FB72B7E"/>
    <w:rsid w:val="7FBD0CE4"/>
    <w:rsid w:val="7FC10AE0"/>
    <w:rsid w:val="7FCB5DD4"/>
    <w:rsid w:val="7FDB5225"/>
    <w:rsid w:val="7FEA4FC4"/>
    <w:rsid w:val="7FED462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9" w:name="heading 5"/>
    <w:lsdException w:qFormat="1" w:uiPriority="9" w:name="heading 6"/>
    <w:lsdException w:qFormat="1" w:unhideWhenUsed="0" w:uiPriority="0" w:semiHidden="0" w:name="heading 7"/>
    <w:lsdException w:qFormat="1" w:uiPriority="9" w:name="heading 8"/>
    <w:lsdException w:qFormat="1" w:uiPriority="9" w:name="heading 9"/>
    <w:lsdException w:qFormat="1" w:unhideWhenUsed="0" w:uiPriority="0" w:semiHidden="0"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nhideWhenUsed="0" w:uiPriority="99" w:semiHidden="0" w:name="annotation text"/>
    <w:lsdException w:qFormat="1" w:uiPriority="99" w:semiHidden="0" w:name="header"/>
    <w:lsdException w:qFormat="1" w:uiPriority="99" w:semiHidden="0" w:name="footer"/>
    <w:lsdException w:uiPriority="99" w:name="index heading"/>
    <w:lsdException w:qFormat="1" w:unhideWhenUsed="0" w:uiPriority="0" w:semiHidden="0" w:name="caption"/>
    <w:lsdException w:uiPriority="99" w:name="table of figures"/>
    <w:lsdException w:uiPriority="99" w:name="envelope address"/>
    <w:lsdException w:uiPriority="99" w:name="envelope return"/>
    <w:lsdException w:uiPriority="99" w:name="footnote reference"/>
    <w:lsdException w:qFormat="1" w:unhideWhenUsed="0" w:uiPriority="99" w:semiHidden="0" w:name="annotation reference"/>
    <w:lsdException w:qFormat="1" w:uiPriority="99" w:name="line number"/>
    <w:lsdException w:qFormat="1" w:unhideWhenUsed="0"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qFormat="1" w:unhideWhenUsed="0" w:uiPriority="0" w:semiHidden="0"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sdException w:uiPriority="99" w:name="Salutation"/>
    <w:lsdException w:qFormat="1" w:unhideWhenUsed="0" w:uiPriority="0" w:semiHidden="0" w:name="Date"/>
    <w:lsdException w:qFormat="1" w:uiPriority="99" w:name="Body Text First Indent"/>
    <w:lsdException w:qFormat="1" w:uiPriority="99" w:name="Body Text First Indent 2"/>
    <w:lsdException w:uiPriority="99"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nhideWhenUsed="0" w:uiPriority="99" w:semiHidden="0" w:name="Hyperlink"/>
    <w:lsdException w:uiPriority="99" w:name="FollowedHyperlink"/>
    <w:lsdException w:qFormat="1" w:unhideWhenUsed="0" w:uiPriority="0" w:semiHidden="0" w:name="Strong"/>
    <w:lsdException w:qFormat="1" w:unhideWhenUsed="0" w:uiPriority="20" w:semiHidden="0" w:name="Emphasis"/>
    <w:lsdException w:qFormat="1" w:unhideWhenUsed="0" w:uiPriority="99" w:semiHidden="0"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nhideWhenUsed="0" w:uiPriority="0" w:semiHidden="0" w:name="HTML Preformatted"/>
    <w:lsdException w:uiPriority="99" w:name="HTML Sample"/>
    <w:lsdException w:uiPriority="99" w:name="HTML Typewriter"/>
    <w:lsdException w:uiPriority="99" w:name="HTML Variable"/>
    <w:lsdException w:qFormat="1" w:uiPriority="99" w:name="Normal Table"/>
    <w:lsdException w:qFormat="1" w:unhideWhenUsed="0"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semiHidden="0" w:name="Balloon Text"/>
    <w:lsdException w:qFormat="1"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qFormat="1"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qFormat="1" w:unhideWhenUsed="0" w:uiPriority="60" w:semiHidden="0" w:name="Light Shading Accent 3"/>
    <w:lsdException w:qFormat="1"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qFormat="1"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link w:val="49"/>
    <w:qFormat/>
    <w:uiPriority w:val="99"/>
    <w:pPr>
      <w:keepNext/>
      <w:spacing w:line="500" w:lineRule="exact"/>
      <w:outlineLvl w:val="0"/>
    </w:pPr>
    <w:rPr>
      <w:w w:val="90"/>
      <w:sz w:val="28"/>
    </w:rPr>
  </w:style>
  <w:style w:type="paragraph" w:styleId="4">
    <w:name w:val="heading 2"/>
    <w:basedOn w:val="1"/>
    <w:next w:val="1"/>
    <w:link w:val="47"/>
    <w:qFormat/>
    <w:uiPriority w:val="0"/>
    <w:pPr>
      <w:keepNext/>
      <w:keepLines/>
      <w:snapToGrid w:val="0"/>
      <w:spacing w:line="360" w:lineRule="auto"/>
      <w:textAlignment w:val="baseline"/>
      <w:outlineLvl w:val="1"/>
    </w:pPr>
    <w:rPr>
      <w:rFonts w:hint="eastAsia" w:ascii="楷体_GB2312" w:eastAsia="楷体_GB2312"/>
      <w:b/>
      <w:sz w:val="28"/>
      <w:szCs w:val="28"/>
    </w:rPr>
  </w:style>
  <w:style w:type="paragraph" w:styleId="5">
    <w:name w:val="heading 3"/>
    <w:basedOn w:val="1"/>
    <w:next w:val="1"/>
    <w:link w:val="50"/>
    <w:qFormat/>
    <w:uiPriority w:val="0"/>
    <w:pPr>
      <w:keepNext/>
      <w:spacing w:line="500" w:lineRule="exact"/>
      <w:ind w:right="-105" w:rightChars="-50" w:firstLine="252" w:firstLineChars="100"/>
      <w:jc w:val="center"/>
      <w:outlineLvl w:val="2"/>
    </w:pPr>
    <w:rPr>
      <w:w w:val="90"/>
      <w:sz w:val="28"/>
    </w:rPr>
  </w:style>
  <w:style w:type="paragraph" w:styleId="6">
    <w:name w:val="heading 4"/>
    <w:basedOn w:val="1"/>
    <w:next w:val="1"/>
    <w:link w:val="51"/>
    <w:qFormat/>
    <w:uiPriority w:val="0"/>
    <w:pPr>
      <w:keepNext/>
      <w:spacing w:line="440" w:lineRule="exact"/>
      <w:ind w:left="-50" w:right="-50"/>
      <w:jc w:val="center"/>
      <w:outlineLvl w:val="3"/>
    </w:pPr>
    <w:rPr>
      <w:sz w:val="28"/>
    </w:rPr>
  </w:style>
  <w:style w:type="paragraph" w:styleId="7">
    <w:name w:val="heading 7"/>
    <w:basedOn w:val="1"/>
    <w:next w:val="1"/>
    <w:link w:val="52"/>
    <w:qFormat/>
    <w:uiPriority w:val="0"/>
    <w:pPr>
      <w:keepNext/>
      <w:tabs>
        <w:tab w:val="left" w:pos="360"/>
      </w:tabs>
      <w:spacing w:line="348" w:lineRule="auto"/>
      <w:outlineLvl w:val="6"/>
    </w:pPr>
    <w:rPr>
      <w:color w:val="000000"/>
      <w:sz w:val="28"/>
    </w:rPr>
  </w:style>
  <w:style w:type="character" w:default="1" w:styleId="38">
    <w:name w:val="Default Paragraph Font"/>
    <w:semiHidden/>
    <w:unhideWhenUsed/>
    <w:qFormat/>
    <w:uiPriority w:val="1"/>
  </w:style>
  <w:style w:type="table" w:default="1" w:styleId="32">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1"/>
    <w:link w:val="78"/>
    <w:qFormat/>
    <w:uiPriority w:val="0"/>
    <w:rPr>
      <w:sz w:val="28"/>
    </w:rPr>
  </w:style>
  <w:style w:type="paragraph" w:styleId="8">
    <w:name w:val="Normal Indent"/>
    <w:basedOn w:val="1"/>
    <w:link w:val="62"/>
    <w:qFormat/>
    <w:uiPriority w:val="0"/>
    <w:pPr>
      <w:widowControl/>
      <w:ind w:firstLine="420"/>
      <w:jc w:val="left"/>
    </w:pPr>
    <w:rPr>
      <w:rFonts w:eastAsia="华文中宋" w:asciiTheme="minorHAnsi" w:hAnsiTheme="minorHAnsi" w:cstheme="minorBidi"/>
      <w:w w:val="90"/>
      <w:sz w:val="28"/>
      <w:szCs w:val="22"/>
    </w:rPr>
  </w:style>
  <w:style w:type="paragraph" w:styleId="9">
    <w:name w:val="caption"/>
    <w:basedOn w:val="1"/>
    <w:next w:val="1"/>
    <w:qFormat/>
    <w:uiPriority w:val="0"/>
    <w:pPr>
      <w:widowControl/>
      <w:spacing w:before="152" w:after="160"/>
      <w:jc w:val="left"/>
    </w:pPr>
    <w:rPr>
      <w:rFonts w:ascii="Arial" w:hAnsi="Arial" w:eastAsia="黑体"/>
      <w:w w:val="90"/>
      <w:kern w:val="0"/>
      <w:sz w:val="28"/>
      <w:szCs w:val="20"/>
    </w:rPr>
  </w:style>
  <w:style w:type="paragraph" w:styleId="10">
    <w:name w:val="Document Map"/>
    <w:basedOn w:val="1"/>
    <w:link w:val="143"/>
    <w:qFormat/>
    <w:uiPriority w:val="99"/>
    <w:pPr>
      <w:shd w:val="clear" w:color="auto" w:fill="000080"/>
    </w:pPr>
    <w:rPr>
      <w:lang w:val="zh-CN" w:eastAsia="zh-CN"/>
    </w:rPr>
  </w:style>
  <w:style w:type="paragraph" w:styleId="11">
    <w:name w:val="annotation text"/>
    <w:basedOn w:val="1"/>
    <w:link w:val="128"/>
    <w:qFormat/>
    <w:uiPriority w:val="99"/>
    <w:pPr>
      <w:jc w:val="left"/>
    </w:pPr>
    <w:rPr>
      <w:lang w:val="zh-CN" w:eastAsia="zh-CN"/>
    </w:rPr>
  </w:style>
  <w:style w:type="paragraph" w:styleId="12">
    <w:name w:val="Body Text 3"/>
    <w:basedOn w:val="1"/>
    <w:link w:val="83"/>
    <w:qFormat/>
    <w:uiPriority w:val="0"/>
    <w:pPr>
      <w:widowControl/>
      <w:jc w:val="center"/>
    </w:pPr>
    <w:rPr>
      <w:rFonts w:eastAsia="方正书宋简体"/>
      <w:w w:val="90"/>
      <w:kern w:val="0"/>
      <w:sz w:val="28"/>
      <w:szCs w:val="20"/>
    </w:rPr>
  </w:style>
  <w:style w:type="paragraph" w:styleId="13">
    <w:name w:val="Body Text Indent"/>
    <w:basedOn w:val="1"/>
    <w:link w:val="84"/>
    <w:qFormat/>
    <w:uiPriority w:val="0"/>
    <w:pPr>
      <w:ind w:firstLine="538" w:firstLineChars="192"/>
    </w:pPr>
    <w:rPr>
      <w:sz w:val="28"/>
    </w:rPr>
  </w:style>
  <w:style w:type="paragraph" w:styleId="14">
    <w:name w:val="Block Text"/>
    <w:basedOn w:val="1"/>
    <w:qFormat/>
    <w:uiPriority w:val="0"/>
    <w:pPr>
      <w:spacing w:line="360" w:lineRule="exact"/>
      <w:ind w:left="105" w:leftChars="50" w:right="105" w:rightChars="50"/>
    </w:pPr>
    <w:rPr>
      <w:sz w:val="24"/>
    </w:rPr>
  </w:style>
  <w:style w:type="paragraph" w:styleId="15">
    <w:name w:val="Plain Text"/>
    <w:basedOn w:val="1"/>
    <w:link w:val="58"/>
    <w:qFormat/>
    <w:uiPriority w:val="0"/>
    <w:rPr>
      <w:rFonts w:ascii="宋体" w:hAnsi="Courier New" w:cs="Courier New"/>
      <w:szCs w:val="21"/>
    </w:rPr>
  </w:style>
  <w:style w:type="paragraph" w:styleId="16">
    <w:name w:val="Date"/>
    <w:basedOn w:val="1"/>
    <w:next w:val="1"/>
    <w:link w:val="77"/>
    <w:qFormat/>
    <w:uiPriority w:val="0"/>
    <w:pPr>
      <w:adjustRightInd w:val="0"/>
      <w:spacing w:line="312" w:lineRule="atLeast"/>
      <w:textAlignment w:val="baseline"/>
    </w:pPr>
    <w:rPr>
      <w:rFonts w:eastAsia="楷体_GB2312"/>
      <w:kern w:val="0"/>
      <w:sz w:val="28"/>
      <w:szCs w:val="20"/>
    </w:rPr>
  </w:style>
  <w:style w:type="paragraph" w:styleId="17">
    <w:name w:val="Body Text Indent 2"/>
    <w:basedOn w:val="1"/>
    <w:link w:val="73"/>
    <w:qFormat/>
    <w:uiPriority w:val="0"/>
    <w:pPr>
      <w:tabs>
        <w:tab w:val="left" w:pos="180"/>
      </w:tabs>
      <w:ind w:firstLine="567"/>
    </w:pPr>
    <w:rPr>
      <w:rFonts w:ascii="宋体" w:hAnsi="宋体"/>
      <w:sz w:val="28"/>
    </w:rPr>
  </w:style>
  <w:style w:type="paragraph" w:styleId="18">
    <w:name w:val="Balloon Text"/>
    <w:basedOn w:val="1"/>
    <w:link w:val="71"/>
    <w:qFormat/>
    <w:uiPriority w:val="99"/>
    <w:rPr>
      <w:sz w:val="18"/>
      <w:szCs w:val="18"/>
    </w:rPr>
  </w:style>
  <w:style w:type="paragraph" w:styleId="19">
    <w:name w:val="footer"/>
    <w:basedOn w:val="1"/>
    <w:link w:val="46"/>
    <w:unhideWhenUsed/>
    <w:qFormat/>
    <w:uiPriority w:val="99"/>
    <w:pPr>
      <w:tabs>
        <w:tab w:val="center" w:pos="4153"/>
        <w:tab w:val="right" w:pos="8306"/>
      </w:tabs>
      <w:snapToGrid w:val="0"/>
      <w:jc w:val="left"/>
    </w:pPr>
    <w:rPr>
      <w:sz w:val="18"/>
      <w:szCs w:val="18"/>
    </w:rPr>
  </w:style>
  <w:style w:type="paragraph" w:styleId="20">
    <w:name w:val="header"/>
    <w:basedOn w:val="1"/>
    <w:link w:val="45"/>
    <w:unhideWhenUsed/>
    <w:qFormat/>
    <w:uiPriority w:val="99"/>
    <w:pPr>
      <w:pBdr>
        <w:bottom w:val="single" w:color="auto" w:sz="6" w:space="1"/>
      </w:pBdr>
      <w:tabs>
        <w:tab w:val="center" w:pos="4153"/>
        <w:tab w:val="right" w:pos="8306"/>
      </w:tabs>
      <w:snapToGrid w:val="0"/>
      <w:jc w:val="center"/>
    </w:pPr>
    <w:rPr>
      <w:sz w:val="18"/>
      <w:szCs w:val="18"/>
    </w:rPr>
  </w:style>
  <w:style w:type="paragraph" w:styleId="21">
    <w:name w:val="toc 1"/>
    <w:basedOn w:val="1"/>
    <w:next w:val="1"/>
    <w:semiHidden/>
    <w:unhideWhenUsed/>
    <w:qFormat/>
    <w:uiPriority w:val="39"/>
  </w:style>
  <w:style w:type="paragraph" w:styleId="22">
    <w:name w:val="Subtitle"/>
    <w:basedOn w:val="1"/>
    <w:next w:val="1"/>
    <w:link w:val="127"/>
    <w:qFormat/>
    <w:uiPriority w:val="0"/>
    <w:pPr>
      <w:spacing w:line="480" w:lineRule="exact"/>
      <w:jc w:val="center"/>
      <w:outlineLvl w:val="4"/>
    </w:pPr>
    <w:rPr>
      <w:rFonts w:ascii="Cambria" w:hAnsi="Cambria"/>
      <w:kern w:val="0"/>
      <w:lang w:val="zh-CN" w:eastAsia="en-US" w:bidi="en-US"/>
    </w:rPr>
  </w:style>
  <w:style w:type="paragraph" w:styleId="23">
    <w:name w:val="List"/>
    <w:basedOn w:val="1"/>
    <w:qFormat/>
    <w:uiPriority w:val="0"/>
    <w:pPr>
      <w:ind w:left="200" w:hanging="200" w:hangingChars="200"/>
    </w:pPr>
  </w:style>
  <w:style w:type="paragraph" w:styleId="24">
    <w:name w:val="Body Text Indent 3"/>
    <w:basedOn w:val="1"/>
    <w:link w:val="82"/>
    <w:qFormat/>
    <w:uiPriority w:val="0"/>
    <w:pPr>
      <w:spacing w:line="560" w:lineRule="exact"/>
      <w:ind w:firstLine="560" w:firstLineChars="200"/>
    </w:pPr>
    <w:rPr>
      <w:sz w:val="28"/>
    </w:rPr>
  </w:style>
  <w:style w:type="paragraph" w:styleId="25">
    <w:name w:val="Body Text 2"/>
    <w:basedOn w:val="1"/>
    <w:link w:val="61"/>
    <w:qFormat/>
    <w:uiPriority w:val="0"/>
    <w:rPr>
      <w:rFonts w:asciiTheme="minorHAnsi" w:hAnsiTheme="minorHAnsi" w:eastAsiaTheme="minorEastAsia" w:cstheme="minorBidi"/>
      <w:sz w:val="24"/>
    </w:rPr>
  </w:style>
  <w:style w:type="paragraph" w:styleId="26">
    <w:name w:val="HTML Preformatted"/>
    <w:basedOn w:val="1"/>
    <w:link w:val="80"/>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30" w:lineRule="atLeast"/>
      <w:jc w:val="left"/>
    </w:pPr>
    <w:rPr>
      <w:rFonts w:ascii="Arial" w:hAnsi="Arial" w:cs="Arial"/>
      <w:kern w:val="0"/>
      <w:szCs w:val="21"/>
    </w:rPr>
  </w:style>
  <w:style w:type="paragraph" w:styleId="27">
    <w:name w:val="Normal (Web)"/>
    <w:basedOn w:val="1"/>
    <w:qFormat/>
    <w:uiPriority w:val="0"/>
    <w:pPr>
      <w:widowControl/>
      <w:spacing w:before="100" w:beforeAutospacing="1" w:after="100" w:afterAutospacing="1"/>
      <w:jc w:val="left"/>
    </w:pPr>
    <w:rPr>
      <w:rFonts w:ascii="宋体" w:hAnsi="宋体"/>
      <w:kern w:val="0"/>
      <w:sz w:val="24"/>
    </w:rPr>
  </w:style>
  <w:style w:type="paragraph" w:styleId="28">
    <w:name w:val="index 1"/>
    <w:basedOn w:val="1"/>
    <w:next w:val="1"/>
    <w:qFormat/>
    <w:uiPriority w:val="0"/>
    <w:pPr>
      <w:jc w:val="center"/>
    </w:pPr>
    <w:rPr>
      <w:rFonts w:eastAsia="仿宋_GB2312"/>
    </w:rPr>
  </w:style>
  <w:style w:type="paragraph" w:styleId="29">
    <w:name w:val="annotation subject"/>
    <w:basedOn w:val="11"/>
    <w:next w:val="11"/>
    <w:link w:val="75"/>
    <w:qFormat/>
    <w:uiPriority w:val="99"/>
    <w:rPr>
      <w:b/>
      <w:bCs/>
    </w:rPr>
  </w:style>
  <w:style w:type="paragraph" w:styleId="30">
    <w:name w:val="Body Text First Indent"/>
    <w:basedOn w:val="2"/>
    <w:link w:val="144"/>
    <w:semiHidden/>
    <w:unhideWhenUsed/>
    <w:qFormat/>
    <w:uiPriority w:val="99"/>
    <w:pPr>
      <w:spacing w:after="120"/>
      <w:ind w:firstLine="420" w:firstLineChars="100"/>
    </w:pPr>
    <w:rPr>
      <w:sz w:val="21"/>
    </w:rPr>
  </w:style>
  <w:style w:type="paragraph" w:styleId="31">
    <w:name w:val="Body Text First Indent 2"/>
    <w:basedOn w:val="13"/>
    <w:link w:val="145"/>
    <w:semiHidden/>
    <w:unhideWhenUsed/>
    <w:qFormat/>
    <w:uiPriority w:val="99"/>
    <w:pPr>
      <w:spacing w:after="120"/>
      <w:ind w:left="420" w:leftChars="200" w:firstLine="420" w:firstLineChars="200"/>
    </w:pPr>
    <w:rPr>
      <w:sz w:val="21"/>
    </w:rPr>
  </w:style>
  <w:style w:type="table" w:styleId="33">
    <w:name w:val="Table Grid"/>
    <w:basedOn w:val="32"/>
    <w:qFormat/>
    <w:uiPriority w:val="9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34">
    <w:name w:val="Light Shading Accent 2"/>
    <w:basedOn w:val="32"/>
    <w:qFormat/>
    <w:uiPriority w:val="60"/>
    <w:rPr>
      <w:rFonts w:ascii="Times New Roman" w:hAnsi="Times New Roman" w:eastAsia="宋体" w:cs="Times New Roman"/>
      <w:color w:val="C55A11" w:themeColor="accent2" w:themeShade="BF"/>
    </w:rPr>
    <w:tblPr>
      <w:tblBorders>
        <w:top w:val="single" w:color="ED7D31" w:themeColor="accent2" w:sz="8" w:space="0"/>
        <w:bottom w:val="single" w:color="ED7D31" w:themeColor="accent2" w:sz="8" w:space="0"/>
      </w:tblBorders>
    </w:tblPr>
    <w:tblStylePr w:type="firstRow">
      <w:pPr>
        <w:spacing w:before="0" w:after="0" w:line="240" w:lineRule="auto"/>
      </w:pPr>
      <w:rPr>
        <w:b/>
        <w:bCs/>
      </w:rPr>
      <w:tblPr/>
      <w:tcPr>
        <w:tcBorders>
          <w:top w:val="single" w:color="ED7D31" w:themeColor="accent2" w:sz="8" w:space="0"/>
          <w:left w:val="nil"/>
          <w:bottom w:val="single" w:color="ED7D31" w:themeColor="accent2" w:sz="8" w:space="0"/>
          <w:right w:val="nil"/>
          <w:insideH w:val="nil"/>
          <w:insideV w:val="nil"/>
        </w:tcBorders>
      </w:tcPr>
    </w:tblStylePr>
    <w:tblStylePr w:type="lastRow">
      <w:pPr>
        <w:spacing w:before="0" w:after="0" w:line="240" w:lineRule="auto"/>
      </w:pPr>
      <w:rPr>
        <w:b/>
        <w:bCs/>
      </w:rPr>
      <w:tblPr/>
      <w:tcPr>
        <w:tcBorders>
          <w:top w:val="single" w:color="ED7D31" w:themeColor="accent2" w:sz="8" w:space="0"/>
          <w:left w:val="nil"/>
          <w:bottom w:val="single" w:color="ED7D31" w:themeColor="accent2"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C" w:themeFill="accent2" w:themeFillTint="3F"/>
      </w:tcPr>
    </w:tblStylePr>
    <w:tblStylePr w:type="band1Horz">
      <w:tblPr/>
      <w:tcPr>
        <w:tcBorders>
          <w:left w:val="nil"/>
          <w:right w:val="nil"/>
          <w:insideH w:val="nil"/>
          <w:insideV w:val="nil"/>
        </w:tcBorders>
        <w:shd w:val="clear" w:color="auto" w:fill="FADECC" w:themeFill="accent2" w:themeFillTint="3F"/>
      </w:tcPr>
    </w:tblStylePr>
  </w:style>
  <w:style w:type="table" w:styleId="35">
    <w:name w:val="Light Shading Accent 3"/>
    <w:basedOn w:val="32"/>
    <w:qFormat/>
    <w:uiPriority w:val="60"/>
    <w:rPr>
      <w:rFonts w:ascii="Times New Roman" w:hAnsi="Times New Roman" w:eastAsia="宋体" w:cs="Times New Roman"/>
      <w:color w:val="7C7C7C" w:themeColor="accent3" w:themeShade="BF"/>
    </w:rPr>
    <w:tblPr>
      <w:tblBorders>
        <w:top w:val="single" w:color="A5A5A5" w:themeColor="accent3" w:sz="8" w:space="0"/>
        <w:bottom w:val="single" w:color="A5A5A5" w:themeColor="accent3" w:sz="8" w:space="0"/>
      </w:tblBorders>
    </w:tblPr>
    <w:tblStylePr w:type="firstRow">
      <w:pPr>
        <w:spacing w:before="0" w:after="0" w:line="240" w:lineRule="auto"/>
      </w:pPr>
      <w:rPr>
        <w:b/>
        <w:bCs/>
      </w:rPr>
      <w:tblPr/>
      <w:tcPr>
        <w:tcBorders>
          <w:top w:val="single" w:color="A5A5A5" w:themeColor="accent3" w:sz="8" w:space="0"/>
          <w:left w:val="nil"/>
          <w:bottom w:val="single" w:color="A5A5A5" w:themeColor="accent3" w:sz="8" w:space="0"/>
          <w:right w:val="nil"/>
          <w:insideH w:val="nil"/>
          <w:insideV w:val="nil"/>
        </w:tcBorders>
      </w:tcPr>
    </w:tblStylePr>
    <w:tblStylePr w:type="lastRow">
      <w:pPr>
        <w:spacing w:before="0" w:after="0" w:line="240" w:lineRule="auto"/>
      </w:pPr>
      <w:rPr>
        <w:b/>
        <w:bCs/>
      </w:rPr>
      <w:tblPr/>
      <w:tcPr>
        <w:tcBorders>
          <w:top w:val="single" w:color="A5A5A5" w:themeColor="accent3" w:sz="8" w:space="0"/>
          <w:left w:val="nil"/>
          <w:bottom w:val="single" w:color="A5A5A5" w:themeColor="accent3"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36">
    <w:name w:val="Light Shading Accent 4"/>
    <w:basedOn w:val="32"/>
    <w:qFormat/>
    <w:uiPriority w:val="60"/>
    <w:rPr>
      <w:rFonts w:ascii="Times New Roman" w:hAnsi="Times New Roman" w:eastAsia="宋体" w:cs="Times New Roman"/>
      <w:color w:val="BF9000" w:themeColor="accent4" w:themeShade="BF"/>
    </w:rPr>
    <w:tblPr>
      <w:tblBorders>
        <w:top w:val="single" w:color="FFC000" w:themeColor="accent4" w:sz="8" w:space="0"/>
        <w:bottom w:val="single" w:color="FFC000" w:themeColor="accent4" w:sz="8" w:space="0"/>
      </w:tblBorders>
    </w:tblPr>
    <w:tblStylePr w:type="firstRow">
      <w:pPr>
        <w:spacing w:before="0" w:after="0" w:line="240" w:lineRule="auto"/>
      </w:pPr>
      <w:rPr>
        <w:b/>
        <w:bCs/>
      </w:rPr>
      <w:tblPr/>
      <w:tcPr>
        <w:tcBorders>
          <w:top w:val="single" w:color="FFC000" w:themeColor="accent4" w:sz="8" w:space="0"/>
          <w:left w:val="nil"/>
          <w:bottom w:val="single" w:color="FFC000" w:themeColor="accent4" w:sz="8" w:space="0"/>
          <w:right w:val="nil"/>
          <w:insideH w:val="nil"/>
          <w:insideV w:val="nil"/>
        </w:tcBorders>
      </w:tcPr>
    </w:tblStylePr>
    <w:tblStylePr w:type="lastRow">
      <w:pPr>
        <w:spacing w:before="0" w:after="0" w:line="240" w:lineRule="auto"/>
      </w:pPr>
      <w:rPr>
        <w:b/>
        <w:bCs/>
      </w:rPr>
      <w:tblPr/>
      <w:tcPr>
        <w:tcBorders>
          <w:top w:val="single" w:color="FFC000" w:themeColor="accent4" w:sz="8" w:space="0"/>
          <w:left w:val="nil"/>
          <w:bottom w:val="single" w:color="FFC000" w:themeColor="accent4"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BF" w:themeFill="accent4" w:themeFillTint="3F"/>
      </w:tcPr>
    </w:tblStylePr>
    <w:tblStylePr w:type="band1Horz">
      <w:tblPr/>
      <w:tcPr>
        <w:tcBorders>
          <w:left w:val="nil"/>
          <w:right w:val="nil"/>
          <w:insideH w:val="nil"/>
          <w:insideV w:val="nil"/>
        </w:tcBorders>
        <w:shd w:val="clear" w:color="auto" w:fill="FFEFBF" w:themeFill="accent4" w:themeFillTint="3F"/>
      </w:tcPr>
    </w:tblStylePr>
  </w:style>
  <w:style w:type="table" w:styleId="37">
    <w:name w:val="Light List Accent 3"/>
    <w:basedOn w:val="32"/>
    <w:qFormat/>
    <w:uiPriority w:val="61"/>
    <w:rPr>
      <w:kern w:val="0"/>
      <w:sz w:val="22"/>
    </w:rPr>
    <w:tblPr>
      <w:tblBorders>
        <w:top w:val="single" w:color="A5A5A5" w:themeColor="accent3" w:sz="8" w:space="0"/>
        <w:left w:val="single" w:color="A5A5A5" w:themeColor="accent3" w:sz="8" w:space="0"/>
        <w:bottom w:val="single" w:color="A5A5A5" w:themeColor="accent3" w:sz="8" w:space="0"/>
        <w:right w:val="single" w:color="A5A5A5" w:themeColor="accent3"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A5A5A5" w:themeFill="accent3"/>
      </w:tcPr>
    </w:tblStylePr>
    <w:tblStylePr w:type="lastRow">
      <w:pPr>
        <w:spacing w:before="0" w:after="0" w:line="240" w:lineRule="auto"/>
      </w:pPr>
      <w:rPr>
        <w:b/>
        <w:bCs/>
      </w:rPr>
      <w:tblPr/>
      <w:tcPr>
        <w:tcBorders>
          <w:top w:val="double" w:color="A5A5A5" w:themeColor="accent3" w:sz="6" w:space="0"/>
          <w:left w:val="single" w:color="A5A5A5" w:themeColor="accent3" w:sz="8" w:space="0"/>
          <w:bottom w:val="single" w:color="A5A5A5" w:themeColor="accent3" w:sz="8" w:space="0"/>
          <w:right w:val="single" w:color="A5A5A5" w:themeColor="accent3" w:sz="8" w:space="0"/>
        </w:tcBorders>
      </w:tcPr>
    </w:tblStylePr>
    <w:tblStylePr w:type="firstCol">
      <w:rPr>
        <w:b/>
        <w:bCs/>
      </w:rPr>
    </w:tblStylePr>
    <w:tblStylePr w:type="lastCol">
      <w:rPr>
        <w:b/>
        <w:bCs/>
      </w:rPr>
    </w:tblStylePr>
    <w:tblStylePr w:type="band1Vert">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tblStylePr w:type="band1Horz">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style>
  <w:style w:type="character" w:styleId="39">
    <w:name w:val="Strong"/>
    <w:qFormat/>
    <w:uiPriority w:val="0"/>
    <w:rPr>
      <w:b/>
      <w:bCs/>
    </w:rPr>
  </w:style>
  <w:style w:type="character" w:styleId="40">
    <w:name w:val="page number"/>
    <w:basedOn w:val="38"/>
    <w:qFormat/>
    <w:uiPriority w:val="99"/>
  </w:style>
  <w:style w:type="character" w:styleId="41">
    <w:name w:val="line number"/>
    <w:basedOn w:val="38"/>
    <w:semiHidden/>
    <w:unhideWhenUsed/>
    <w:qFormat/>
    <w:uiPriority w:val="99"/>
  </w:style>
  <w:style w:type="character" w:styleId="42">
    <w:name w:val="Hyperlink"/>
    <w:qFormat/>
    <w:uiPriority w:val="99"/>
    <w:rPr>
      <w:color w:val="0000FF"/>
      <w:u w:val="none"/>
    </w:rPr>
  </w:style>
  <w:style w:type="character" w:styleId="43">
    <w:name w:val="annotation reference"/>
    <w:qFormat/>
    <w:uiPriority w:val="99"/>
    <w:rPr>
      <w:sz w:val="21"/>
      <w:szCs w:val="21"/>
    </w:rPr>
  </w:style>
  <w:style w:type="paragraph" w:customStyle="1" w:styleId="44">
    <w:name w:val="样式1"/>
    <w:basedOn w:val="21"/>
    <w:qFormat/>
    <w:uiPriority w:val="0"/>
    <w:pPr>
      <w:keepNext/>
      <w:tabs>
        <w:tab w:val="right" w:leader="dot" w:pos="9061"/>
      </w:tabs>
      <w:adjustRightInd w:val="0"/>
      <w:snapToGrid w:val="0"/>
      <w:spacing w:line="360" w:lineRule="auto"/>
      <w:outlineLvl w:val="0"/>
    </w:pPr>
    <w:rPr>
      <w:rFonts w:ascii="宋体" w:hAnsi="宋体"/>
      <w:sz w:val="28"/>
      <w:szCs w:val="18"/>
    </w:rPr>
  </w:style>
  <w:style w:type="character" w:customStyle="1" w:styleId="45">
    <w:name w:val="页眉 字符"/>
    <w:basedOn w:val="38"/>
    <w:link w:val="20"/>
    <w:qFormat/>
    <w:uiPriority w:val="99"/>
    <w:rPr>
      <w:sz w:val="18"/>
      <w:szCs w:val="18"/>
    </w:rPr>
  </w:style>
  <w:style w:type="character" w:customStyle="1" w:styleId="46">
    <w:name w:val="页脚 字符"/>
    <w:basedOn w:val="38"/>
    <w:link w:val="19"/>
    <w:qFormat/>
    <w:uiPriority w:val="99"/>
    <w:rPr>
      <w:sz w:val="18"/>
      <w:szCs w:val="18"/>
    </w:rPr>
  </w:style>
  <w:style w:type="character" w:customStyle="1" w:styleId="47">
    <w:name w:val="标题 2 字符"/>
    <w:basedOn w:val="38"/>
    <w:link w:val="4"/>
    <w:qFormat/>
    <w:uiPriority w:val="0"/>
    <w:rPr>
      <w:rFonts w:ascii="楷体_GB2312" w:hAnsi="Times New Roman" w:eastAsia="楷体_GB2312" w:cs="Times New Roman"/>
      <w:b/>
      <w:sz w:val="28"/>
      <w:szCs w:val="28"/>
    </w:rPr>
  </w:style>
  <w:style w:type="paragraph" w:customStyle="1" w:styleId="48">
    <w:name w:val="Table Paragraph"/>
    <w:basedOn w:val="1"/>
    <w:qFormat/>
    <w:uiPriority w:val="1"/>
    <w:pPr>
      <w:jc w:val="left"/>
    </w:pPr>
    <w:rPr>
      <w:rFonts w:asciiTheme="minorHAnsi" w:hAnsiTheme="minorHAnsi" w:eastAsiaTheme="minorEastAsia" w:cstheme="minorBidi"/>
      <w:kern w:val="0"/>
      <w:sz w:val="22"/>
      <w:szCs w:val="22"/>
      <w:lang w:eastAsia="en-US"/>
    </w:rPr>
  </w:style>
  <w:style w:type="character" w:customStyle="1" w:styleId="49">
    <w:name w:val="标题 1 字符"/>
    <w:basedOn w:val="38"/>
    <w:link w:val="3"/>
    <w:qFormat/>
    <w:uiPriority w:val="99"/>
    <w:rPr>
      <w:rFonts w:ascii="Times New Roman" w:hAnsi="Times New Roman" w:eastAsia="宋体" w:cs="Times New Roman"/>
      <w:w w:val="90"/>
      <w:sz w:val="28"/>
      <w:szCs w:val="24"/>
    </w:rPr>
  </w:style>
  <w:style w:type="character" w:customStyle="1" w:styleId="50">
    <w:name w:val="标题 3 字符"/>
    <w:basedOn w:val="38"/>
    <w:link w:val="5"/>
    <w:qFormat/>
    <w:uiPriority w:val="0"/>
    <w:rPr>
      <w:rFonts w:ascii="Times New Roman" w:hAnsi="Times New Roman" w:eastAsia="宋体" w:cs="Times New Roman"/>
      <w:w w:val="90"/>
      <w:sz w:val="28"/>
      <w:szCs w:val="24"/>
    </w:rPr>
  </w:style>
  <w:style w:type="character" w:customStyle="1" w:styleId="51">
    <w:name w:val="标题 4 字符"/>
    <w:basedOn w:val="38"/>
    <w:link w:val="6"/>
    <w:qFormat/>
    <w:uiPriority w:val="0"/>
    <w:rPr>
      <w:rFonts w:ascii="Times New Roman" w:hAnsi="Times New Roman" w:eastAsia="宋体" w:cs="Times New Roman"/>
      <w:sz w:val="28"/>
      <w:szCs w:val="24"/>
    </w:rPr>
  </w:style>
  <w:style w:type="character" w:customStyle="1" w:styleId="52">
    <w:name w:val="标题 7 字符"/>
    <w:basedOn w:val="38"/>
    <w:link w:val="7"/>
    <w:qFormat/>
    <w:uiPriority w:val="0"/>
    <w:rPr>
      <w:rFonts w:ascii="Times New Roman" w:hAnsi="Times New Roman" w:eastAsia="宋体" w:cs="Times New Roman"/>
      <w:color w:val="000000"/>
      <w:sz w:val="28"/>
      <w:szCs w:val="24"/>
    </w:rPr>
  </w:style>
  <w:style w:type="character" w:customStyle="1" w:styleId="53">
    <w:name w:val="body21"/>
    <w:qFormat/>
    <w:uiPriority w:val="0"/>
    <w:rPr>
      <w:rFonts w:hint="eastAsia" w:ascii="宋体" w:hAnsi="宋体" w:eastAsia="宋体"/>
      <w:color w:val="006666"/>
      <w:sz w:val="27"/>
      <w:szCs w:val="27"/>
    </w:rPr>
  </w:style>
  <w:style w:type="character" w:customStyle="1" w:styleId="54">
    <w:name w:val="标题1"/>
    <w:basedOn w:val="38"/>
    <w:qFormat/>
    <w:uiPriority w:val="0"/>
  </w:style>
  <w:style w:type="character" w:customStyle="1" w:styleId="55">
    <w:name w:val="页眉 Char"/>
    <w:qFormat/>
    <w:uiPriority w:val="0"/>
    <w:rPr>
      <w:rFonts w:eastAsia="宋体"/>
      <w:kern w:val="2"/>
      <w:sz w:val="18"/>
      <w:szCs w:val="18"/>
      <w:lang w:val="en-US" w:eastAsia="zh-CN" w:bidi="ar-SA"/>
    </w:rPr>
  </w:style>
  <w:style w:type="character" w:customStyle="1" w:styleId="56">
    <w:name w:val="subtable altbg2 t_msg"/>
    <w:basedOn w:val="38"/>
    <w:qFormat/>
    <w:uiPriority w:val="0"/>
  </w:style>
  <w:style w:type="character" w:customStyle="1" w:styleId="57">
    <w:name w:val="style10"/>
    <w:basedOn w:val="38"/>
    <w:qFormat/>
    <w:uiPriority w:val="0"/>
  </w:style>
  <w:style w:type="character" w:customStyle="1" w:styleId="58">
    <w:name w:val="纯文本 字符1"/>
    <w:link w:val="15"/>
    <w:qFormat/>
    <w:uiPriority w:val="0"/>
    <w:rPr>
      <w:rFonts w:ascii="宋体" w:hAnsi="Courier New" w:eastAsia="宋体" w:cs="Courier New"/>
      <w:szCs w:val="21"/>
    </w:rPr>
  </w:style>
  <w:style w:type="character" w:customStyle="1" w:styleId="59">
    <w:name w:val="表格 Char1"/>
    <w:link w:val="60"/>
    <w:qFormat/>
    <w:uiPriority w:val="0"/>
    <w:rPr>
      <w:rFonts w:eastAsia="仿宋_GB2312"/>
    </w:rPr>
  </w:style>
  <w:style w:type="paragraph" w:customStyle="1" w:styleId="60">
    <w:name w:val="表格"/>
    <w:basedOn w:val="1"/>
    <w:link w:val="59"/>
    <w:qFormat/>
    <w:uiPriority w:val="0"/>
    <w:pPr>
      <w:adjustRightInd w:val="0"/>
      <w:snapToGrid w:val="0"/>
      <w:spacing w:line="240" w:lineRule="atLeast"/>
      <w:jc w:val="center"/>
    </w:pPr>
    <w:rPr>
      <w:rFonts w:eastAsia="仿宋_GB2312" w:asciiTheme="minorHAnsi" w:hAnsiTheme="minorHAnsi" w:cstheme="minorBidi"/>
      <w:szCs w:val="22"/>
    </w:rPr>
  </w:style>
  <w:style w:type="character" w:customStyle="1" w:styleId="61">
    <w:name w:val="正文文本 2 字符1"/>
    <w:link w:val="25"/>
    <w:qFormat/>
    <w:uiPriority w:val="0"/>
    <w:rPr>
      <w:sz w:val="24"/>
      <w:szCs w:val="24"/>
    </w:rPr>
  </w:style>
  <w:style w:type="character" w:customStyle="1" w:styleId="62">
    <w:name w:val="正文缩进 字符"/>
    <w:link w:val="8"/>
    <w:qFormat/>
    <w:uiPriority w:val="0"/>
    <w:rPr>
      <w:rFonts w:eastAsia="华文中宋"/>
      <w:w w:val="90"/>
      <w:sz w:val="28"/>
    </w:rPr>
  </w:style>
  <w:style w:type="character" w:customStyle="1" w:styleId="63">
    <w:name w:val="表头 Char"/>
    <w:link w:val="64"/>
    <w:qFormat/>
    <w:locked/>
    <w:uiPriority w:val="0"/>
    <w:rPr>
      <w:rFonts w:ascii="宋体"/>
      <w:sz w:val="28"/>
    </w:rPr>
  </w:style>
  <w:style w:type="paragraph" w:customStyle="1" w:styleId="64">
    <w:name w:val="表头"/>
    <w:basedOn w:val="1"/>
    <w:next w:val="65"/>
    <w:link w:val="63"/>
    <w:qFormat/>
    <w:uiPriority w:val="0"/>
    <w:pPr>
      <w:adjustRightInd w:val="0"/>
      <w:spacing w:before="78" w:beforeLines="25" w:line="460" w:lineRule="exact"/>
      <w:jc w:val="center"/>
    </w:pPr>
    <w:rPr>
      <w:rFonts w:ascii="宋体" w:hAnsiTheme="minorHAnsi" w:eastAsiaTheme="minorEastAsia" w:cstheme="minorBidi"/>
      <w:sz w:val="28"/>
      <w:szCs w:val="22"/>
    </w:rPr>
  </w:style>
  <w:style w:type="paragraph" w:customStyle="1" w:styleId="65">
    <w:name w:val="表"/>
    <w:basedOn w:val="1"/>
    <w:qFormat/>
    <w:uiPriority w:val="0"/>
    <w:pPr>
      <w:snapToGrid w:val="0"/>
      <w:jc w:val="center"/>
    </w:pPr>
    <w:rPr>
      <w:spacing w:val="2"/>
      <w:sz w:val="24"/>
      <w:szCs w:val="20"/>
    </w:rPr>
  </w:style>
  <w:style w:type="character" w:customStyle="1" w:styleId="66">
    <w:name w:val="3zw1"/>
    <w:qFormat/>
    <w:uiPriority w:val="0"/>
    <w:rPr>
      <w:color w:val="000000"/>
      <w:sz w:val="21"/>
      <w:szCs w:val="21"/>
    </w:rPr>
  </w:style>
  <w:style w:type="character" w:customStyle="1" w:styleId="67">
    <w:name w:val="普通文字 Char1"/>
    <w:qFormat/>
    <w:uiPriority w:val="0"/>
    <w:rPr>
      <w:rFonts w:ascii="宋体" w:hAnsi="Courier New" w:eastAsia="宋体" w:cs="Times New Roman"/>
      <w:color w:val="000000"/>
      <w:sz w:val="26"/>
      <w:szCs w:val="20"/>
    </w:rPr>
  </w:style>
  <w:style w:type="character" w:customStyle="1" w:styleId="68">
    <w:name w:val="特点 Char1"/>
    <w:qFormat/>
    <w:uiPriority w:val="0"/>
    <w:rPr>
      <w:rFonts w:eastAsia="宋体"/>
      <w:kern w:val="2"/>
      <w:sz w:val="24"/>
      <w:lang w:val="en-US" w:eastAsia="zh-CN" w:bidi="ar-SA"/>
    </w:rPr>
  </w:style>
  <w:style w:type="character" w:customStyle="1" w:styleId="69">
    <w:name w:val="正文1 Char"/>
    <w:qFormat/>
    <w:uiPriority w:val="0"/>
    <w:rPr>
      <w:rFonts w:eastAsia="宋体"/>
      <w:lang w:bidi="ar-SA"/>
    </w:rPr>
  </w:style>
  <w:style w:type="character" w:customStyle="1" w:styleId="70">
    <w:name w:val="表格 Char"/>
    <w:qFormat/>
    <w:uiPriority w:val="0"/>
    <w:rPr>
      <w:rFonts w:eastAsia="仿宋_GB2312"/>
      <w:kern w:val="2"/>
      <w:sz w:val="21"/>
      <w:lang w:val="en-US" w:eastAsia="zh-CN" w:bidi="ar-SA"/>
    </w:rPr>
  </w:style>
  <w:style w:type="character" w:customStyle="1" w:styleId="71">
    <w:name w:val="批注框文本 字符"/>
    <w:basedOn w:val="38"/>
    <w:link w:val="18"/>
    <w:qFormat/>
    <w:uiPriority w:val="99"/>
    <w:rPr>
      <w:rFonts w:ascii="Times New Roman" w:hAnsi="Times New Roman" w:eastAsia="宋体" w:cs="Times New Roman"/>
      <w:sz w:val="18"/>
      <w:szCs w:val="18"/>
    </w:rPr>
  </w:style>
  <w:style w:type="paragraph" w:customStyle="1" w:styleId="72">
    <w:name w:val="_Style 40"/>
    <w:basedOn w:val="13"/>
    <w:next w:val="31"/>
    <w:qFormat/>
    <w:uiPriority w:val="0"/>
    <w:pPr>
      <w:spacing w:after="120"/>
      <w:ind w:left="420" w:leftChars="200" w:firstLine="210" w:firstLineChars="200"/>
    </w:pPr>
    <w:rPr>
      <w:sz w:val="21"/>
    </w:rPr>
  </w:style>
  <w:style w:type="character" w:customStyle="1" w:styleId="73">
    <w:name w:val="正文文本缩进 2 字符"/>
    <w:basedOn w:val="38"/>
    <w:link w:val="17"/>
    <w:qFormat/>
    <w:uiPriority w:val="0"/>
    <w:rPr>
      <w:rFonts w:ascii="宋体" w:hAnsi="宋体" w:eastAsia="宋体" w:cs="Times New Roman"/>
      <w:sz w:val="28"/>
      <w:szCs w:val="24"/>
    </w:rPr>
  </w:style>
  <w:style w:type="character" w:customStyle="1" w:styleId="74">
    <w:name w:val="批注文字 字符"/>
    <w:basedOn w:val="38"/>
    <w:semiHidden/>
    <w:qFormat/>
    <w:uiPriority w:val="99"/>
    <w:rPr>
      <w:rFonts w:ascii="Times New Roman" w:hAnsi="Times New Roman" w:eastAsia="宋体" w:cs="Times New Roman"/>
      <w:szCs w:val="24"/>
    </w:rPr>
  </w:style>
  <w:style w:type="character" w:customStyle="1" w:styleId="75">
    <w:name w:val="批注主题 字符"/>
    <w:basedOn w:val="74"/>
    <w:link w:val="29"/>
    <w:qFormat/>
    <w:uiPriority w:val="99"/>
    <w:rPr>
      <w:rFonts w:ascii="Times New Roman" w:hAnsi="Times New Roman" w:eastAsia="宋体" w:cs="Times New Roman"/>
      <w:b/>
      <w:bCs/>
      <w:szCs w:val="24"/>
      <w:lang w:val="zh-CN" w:eastAsia="zh-CN"/>
    </w:rPr>
  </w:style>
  <w:style w:type="character" w:customStyle="1" w:styleId="76">
    <w:name w:val="正文文本 2 字符"/>
    <w:basedOn w:val="38"/>
    <w:semiHidden/>
    <w:qFormat/>
    <w:uiPriority w:val="99"/>
    <w:rPr>
      <w:rFonts w:ascii="Times New Roman" w:hAnsi="Times New Roman" w:eastAsia="宋体" w:cs="Times New Roman"/>
      <w:szCs w:val="24"/>
    </w:rPr>
  </w:style>
  <w:style w:type="character" w:customStyle="1" w:styleId="77">
    <w:name w:val="日期 字符"/>
    <w:basedOn w:val="38"/>
    <w:link w:val="16"/>
    <w:qFormat/>
    <w:uiPriority w:val="0"/>
    <w:rPr>
      <w:rFonts w:ascii="Times New Roman" w:hAnsi="Times New Roman" w:eastAsia="楷体_GB2312" w:cs="Times New Roman"/>
      <w:kern w:val="0"/>
      <w:sz w:val="28"/>
      <w:szCs w:val="20"/>
    </w:rPr>
  </w:style>
  <w:style w:type="character" w:customStyle="1" w:styleId="78">
    <w:name w:val="正文文本 字符"/>
    <w:basedOn w:val="38"/>
    <w:link w:val="2"/>
    <w:qFormat/>
    <w:uiPriority w:val="0"/>
    <w:rPr>
      <w:rFonts w:ascii="Times New Roman" w:hAnsi="Times New Roman" w:eastAsia="宋体" w:cs="Times New Roman"/>
      <w:sz w:val="28"/>
      <w:szCs w:val="24"/>
    </w:rPr>
  </w:style>
  <w:style w:type="character" w:customStyle="1" w:styleId="79">
    <w:name w:val="纯文本 字符"/>
    <w:basedOn w:val="38"/>
    <w:qFormat/>
    <w:uiPriority w:val="0"/>
    <w:rPr>
      <w:rFonts w:hAnsi="Courier New" w:cs="Courier New" w:asciiTheme="minorEastAsia"/>
      <w:szCs w:val="24"/>
    </w:rPr>
  </w:style>
  <w:style w:type="character" w:customStyle="1" w:styleId="80">
    <w:name w:val="HTML 预设格式 字符"/>
    <w:basedOn w:val="38"/>
    <w:link w:val="26"/>
    <w:qFormat/>
    <w:uiPriority w:val="0"/>
    <w:rPr>
      <w:rFonts w:ascii="Arial" w:hAnsi="Arial" w:eastAsia="宋体" w:cs="Arial"/>
      <w:kern w:val="0"/>
      <w:szCs w:val="21"/>
    </w:rPr>
  </w:style>
  <w:style w:type="character" w:customStyle="1" w:styleId="81">
    <w:name w:val="文档结构图 字符"/>
    <w:basedOn w:val="38"/>
    <w:semiHidden/>
    <w:qFormat/>
    <w:uiPriority w:val="99"/>
    <w:rPr>
      <w:rFonts w:ascii="Microsoft YaHei UI" w:hAnsi="Times New Roman" w:eastAsia="Microsoft YaHei UI" w:cs="Times New Roman"/>
      <w:sz w:val="18"/>
      <w:szCs w:val="18"/>
    </w:rPr>
  </w:style>
  <w:style w:type="character" w:customStyle="1" w:styleId="82">
    <w:name w:val="正文文本缩进 3 字符"/>
    <w:basedOn w:val="38"/>
    <w:link w:val="24"/>
    <w:qFormat/>
    <w:uiPriority w:val="0"/>
    <w:rPr>
      <w:rFonts w:ascii="Times New Roman" w:hAnsi="Times New Roman" w:eastAsia="宋体" w:cs="Times New Roman"/>
      <w:sz w:val="28"/>
      <w:szCs w:val="24"/>
    </w:rPr>
  </w:style>
  <w:style w:type="character" w:customStyle="1" w:styleId="83">
    <w:name w:val="正文文本 3 字符"/>
    <w:basedOn w:val="38"/>
    <w:link w:val="12"/>
    <w:qFormat/>
    <w:uiPriority w:val="0"/>
    <w:rPr>
      <w:rFonts w:ascii="Times New Roman" w:hAnsi="Times New Roman" w:eastAsia="方正书宋简体" w:cs="Times New Roman"/>
      <w:w w:val="90"/>
      <w:kern w:val="0"/>
      <w:sz w:val="28"/>
      <w:szCs w:val="20"/>
    </w:rPr>
  </w:style>
  <w:style w:type="character" w:customStyle="1" w:styleId="84">
    <w:name w:val="正文文本缩进 字符"/>
    <w:basedOn w:val="38"/>
    <w:link w:val="13"/>
    <w:qFormat/>
    <w:uiPriority w:val="0"/>
    <w:rPr>
      <w:rFonts w:ascii="Times New Roman" w:hAnsi="Times New Roman" w:eastAsia="宋体" w:cs="Times New Roman"/>
      <w:sz w:val="28"/>
      <w:szCs w:val="24"/>
    </w:rPr>
  </w:style>
  <w:style w:type="paragraph" w:customStyle="1" w:styleId="85">
    <w:name w:val="图文框"/>
    <w:basedOn w:val="1"/>
    <w:qFormat/>
    <w:uiPriority w:val="0"/>
    <w:pPr>
      <w:widowControl/>
      <w:ind w:left="56" w:leftChars="-45" w:right="-67" w:rightChars="-28" w:hanging="164" w:hangingChars="78"/>
      <w:jc w:val="center"/>
    </w:pPr>
    <w:rPr>
      <w:rFonts w:ascii="宋体" w:hAnsi="宋体"/>
      <w:kern w:val="0"/>
      <w:szCs w:val="20"/>
    </w:rPr>
  </w:style>
  <w:style w:type="paragraph" w:customStyle="1" w:styleId="86">
    <w:name w:val="报告"/>
    <w:basedOn w:val="1"/>
    <w:qFormat/>
    <w:uiPriority w:val="0"/>
    <w:pPr>
      <w:adjustRightInd w:val="0"/>
      <w:spacing w:line="360" w:lineRule="auto"/>
      <w:ind w:firstLine="505"/>
      <w:jc w:val="left"/>
      <w:textAlignment w:val="baseline"/>
    </w:pPr>
    <w:rPr>
      <w:kern w:val="0"/>
      <w:sz w:val="24"/>
      <w:szCs w:val="20"/>
    </w:rPr>
  </w:style>
  <w:style w:type="paragraph" w:customStyle="1" w:styleId="87">
    <w:name w:val="表格标题"/>
    <w:basedOn w:val="1"/>
    <w:next w:val="1"/>
    <w:qFormat/>
    <w:uiPriority w:val="0"/>
    <w:pPr>
      <w:keepNext/>
      <w:widowControl/>
      <w:overflowPunct w:val="0"/>
      <w:adjustRightInd w:val="0"/>
      <w:snapToGrid w:val="0"/>
      <w:spacing w:before="360" w:after="120" w:line="480" w:lineRule="exact"/>
      <w:jc w:val="center"/>
      <w:textAlignment w:val="baseline"/>
    </w:pPr>
    <w:rPr>
      <w:rFonts w:ascii="Arial" w:hAnsi="Arial" w:eastAsia="黑体"/>
      <w:kern w:val="0"/>
      <w:sz w:val="24"/>
      <w:szCs w:val="20"/>
    </w:rPr>
  </w:style>
  <w:style w:type="paragraph" w:customStyle="1" w:styleId="88">
    <w:name w:val="Char"/>
    <w:basedOn w:val="1"/>
    <w:qFormat/>
    <w:uiPriority w:val="0"/>
    <w:pPr>
      <w:snapToGrid w:val="0"/>
      <w:spacing w:line="360" w:lineRule="auto"/>
      <w:ind w:firstLine="529" w:firstLineChars="200"/>
    </w:pPr>
    <w:rPr>
      <w:rFonts w:ascii="宋体" w:hAnsi="宋体"/>
      <w:b/>
    </w:rPr>
  </w:style>
  <w:style w:type="paragraph" w:customStyle="1" w:styleId="89">
    <w:name w:val="表格正文"/>
    <w:basedOn w:val="1"/>
    <w:qFormat/>
    <w:uiPriority w:val="0"/>
    <w:pPr>
      <w:jc w:val="center"/>
    </w:pPr>
    <w:rPr>
      <w:rFonts w:ascii="仿宋_GB2312" w:eastAsia="仿宋_GB2312"/>
    </w:rPr>
  </w:style>
  <w:style w:type="paragraph" w:customStyle="1" w:styleId="90">
    <w:name w:val="xl22"/>
    <w:basedOn w:val="1"/>
    <w:qFormat/>
    <w:uiPriority w:val="0"/>
    <w:pPr>
      <w:widowControl/>
      <w:spacing w:before="100" w:after="100"/>
      <w:jc w:val="center"/>
    </w:pPr>
    <w:rPr>
      <w:kern w:val="0"/>
      <w:sz w:val="24"/>
    </w:rPr>
  </w:style>
  <w:style w:type="paragraph" w:customStyle="1" w:styleId="91">
    <w:name w:val="Char11"/>
    <w:basedOn w:val="1"/>
    <w:qFormat/>
    <w:uiPriority w:val="0"/>
    <w:pPr>
      <w:spacing w:line="240" w:lineRule="exact"/>
      <w:ind w:firstLine="200" w:firstLineChars="200"/>
    </w:pPr>
    <w:rPr>
      <w:sz w:val="28"/>
      <w:szCs w:val="28"/>
    </w:rPr>
  </w:style>
  <w:style w:type="paragraph" w:customStyle="1" w:styleId="92">
    <w:name w:val="2"/>
    <w:basedOn w:val="1"/>
    <w:next w:val="15"/>
    <w:qFormat/>
    <w:uiPriority w:val="0"/>
    <w:rPr>
      <w:rFonts w:ascii="宋体" w:hAnsi="Lucida Console"/>
    </w:rPr>
  </w:style>
  <w:style w:type="paragraph" w:customStyle="1" w:styleId="93">
    <w:name w:val="font5"/>
    <w:basedOn w:val="1"/>
    <w:qFormat/>
    <w:uiPriority w:val="0"/>
    <w:pPr>
      <w:widowControl/>
      <w:spacing w:before="100" w:beforeAutospacing="1" w:after="100" w:afterAutospacing="1"/>
      <w:jc w:val="left"/>
    </w:pPr>
    <w:rPr>
      <w:rFonts w:hint="eastAsia" w:ascii="宋体" w:hAnsi="宋体"/>
      <w:kern w:val="0"/>
      <w:sz w:val="18"/>
      <w:szCs w:val="18"/>
    </w:rPr>
  </w:style>
  <w:style w:type="paragraph" w:customStyle="1" w:styleId="94">
    <w:name w:val="Default"/>
    <w:qFormat/>
    <w:uiPriority w:val="0"/>
    <w:pPr>
      <w:widowControl w:val="0"/>
      <w:autoSpaceDE w:val="0"/>
      <w:autoSpaceDN w:val="0"/>
      <w:adjustRightInd w:val="0"/>
    </w:pPr>
    <w:rPr>
      <w:rFonts w:ascii="黑体" w:hAnsi="Times New Roman" w:eastAsia="黑体" w:cs="黑体"/>
      <w:color w:val="000000"/>
      <w:kern w:val="0"/>
      <w:sz w:val="24"/>
      <w:szCs w:val="24"/>
      <w:lang w:val="en-US" w:eastAsia="zh-CN" w:bidi="ar-SA"/>
    </w:rPr>
  </w:style>
  <w:style w:type="paragraph" w:customStyle="1" w:styleId="95">
    <w:name w:val="默认段落字体 Para Char"/>
    <w:basedOn w:val="1"/>
    <w:qFormat/>
    <w:uiPriority w:val="0"/>
    <w:rPr>
      <w:sz w:val="24"/>
    </w:rPr>
  </w:style>
  <w:style w:type="paragraph" w:customStyle="1" w:styleId="96">
    <w:name w:val="中文报告书样式"/>
    <w:basedOn w:val="1"/>
    <w:qFormat/>
    <w:uiPriority w:val="0"/>
    <w:pPr>
      <w:adjustRightInd w:val="0"/>
      <w:spacing w:line="480" w:lineRule="atLeast"/>
      <w:ind w:firstLine="482"/>
      <w:textAlignment w:val="baseline"/>
    </w:pPr>
    <w:rPr>
      <w:kern w:val="24"/>
      <w:sz w:val="24"/>
      <w:szCs w:val="20"/>
    </w:rPr>
  </w:style>
  <w:style w:type="paragraph" w:customStyle="1" w:styleId="97">
    <w:name w:val="表格文字"/>
    <w:basedOn w:val="1"/>
    <w:link w:val="154"/>
    <w:qFormat/>
    <w:uiPriority w:val="0"/>
    <w:pPr>
      <w:autoSpaceDE w:val="0"/>
      <w:autoSpaceDN w:val="0"/>
      <w:adjustRightInd w:val="0"/>
      <w:spacing w:before="60" w:after="60"/>
      <w:jc w:val="center"/>
      <w:textAlignment w:val="bottom"/>
    </w:pPr>
    <w:rPr>
      <w:rFonts w:eastAsia="仿宋_GB2312"/>
      <w:kern w:val="0"/>
      <w:sz w:val="24"/>
      <w:szCs w:val="20"/>
    </w:rPr>
  </w:style>
  <w:style w:type="paragraph" w:customStyle="1" w:styleId="98">
    <w:name w:val="默认段落字体 Para Char Char Char Char"/>
    <w:basedOn w:val="1"/>
    <w:qFormat/>
    <w:uiPriority w:val="99"/>
    <w:rPr>
      <w:sz w:val="24"/>
    </w:rPr>
  </w:style>
  <w:style w:type="paragraph" w:customStyle="1" w:styleId="99">
    <w:name w:val="l_text"/>
    <w:basedOn w:val="1"/>
    <w:qFormat/>
    <w:uiPriority w:val="0"/>
    <w:pPr>
      <w:widowControl/>
      <w:overflowPunct w:val="0"/>
      <w:autoSpaceDE w:val="0"/>
      <w:autoSpaceDN w:val="0"/>
      <w:adjustRightInd w:val="0"/>
      <w:spacing w:before="60" w:after="60" w:line="480" w:lineRule="exact"/>
      <w:ind w:firstLine="567"/>
      <w:textAlignment w:val="baseline"/>
    </w:pPr>
    <w:rPr>
      <w:kern w:val="0"/>
      <w:sz w:val="28"/>
      <w:szCs w:val="20"/>
      <w:lang w:val="en-GB"/>
    </w:rPr>
  </w:style>
  <w:style w:type="paragraph" w:customStyle="1" w:styleId="100">
    <w:name w:val="默认段落字体 Para Char Char Char Char Char Char Char Char Char Char Char Char Char"/>
    <w:basedOn w:val="1"/>
    <w:qFormat/>
    <w:uiPriority w:val="0"/>
    <w:rPr>
      <w:sz w:val="24"/>
    </w:rPr>
  </w:style>
  <w:style w:type="paragraph" w:customStyle="1" w:styleId="101">
    <w:name w:val="Char Char Char Char"/>
    <w:basedOn w:val="1"/>
    <w:qFormat/>
    <w:uiPriority w:val="0"/>
    <w:rPr>
      <w:sz w:val="24"/>
    </w:rPr>
  </w:style>
  <w:style w:type="paragraph" w:customStyle="1" w:styleId="102">
    <w:name w:val="Char1"/>
    <w:basedOn w:val="1"/>
    <w:qFormat/>
    <w:uiPriority w:val="0"/>
    <w:rPr>
      <w:sz w:val="24"/>
    </w:rPr>
  </w:style>
  <w:style w:type="paragraph" w:customStyle="1" w:styleId="103">
    <w:name w:val="Char Char Char Char1"/>
    <w:basedOn w:val="1"/>
    <w:qFormat/>
    <w:uiPriority w:val="0"/>
    <w:rPr>
      <w:sz w:val="24"/>
    </w:rPr>
  </w:style>
  <w:style w:type="paragraph" w:customStyle="1" w:styleId="104">
    <w:name w:val="表格式"/>
    <w:basedOn w:val="23"/>
    <w:qFormat/>
    <w:uiPriority w:val="0"/>
    <w:pPr>
      <w:spacing w:before="156" w:beforeLines="50" w:after="156" w:afterLines="50" w:line="200" w:lineRule="exact"/>
      <w:ind w:left="0" w:firstLine="0" w:firstLineChars="0"/>
      <w:jc w:val="center"/>
    </w:pPr>
    <w:rPr>
      <w:szCs w:val="20"/>
    </w:rPr>
  </w:style>
  <w:style w:type="paragraph" w:customStyle="1" w:styleId="105">
    <w:name w:val="样式 正文 首行缩进:  2 字符 + 首行缩进:  2 字符"/>
    <w:basedOn w:val="1"/>
    <w:qFormat/>
    <w:uiPriority w:val="0"/>
    <w:pPr>
      <w:spacing w:line="520" w:lineRule="exact"/>
      <w:ind w:firstLine="420" w:firstLineChars="150"/>
      <w:textAlignment w:val="bottom"/>
    </w:pPr>
    <w:rPr>
      <w:rFonts w:ascii="仿宋_GB2312" w:eastAsia="仿宋_GB2312"/>
      <w:bCs/>
      <w:w w:val="80"/>
      <w:sz w:val="28"/>
      <w:szCs w:val="28"/>
    </w:rPr>
  </w:style>
  <w:style w:type="paragraph" w:customStyle="1" w:styleId="106">
    <w:name w:val="1 Char Char Char Char Char Char Char Char Char Char"/>
    <w:basedOn w:val="1"/>
    <w:qFormat/>
    <w:uiPriority w:val="0"/>
  </w:style>
  <w:style w:type="paragraph" w:customStyle="1" w:styleId="107">
    <w:name w:val="样式3"/>
    <w:basedOn w:val="1"/>
    <w:qFormat/>
    <w:uiPriority w:val="0"/>
    <w:pPr>
      <w:autoSpaceDE w:val="0"/>
      <w:autoSpaceDN w:val="0"/>
      <w:snapToGrid w:val="0"/>
      <w:spacing w:before="120" w:line="460" w:lineRule="atLeast"/>
      <w:jc w:val="center"/>
    </w:pPr>
    <w:rPr>
      <w:rFonts w:eastAsia="黑体"/>
      <w:sz w:val="28"/>
    </w:rPr>
  </w:style>
  <w:style w:type="paragraph" w:customStyle="1" w:styleId="108">
    <w:name w:val="报告表"/>
    <w:basedOn w:val="1"/>
    <w:qFormat/>
    <w:uiPriority w:val="0"/>
    <w:pPr>
      <w:adjustRightInd w:val="0"/>
      <w:snapToGrid w:val="0"/>
      <w:spacing w:line="520" w:lineRule="atLeast"/>
      <w:ind w:firstLine="560" w:firstLineChars="200"/>
    </w:pPr>
    <w:rPr>
      <w:rFonts w:eastAsia="仿宋_GB2312"/>
      <w:sz w:val="28"/>
    </w:rPr>
  </w:style>
  <w:style w:type="paragraph" w:customStyle="1" w:styleId="109">
    <w:name w:val="报告表正文"/>
    <w:basedOn w:val="1"/>
    <w:qFormat/>
    <w:uiPriority w:val="0"/>
    <w:pPr>
      <w:adjustRightInd w:val="0"/>
      <w:spacing w:line="312" w:lineRule="auto"/>
      <w:ind w:left="113" w:right="113" w:firstLine="482"/>
      <w:jc w:val="left"/>
      <w:textAlignment w:val="baseline"/>
    </w:pPr>
    <w:rPr>
      <w:kern w:val="0"/>
      <w:sz w:val="24"/>
      <w:szCs w:val="20"/>
    </w:rPr>
  </w:style>
  <w:style w:type="paragraph" w:customStyle="1" w:styleId="110">
    <w:name w:val="报告表格"/>
    <w:basedOn w:val="1"/>
    <w:qFormat/>
    <w:uiPriority w:val="0"/>
    <w:pPr>
      <w:autoSpaceDE w:val="0"/>
      <w:autoSpaceDN w:val="0"/>
      <w:adjustRightInd w:val="0"/>
      <w:spacing w:before="40" w:after="40"/>
      <w:jc w:val="center"/>
      <w:textAlignment w:val="baseline"/>
    </w:pPr>
    <w:rPr>
      <w:kern w:val="0"/>
      <w:szCs w:val="20"/>
    </w:rPr>
  </w:style>
  <w:style w:type="paragraph" w:customStyle="1" w:styleId="111">
    <w:name w:val="三级标题"/>
    <w:basedOn w:val="1"/>
    <w:next w:val="31"/>
    <w:qFormat/>
    <w:uiPriority w:val="0"/>
    <w:pPr>
      <w:spacing w:line="440" w:lineRule="exact"/>
      <w:jc w:val="center"/>
    </w:pPr>
    <w:rPr>
      <w:w w:val="90"/>
      <w:sz w:val="24"/>
    </w:rPr>
  </w:style>
  <w:style w:type="paragraph" w:customStyle="1" w:styleId="112">
    <w:name w:val="样式35"/>
    <w:basedOn w:val="1"/>
    <w:qFormat/>
    <w:uiPriority w:val="0"/>
    <w:pPr>
      <w:adjustRightInd w:val="0"/>
      <w:spacing w:line="312" w:lineRule="auto"/>
      <w:ind w:firstLine="567"/>
    </w:pPr>
    <w:rPr>
      <w:rFonts w:ascii="宋体"/>
      <w:kern w:val="0"/>
      <w:sz w:val="28"/>
      <w:szCs w:val="20"/>
    </w:rPr>
  </w:style>
  <w:style w:type="paragraph" w:customStyle="1" w:styleId="113">
    <w:name w:val="Char Char Char Char Char Char Char Char2 Char"/>
    <w:basedOn w:val="1"/>
    <w:qFormat/>
    <w:uiPriority w:val="0"/>
    <w:pPr>
      <w:widowControl/>
      <w:spacing w:after="160" w:line="240" w:lineRule="exact"/>
      <w:jc w:val="left"/>
    </w:pPr>
    <w:rPr>
      <w:szCs w:val="20"/>
    </w:rPr>
  </w:style>
  <w:style w:type="paragraph" w:customStyle="1" w:styleId="114">
    <w:name w:val="Body Text 22"/>
    <w:basedOn w:val="1"/>
    <w:qFormat/>
    <w:uiPriority w:val="0"/>
    <w:pPr>
      <w:adjustRightInd w:val="0"/>
      <w:spacing w:line="440" w:lineRule="atLeast"/>
      <w:ind w:firstLine="480"/>
      <w:textAlignment w:val="baseline"/>
    </w:pPr>
    <w:rPr>
      <w:rFonts w:eastAsia="仿宋_GB2312"/>
      <w:sz w:val="24"/>
      <w:szCs w:val="20"/>
    </w:rPr>
  </w:style>
  <w:style w:type="paragraph" w:customStyle="1" w:styleId="115">
    <w:name w:val="表名"/>
    <w:basedOn w:val="1"/>
    <w:qFormat/>
    <w:uiPriority w:val="0"/>
    <w:pPr>
      <w:spacing w:line="240" w:lineRule="exact"/>
      <w:jc w:val="center"/>
    </w:pPr>
    <w:rPr>
      <w:rFonts w:ascii="宋体" w:hAnsi="宋体"/>
      <w:b/>
      <w:color w:val="000000"/>
      <w:sz w:val="24"/>
    </w:rPr>
  </w:style>
  <w:style w:type="paragraph" w:customStyle="1" w:styleId="116">
    <w:name w:val="正文001"/>
    <w:basedOn w:val="1"/>
    <w:qFormat/>
    <w:uiPriority w:val="0"/>
    <w:pPr>
      <w:spacing w:before="60" w:line="420" w:lineRule="exact"/>
      <w:ind w:firstLine="482"/>
    </w:pPr>
    <w:rPr>
      <w:sz w:val="24"/>
      <w:szCs w:val="20"/>
    </w:rPr>
  </w:style>
  <w:style w:type="paragraph" w:customStyle="1" w:styleId="117">
    <w:name w:val="1表格"/>
    <w:basedOn w:val="1"/>
    <w:qFormat/>
    <w:uiPriority w:val="0"/>
    <w:pPr>
      <w:snapToGrid w:val="0"/>
      <w:jc w:val="center"/>
      <w:outlineLvl w:val="4"/>
    </w:pPr>
    <w:rPr>
      <w:rFonts w:eastAsia="仿宋_GB2312"/>
    </w:rPr>
  </w:style>
  <w:style w:type="paragraph" w:customStyle="1" w:styleId="118">
    <w:name w:val="1标题2级"/>
    <w:basedOn w:val="1"/>
    <w:qFormat/>
    <w:uiPriority w:val="0"/>
    <w:pPr>
      <w:keepNext/>
      <w:snapToGrid w:val="0"/>
      <w:spacing w:line="420" w:lineRule="auto"/>
      <w:outlineLvl w:val="1"/>
    </w:pPr>
    <w:rPr>
      <w:rFonts w:eastAsia="黑体"/>
      <w:b/>
      <w:sz w:val="28"/>
      <w:szCs w:val="20"/>
    </w:rPr>
  </w:style>
  <w:style w:type="paragraph" w:customStyle="1" w:styleId="119">
    <w:name w:val="reader-word-layer reader-word-s5-6"/>
    <w:basedOn w:val="1"/>
    <w:qFormat/>
    <w:uiPriority w:val="0"/>
    <w:pPr>
      <w:widowControl/>
      <w:spacing w:before="100" w:beforeAutospacing="1" w:after="100" w:afterAutospacing="1"/>
      <w:jc w:val="left"/>
    </w:pPr>
    <w:rPr>
      <w:rFonts w:ascii="宋体" w:hAnsi="宋体" w:cs="宋体"/>
      <w:kern w:val="0"/>
      <w:sz w:val="24"/>
    </w:rPr>
  </w:style>
  <w:style w:type="paragraph" w:customStyle="1" w:styleId="120">
    <w:name w:val="zxz5"/>
    <w:next w:val="1"/>
    <w:qFormat/>
    <w:uiPriority w:val="0"/>
    <w:pPr>
      <w:tabs>
        <w:tab w:val="left" w:pos="0"/>
      </w:tabs>
      <w:jc w:val="center"/>
    </w:pPr>
    <w:rPr>
      <w:rFonts w:ascii="Calibri" w:hAnsi="Calibri" w:eastAsia="宋体" w:cs="Times New Roman"/>
      <w:kern w:val="0"/>
      <w:sz w:val="20"/>
      <w:szCs w:val="20"/>
      <w:lang w:val="en-US" w:eastAsia="zh-CN" w:bidi="ar-SA"/>
    </w:rPr>
  </w:style>
  <w:style w:type="paragraph" w:customStyle="1" w:styleId="121">
    <w:name w:val="Revision"/>
    <w:hidden/>
    <w:unhideWhenUsed/>
    <w:qFormat/>
    <w:uiPriority w:val="99"/>
    <w:rPr>
      <w:rFonts w:ascii="Times New Roman" w:hAnsi="Times New Roman" w:eastAsia="宋体" w:cs="Times New Roman"/>
      <w:kern w:val="2"/>
      <w:sz w:val="21"/>
      <w:szCs w:val="24"/>
      <w:lang w:val="en-US" w:eastAsia="zh-CN" w:bidi="ar-SA"/>
    </w:rPr>
  </w:style>
  <w:style w:type="paragraph" w:customStyle="1" w:styleId="122">
    <w:name w:val="reader-word-layer"/>
    <w:basedOn w:val="1"/>
    <w:qFormat/>
    <w:uiPriority w:val="0"/>
    <w:pPr>
      <w:widowControl/>
      <w:spacing w:before="100" w:beforeAutospacing="1" w:after="100" w:afterAutospacing="1"/>
      <w:jc w:val="left"/>
    </w:pPr>
    <w:rPr>
      <w:rFonts w:ascii="宋体" w:hAnsi="宋体" w:cs="宋体"/>
      <w:kern w:val="0"/>
      <w:sz w:val="24"/>
    </w:rPr>
  </w:style>
  <w:style w:type="character" w:customStyle="1" w:styleId="123">
    <w:name w:val="表格内文字 Char"/>
    <w:link w:val="124"/>
    <w:qFormat/>
    <w:uiPriority w:val="0"/>
    <w:rPr>
      <w:rFonts w:eastAsia="仿宋_GB2312"/>
      <w:sz w:val="24"/>
      <w:szCs w:val="24"/>
    </w:rPr>
  </w:style>
  <w:style w:type="paragraph" w:customStyle="1" w:styleId="124">
    <w:name w:val="表格内文字"/>
    <w:basedOn w:val="1"/>
    <w:link w:val="123"/>
    <w:qFormat/>
    <w:uiPriority w:val="0"/>
    <w:pPr>
      <w:tabs>
        <w:tab w:val="left" w:pos="0"/>
      </w:tabs>
      <w:adjustRightInd w:val="0"/>
      <w:snapToGrid w:val="0"/>
      <w:jc w:val="center"/>
    </w:pPr>
    <w:rPr>
      <w:rFonts w:eastAsia="仿宋_GB2312" w:asciiTheme="minorHAnsi" w:hAnsiTheme="minorHAnsi" w:cstheme="minorBidi"/>
      <w:sz w:val="24"/>
    </w:rPr>
  </w:style>
  <w:style w:type="paragraph" w:customStyle="1" w:styleId="125">
    <w:name w:val="WPS Plain"/>
    <w:qFormat/>
    <w:uiPriority w:val="0"/>
    <w:rPr>
      <w:rFonts w:ascii="Times New Roman" w:hAnsi="Times New Roman" w:eastAsia="宋体" w:cs="Times New Roman"/>
      <w:kern w:val="0"/>
      <w:sz w:val="24"/>
      <w:szCs w:val="24"/>
      <w:lang w:val="en-US" w:eastAsia="zh-CN" w:bidi="ar-SA"/>
    </w:rPr>
  </w:style>
  <w:style w:type="character" w:customStyle="1" w:styleId="126">
    <w:name w:val="副标题 字符"/>
    <w:basedOn w:val="38"/>
    <w:qFormat/>
    <w:uiPriority w:val="11"/>
    <w:rPr>
      <w:b/>
      <w:bCs/>
      <w:kern w:val="28"/>
      <w:sz w:val="32"/>
      <w:szCs w:val="32"/>
    </w:rPr>
  </w:style>
  <w:style w:type="character" w:customStyle="1" w:styleId="127">
    <w:name w:val="副标题 字符1"/>
    <w:link w:val="22"/>
    <w:qFormat/>
    <w:uiPriority w:val="0"/>
    <w:rPr>
      <w:rFonts w:ascii="Cambria" w:hAnsi="Cambria" w:eastAsia="宋体" w:cs="Times New Roman"/>
      <w:kern w:val="0"/>
      <w:szCs w:val="24"/>
      <w:lang w:val="zh-CN" w:eastAsia="en-US" w:bidi="en-US"/>
    </w:rPr>
  </w:style>
  <w:style w:type="character" w:customStyle="1" w:styleId="128">
    <w:name w:val="批注文字 字符1"/>
    <w:link w:val="11"/>
    <w:qFormat/>
    <w:uiPriority w:val="0"/>
    <w:rPr>
      <w:rFonts w:ascii="Times New Roman" w:hAnsi="Times New Roman" w:eastAsia="宋体" w:cs="Times New Roman"/>
      <w:szCs w:val="24"/>
      <w:lang w:val="zh-CN" w:eastAsia="zh-CN"/>
    </w:rPr>
  </w:style>
  <w:style w:type="character" w:customStyle="1" w:styleId="129">
    <w:name w:val="海尔正文 Char"/>
    <w:link w:val="130"/>
    <w:qFormat/>
    <w:uiPriority w:val="0"/>
    <w:rPr>
      <w:rFonts w:ascii="宋体" w:hAnsi="宋体" w:cs="宋体"/>
      <w:sz w:val="28"/>
    </w:rPr>
  </w:style>
  <w:style w:type="paragraph" w:customStyle="1" w:styleId="130">
    <w:name w:val="海尔正文"/>
    <w:basedOn w:val="1"/>
    <w:link w:val="129"/>
    <w:qFormat/>
    <w:uiPriority w:val="0"/>
    <w:pPr>
      <w:spacing w:line="360" w:lineRule="auto"/>
      <w:ind w:firstLine="560" w:firstLineChars="200"/>
    </w:pPr>
    <w:rPr>
      <w:rFonts w:ascii="宋体" w:hAnsi="宋体" w:cs="宋体" w:eastAsiaTheme="minorEastAsia"/>
      <w:sz w:val="28"/>
      <w:szCs w:val="22"/>
    </w:rPr>
  </w:style>
  <w:style w:type="paragraph" w:customStyle="1" w:styleId="131">
    <w:name w:val="海尔标题3 + 加粗"/>
    <w:basedOn w:val="130"/>
    <w:qFormat/>
    <w:uiPriority w:val="0"/>
    <w:pPr>
      <w:ind w:firstLine="0" w:firstLineChars="0"/>
    </w:pPr>
    <w:rPr>
      <w:rFonts w:eastAsia="黑体"/>
      <w:b/>
      <w:bCs/>
    </w:rPr>
  </w:style>
  <w:style w:type="paragraph" w:customStyle="1" w:styleId="132">
    <w:name w:val="海尔标题2"/>
    <w:basedOn w:val="4"/>
    <w:qFormat/>
    <w:uiPriority w:val="0"/>
    <w:pPr>
      <w:snapToGrid/>
      <w:spacing w:before="260" w:after="260" w:line="240" w:lineRule="atLeast"/>
      <w:jc w:val="left"/>
      <w:textAlignment w:val="auto"/>
    </w:pPr>
    <w:rPr>
      <w:rFonts w:hint="default" w:ascii="黑体" w:hAnsi="宋体" w:eastAsia="黑体"/>
      <w:sz w:val="32"/>
      <w:szCs w:val="32"/>
    </w:rPr>
  </w:style>
  <w:style w:type="character" w:customStyle="1" w:styleId="133">
    <w:name w:val="正文（首行缩进2字） Char1"/>
    <w:link w:val="134"/>
    <w:qFormat/>
    <w:uiPriority w:val="0"/>
    <w:rPr>
      <w:sz w:val="24"/>
      <w:szCs w:val="30"/>
    </w:rPr>
  </w:style>
  <w:style w:type="paragraph" w:customStyle="1" w:styleId="134">
    <w:name w:val="正文（首行缩进2字）"/>
    <w:basedOn w:val="1"/>
    <w:link w:val="133"/>
    <w:qFormat/>
    <w:uiPriority w:val="0"/>
    <w:pPr>
      <w:spacing w:line="440" w:lineRule="exact"/>
      <w:ind w:firstLine="480" w:firstLineChars="200"/>
    </w:pPr>
    <w:rPr>
      <w:rFonts w:asciiTheme="minorHAnsi" w:hAnsiTheme="minorHAnsi" w:eastAsiaTheme="minorEastAsia" w:cstheme="minorBidi"/>
      <w:sz w:val="24"/>
      <w:szCs w:val="30"/>
    </w:rPr>
  </w:style>
  <w:style w:type="paragraph" w:customStyle="1" w:styleId="135">
    <w:name w:val="1正文段落"/>
    <w:basedOn w:val="1"/>
    <w:link w:val="136"/>
    <w:qFormat/>
    <w:uiPriority w:val="0"/>
    <w:pPr>
      <w:spacing w:line="360" w:lineRule="auto"/>
      <w:ind w:firstLine="480" w:firstLineChars="200"/>
      <w:jc w:val="left"/>
    </w:pPr>
    <w:rPr>
      <w:snapToGrid w:val="0"/>
      <w:kern w:val="0"/>
      <w:sz w:val="24"/>
      <w:lang w:val="zh-CN" w:eastAsia="zh-CN"/>
    </w:rPr>
  </w:style>
  <w:style w:type="character" w:customStyle="1" w:styleId="136">
    <w:name w:val="1正文段落 Char"/>
    <w:link w:val="135"/>
    <w:qFormat/>
    <w:uiPriority w:val="0"/>
    <w:rPr>
      <w:rFonts w:ascii="Times New Roman" w:hAnsi="Times New Roman" w:eastAsia="宋体" w:cs="Times New Roman"/>
      <w:snapToGrid w:val="0"/>
      <w:kern w:val="0"/>
      <w:sz w:val="24"/>
      <w:szCs w:val="24"/>
      <w:lang w:val="zh-CN" w:eastAsia="zh-CN"/>
    </w:rPr>
  </w:style>
  <w:style w:type="paragraph" w:customStyle="1" w:styleId="137">
    <w:name w:val="表内文字小10"/>
    <w:basedOn w:val="1"/>
    <w:qFormat/>
    <w:uiPriority w:val="0"/>
    <w:pPr>
      <w:adjustRightInd w:val="0"/>
      <w:snapToGrid w:val="0"/>
      <w:jc w:val="center"/>
    </w:pPr>
    <w:rPr>
      <w:bCs/>
      <w:color w:val="003366"/>
      <w:szCs w:val="20"/>
    </w:rPr>
  </w:style>
  <w:style w:type="paragraph" w:customStyle="1" w:styleId="138">
    <w:name w:val="表格内容自定"/>
    <w:basedOn w:val="1"/>
    <w:qFormat/>
    <w:uiPriority w:val="0"/>
    <w:pPr>
      <w:spacing w:line="280" w:lineRule="exact"/>
      <w:jc w:val="center"/>
    </w:pPr>
    <w:rPr>
      <w:kern w:val="0"/>
      <w:sz w:val="18"/>
      <w:szCs w:val="21"/>
    </w:rPr>
  </w:style>
  <w:style w:type="paragraph" w:customStyle="1" w:styleId="139">
    <w:name w:val="表格内容"/>
    <w:basedOn w:val="1"/>
    <w:link w:val="140"/>
    <w:qFormat/>
    <w:uiPriority w:val="0"/>
    <w:pPr>
      <w:overflowPunct w:val="0"/>
      <w:adjustRightInd w:val="0"/>
      <w:spacing w:before="40" w:after="60" w:line="200" w:lineRule="atLeast"/>
      <w:textAlignment w:val="baseline"/>
    </w:pPr>
    <w:rPr>
      <w:rFonts w:ascii="Arial" w:hAnsi="Arial" w:eastAsia="仿宋_GB2312"/>
      <w:kern w:val="0"/>
      <w:sz w:val="24"/>
      <w:szCs w:val="20"/>
      <w:lang w:val="zh-CN" w:eastAsia="zh-CN"/>
    </w:rPr>
  </w:style>
  <w:style w:type="character" w:customStyle="1" w:styleId="140">
    <w:name w:val="表格内容 Char"/>
    <w:link w:val="139"/>
    <w:qFormat/>
    <w:uiPriority w:val="0"/>
    <w:rPr>
      <w:rFonts w:ascii="Arial" w:hAnsi="Arial" w:eastAsia="仿宋_GB2312" w:cs="Times New Roman"/>
      <w:kern w:val="0"/>
      <w:sz w:val="24"/>
      <w:szCs w:val="20"/>
      <w:lang w:val="zh-CN" w:eastAsia="zh-CN"/>
    </w:rPr>
  </w:style>
  <w:style w:type="character" w:customStyle="1" w:styleId="141">
    <w:name w:val="z101"/>
    <w:qFormat/>
    <w:uiPriority w:val="0"/>
    <w:rPr>
      <w:color w:val="000000"/>
      <w:sz w:val="21"/>
      <w:szCs w:val="21"/>
    </w:rPr>
  </w:style>
  <w:style w:type="paragraph" w:customStyle="1" w:styleId="142">
    <w:name w:val="xl24"/>
    <w:basedOn w:val="1"/>
    <w:qFormat/>
    <w:uiPriority w:val="0"/>
    <w:pPr>
      <w:widowControl/>
      <w:pBdr>
        <w:left w:val="single" w:color="auto" w:sz="4" w:space="0"/>
        <w:bottom w:val="single" w:color="auto" w:sz="4" w:space="0"/>
        <w:right w:val="single" w:color="auto" w:sz="4" w:space="0"/>
      </w:pBdr>
      <w:spacing w:before="100" w:after="100"/>
      <w:jc w:val="center"/>
      <w:textAlignment w:val="center"/>
    </w:pPr>
    <w:rPr>
      <w:rFonts w:ascii="宋体" w:hAnsi="宋体"/>
      <w:kern w:val="0"/>
      <w:sz w:val="24"/>
    </w:rPr>
  </w:style>
  <w:style w:type="character" w:customStyle="1" w:styleId="143">
    <w:name w:val="文档结构图 字符1"/>
    <w:link w:val="10"/>
    <w:qFormat/>
    <w:uiPriority w:val="0"/>
    <w:rPr>
      <w:rFonts w:ascii="Times New Roman" w:hAnsi="Times New Roman" w:eastAsia="宋体" w:cs="Times New Roman"/>
      <w:szCs w:val="24"/>
      <w:shd w:val="clear" w:color="auto" w:fill="000080"/>
      <w:lang w:val="zh-CN" w:eastAsia="zh-CN"/>
    </w:rPr>
  </w:style>
  <w:style w:type="character" w:customStyle="1" w:styleId="144">
    <w:name w:val="正文文本首行缩进 字符"/>
    <w:basedOn w:val="78"/>
    <w:link w:val="30"/>
    <w:semiHidden/>
    <w:qFormat/>
    <w:uiPriority w:val="99"/>
    <w:rPr>
      <w:rFonts w:ascii="Times New Roman" w:hAnsi="Times New Roman" w:eastAsia="宋体" w:cs="Times New Roman"/>
      <w:sz w:val="28"/>
      <w:szCs w:val="24"/>
    </w:rPr>
  </w:style>
  <w:style w:type="character" w:customStyle="1" w:styleId="145">
    <w:name w:val="正文文本首行缩进 2 字符"/>
    <w:basedOn w:val="84"/>
    <w:link w:val="31"/>
    <w:semiHidden/>
    <w:qFormat/>
    <w:uiPriority w:val="99"/>
    <w:rPr>
      <w:rFonts w:ascii="Times New Roman" w:hAnsi="Times New Roman" w:eastAsia="宋体" w:cs="Times New Roman"/>
      <w:sz w:val="28"/>
      <w:szCs w:val="24"/>
    </w:rPr>
  </w:style>
  <w:style w:type="paragraph" w:styleId="146">
    <w:name w:val="List Paragraph"/>
    <w:basedOn w:val="1"/>
    <w:qFormat/>
    <w:uiPriority w:val="34"/>
    <w:pPr>
      <w:ind w:firstLine="420" w:firstLineChars="200"/>
    </w:pPr>
  </w:style>
  <w:style w:type="character" w:customStyle="1" w:styleId="147">
    <w:name w:val="样式23 Char Char"/>
    <w:link w:val="148"/>
    <w:qFormat/>
    <w:uiPriority w:val="0"/>
    <w:rPr>
      <w:rFonts w:ascii="宋体" w:hAnsi="宋体"/>
      <w:color w:val="000000"/>
      <w:sz w:val="24"/>
      <w:szCs w:val="24"/>
    </w:rPr>
  </w:style>
  <w:style w:type="paragraph" w:customStyle="1" w:styleId="148">
    <w:name w:val="样式23"/>
    <w:basedOn w:val="1"/>
    <w:link w:val="147"/>
    <w:qFormat/>
    <w:uiPriority w:val="0"/>
    <w:pPr>
      <w:spacing w:line="360" w:lineRule="auto"/>
      <w:ind w:firstLine="480" w:firstLineChars="200"/>
      <w:jc w:val="left"/>
    </w:pPr>
    <w:rPr>
      <w:rFonts w:ascii="宋体" w:hAnsi="宋体" w:eastAsiaTheme="minorEastAsia" w:cstheme="minorBidi"/>
      <w:color w:val="000000"/>
      <w:sz w:val="24"/>
    </w:rPr>
  </w:style>
  <w:style w:type="character" w:customStyle="1" w:styleId="149">
    <w:name w:val="标题 2 Char"/>
    <w:qFormat/>
    <w:uiPriority w:val="0"/>
    <w:rPr>
      <w:rFonts w:ascii="宋体" w:hAnsi="宋体" w:eastAsia="宋体"/>
      <w:b/>
      <w:bCs/>
      <w:kern w:val="2"/>
      <w:sz w:val="32"/>
      <w:szCs w:val="32"/>
    </w:rPr>
  </w:style>
  <w:style w:type="character" w:customStyle="1" w:styleId="150">
    <w:name w:val="正文01 Char"/>
    <w:link w:val="151"/>
    <w:qFormat/>
    <w:uiPriority w:val="0"/>
    <w:rPr>
      <w:rFonts w:eastAsia="宋体"/>
      <w:sz w:val="24"/>
    </w:rPr>
  </w:style>
  <w:style w:type="paragraph" w:customStyle="1" w:styleId="151">
    <w:name w:val="正文01"/>
    <w:basedOn w:val="8"/>
    <w:link w:val="150"/>
    <w:qFormat/>
    <w:uiPriority w:val="0"/>
    <w:pPr>
      <w:widowControl w:val="0"/>
      <w:spacing w:line="360" w:lineRule="auto"/>
      <w:ind w:firstLine="480" w:firstLineChars="200"/>
      <w:jc w:val="both"/>
    </w:pPr>
    <w:rPr>
      <w:rFonts w:eastAsia="宋体"/>
      <w:w w:val="100"/>
      <w:sz w:val="24"/>
    </w:rPr>
  </w:style>
  <w:style w:type="table" w:customStyle="1" w:styleId="152">
    <w:name w:val="Table Normal"/>
    <w:semiHidden/>
    <w:unhideWhenUsed/>
    <w:qFormat/>
    <w:uiPriority w:val="2"/>
    <w:pPr>
      <w:widowControl w:val="0"/>
    </w:pPr>
    <w:rPr>
      <w:kern w:val="0"/>
      <w:sz w:val="22"/>
      <w:lang w:eastAsia="en-US"/>
    </w:rPr>
    <w:tblPr>
      <w:tblCellMar>
        <w:top w:w="0" w:type="dxa"/>
        <w:left w:w="0" w:type="dxa"/>
        <w:bottom w:w="0" w:type="dxa"/>
        <w:right w:w="0" w:type="dxa"/>
      </w:tblCellMar>
    </w:tblPr>
  </w:style>
  <w:style w:type="paragraph" w:customStyle="1" w:styleId="153">
    <w:name w:val="表样式1"/>
    <w:basedOn w:val="1"/>
    <w:qFormat/>
    <w:uiPriority w:val="0"/>
    <w:pPr>
      <w:snapToGrid w:val="0"/>
      <w:jc w:val="center"/>
    </w:pPr>
    <w:rPr>
      <w:rFonts w:ascii="Calibri" w:hAnsi="Calibri"/>
      <w:color w:val="000000"/>
      <w:szCs w:val="21"/>
    </w:rPr>
  </w:style>
  <w:style w:type="character" w:customStyle="1" w:styleId="154">
    <w:name w:val="表格文字 Char"/>
    <w:link w:val="97"/>
    <w:qFormat/>
    <w:locked/>
    <w:uiPriority w:val="0"/>
    <w:rPr>
      <w:rFonts w:ascii="Times New Roman" w:hAnsi="Times New Roman" w:eastAsia="仿宋_GB2312" w:cs="Times New Roman"/>
      <w:kern w:val="0"/>
      <w:sz w:val="24"/>
      <w:szCs w:val="20"/>
    </w:rPr>
  </w:style>
  <w:style w:type="table" w:customStyle="1" w:styleId="155">
    <w:name w:val="三线表A"/>
    <w:qFormat/>
    <w:uiPriority w:val="99"/>
    <w:pPr>
      <w:jc w:val="center"/>
    </w:pPr>
    <w:rPr>
      <w:rFonts w:ascii="Times New Roman" w:hAnsi="Times New Roman" w:eastAsia="宋体" w:cs="Times New Roman"/>
      <w:kern w:val="0"/>
      <w:sz w:val="20"/>
      <w:szCs w:val="20"/>
    </w:rPr>
    <w:tblPr>
      <w:tblBorders>
        <w:bottom w:val="single" w:color="auto" w:sz="8" w:space="0"/>
        <w:insideH w:val="single" w:color="auto" w:sz="6" w:space="0"/>
        <w:insideV w:val="single" w:color="auto" w:sz="6" w:space="0"/>
      </w:tblBorders>
      <w:tblCellMar>
        <w:top w:w="0" w:type="dxa"/>
        <w:left w:w="108" w:type="dxa"/>
        <w:bottom w:w="0" w:type="dxa"/>
        <w:right w:w="108" w:type="dxa"/>
      </w:tblCellMar>
    </w:tblPr>
  </w:style>
  <w:style w:type="table" w:customStyle="1" w:styleId="156">
    <w:name w:val="浅色底纹1"/>
    <w:basedOn w:val="32"/>
    <w:qFormat/>
    <w:uiPriority w:val="60"/>
    <w:rPr>
      <w:rFonts w:ascii="Times New Roman" w:hAnsi="Times New Roman" w:eastAsia="宋体" w:cs="Times New Roman"/>
      <w:color w:val="000000" w:themeColor="text1" w:themeShade="BF"/>
    </w:rPr>
    <w:tblPr>
      <w:tblBorders>
        <w:top w:val="single" w:color="000000" w:themeColor="text1" w:sz="8" w:space="0"/>
        <w:bottom w:val="single" w:color="000000" w:themeColor="text1" w:sz="8" w:space="0"/>
      </w:tblBorders>
    </w:tblPr>
    <w:tblStylePr w:type="firstRow">
      <w:pPr>
        <w:spacing w:before="0" w:after="0" w:line="240" w:lineRule="auto"/>
      </w:pPr>
      <w:rPr>
        <w:b/>
        <w:bCs/>
      </w:rPr>
      <w:tcPr>
        <w:tcBorders>
          <w:top w:val="single" w:color="000000" w:themeColor="text1" w:sz="8" w:space="0"/>
          <w:left w:val="nil"/>
          <w:bottom w:val="single" w:color="000000" w:themeColor="text1" w:sz="8" w:space="0"/>
          <w:right w:val="nil"/>
          <w:insideH w:val="nil"/>
          <w:insideV w:val="nil"/>
        </w:tcBorders>
      </w:tcPr>
    </w:tblStylePr>
    <w:tblStylePr w:type="lastRow">
      <w:pPr>
        <w:spacing w:before="0" w:after="0" w:line="240" w:lineRule="auto"/>
      </w:pPr>
      <w:rPr>
        <w:b/>
        <w:bCs/>
      </w:rPr>
      <w:tcPr>
        <w:tcBorders>
          <w:top w:val="single" w:color="000000" w:themeColor="text1" w:sz="8" w:space="0"/>
          <w:left w:val="nil"/>
          <w:bottom w:val="single" w:color="000000" w:themeColor="text1" w:sz="8" w:space="0"/>
          <w:right w:val="nil"/>
          <w:insideH w:val="nil"/>
          <w:insideV w:val="nil"/>
        </w:tcBorders>
      </w:tcPr>
    </w:tblStylePr>
    <w:tblStylePr w:type="firstCol">
      <w:rPr>
        <w:b/>
        <w:bCs/>
      </w:rPr>
    </w:tblStylePr>
    <w:tblStylePr w:type="lastCol">
      <w:rPr>
        <w:b/>
        <w:bCs/>
      </w:rPr>
    </w:tblStylePr>
    <w:tblStylePr w:type="band1Vert">
      <w:tcPr>
        <w:tcBorders>
          <w:left w:val="nil"/>
          <w:right w:val="nil"/>
          <w:insideH w:val="nil"/>
          <w:insideV w:val="nil"/>
        </w:tcBorders>
        <w:shd w:val="clear" w:color="auto" w:fill="BFBFBF" w:themeFill="text1" w:themeFillTint="3F"/>
      </w:tcPr>
    </w:tblStylePr>
    <w:tblStylePr w:type="band1Horz">
      <w:tcPr>
        <w:tcBorders>
          <w:left w:val="nil"/>
          <w:right w:val="nil"/>
          <w:insideH w:val="nil"/>
          <w:insideV w:val="nil"/>
        </w:tcBorders>
        <w:shd w:val="clear" w:color="auto" w:fill="BFBFBF" w:themeFill="text1" w:themeFillTint="3F"/>
      </w:tcPr>
    </w:tblStylePr>
  </w:style>
  <w:style w:type="table" w:customStyle="1" w:styleId="157">
    <w:name w:val="浅色底纹 - 强调文字颜色 11"/>
    <w:basedOn w:val="32"/>
    <w:qFormat/>
    <w:uiPriority w:val="60"/>
    <w:rPr>
      <w:rFonts w:ascii="Times New Roman" w:hAnsi="Times New Roman" w:eastAsia="宋体" w:cs="Times New Roman"/>
      <w:color w:val="2F5597" w:themeColor="accent1" w:themeShade="BF"/>
    </w:rPr>
    <w:tblPr>
      <w:tblBorders>
        <w:top w:val="single" w:color="4472C4" w:themeColor="accent1" w:sz="8" w:space="0"/>
        <w:bottom w:val="single" w:color="4472C4" w:themeColor="accent1" w:sz="8" w:space="0"/>
      </w:tblBorders>
    </w:tblPr>
    <w:tblStylePr w:type="firstRow">
      <w:pPr>
        <w:spacing w:before="0" w:after="0" w:line="240" w:lineRule="auto"/>
      </w:pPr>
      <w:rPr>
        <w:b/>
        <w:bCs/>
      </w:rPr>
      <w:tcPr>
        <w:tcBorders>
          <w:top w:val="single" w:color="4472C4" w:themeColor="accent1" w:sz="8" w:space="0"/>
          <w:left w:val="nil"/>
          <w:bottom w:val="single" w:color="4472C4" w:themeColor="accent1" w:sz="8" w:space="0"/>
          <w:right w:val="nil"/>
          <w:insideH w:val="nil"/>
          <w:insideV w:val="nil"/>
        </w:tcBorders>
      </w:tcPr>
    </w:tblStylePr>
    <w:tblStylePr w:type="lastRow">
      <w:pPr>
        <w:spacing w:before="0" w:after="0" w:line="240" w:lineRule="auto"/>
      </w:pPr>
      <w:rPr>
        <w:b/>
        <w:bCs/>
      </w:rPr>
      <w:tcPr>
        <w:tcBorders>
          <w:top w:val="single" w:color="4472C4" w:themeColor="accent1" w:sz="8" w:space="0"/>
          <w:left w:val="nil"/>
          <w:bottom w:val="single" w:color="4472C4" w:themeColor="accent1" w:sz="8" w:space="0"/>
          <w:right w:val="nil"/>
          <w:insideH w:val="nil"/>
          <w:insideV w:val="nil"/>
        </w:tcBorders>
      </w:tcPr>
    </w:tblStylePr>
    <w:tblStylePr w:type="firstCol">
      <w:rPr>
        <w:b/>
        <w:bCs/>
      </w:rPr>
    </w:tblStylePr>
    <w:tblStylePr w:type="lastCol">
      <w:rPr>
        <w:b/>
        <w:bCs/>
      </w:rPr>
    </w:tblStylePr>
    <w:tblStylePr w:type="band1Vert">
      <w:tcPr>
        <w:tcBorders>
          <w:left w:val="nil"/>
          <w:right w:val="nil"/>
          <w:insideH w:val="nil"/>
          <w:insideV w:val="nil"/>
        </w:tcBorders>
        <w:shd w:val="clear" w:color="auto" w:fill="D0DCF0" w:themeFill="accent1" w:themeFillTint="3F"/>
      </w:tcPr>
    </w:tblStylePr>
    <w:tblStylePr w:type="band1Horz">
      <w:tcPr>
        <w:tcBorders>
          <w:left w:val="nil"/>
          <w:right w:val="nil"/>
          <w:insideH w:val="nil"/>
          <w:insideV w:val="nil"/>
        </w:tcBorders>
        <w:shd w:val="clear" w:color="auto" w:fill="D0DCF0" w:themeFill="accent1" w:themeFillTint="3F"/>
      </w:tcPr>
    </w:tblStylePr>
  </w:style>
  <w:style w:type="character" w:customStyle="1" w:styleId="158">
    <w:name w:val="font21"/>
    <w:basedOn w:val="38"/>
    <w:qFormat/>
    <w:uiPriority w:val="0"/>
    <w:rPr>
      <w:rFonts w:hint="eastAsia" w:ascii="等线" w:hAnsi="等线" w:eastAsia="等线" w:cs="等线"/>
      <w:color w:val="000000"/>
      <w:sz w:val="20"/>
      <w:szCs w:val="20"/>
      <w:u w:val="none"/>
    </w:rPr>
  </w:style>
  <w:style w:type="character" w:customStyle="1" w:styleId="159">
    <w:name w:val="font01"/>
    <w:basedOn w:val="38"/>
    <w:qFormat/>
    <w:uiPriority w:val="0"/>
    <w:rPr>
      <w:rFonts w:hint="eastAsia" w:ascii="等线" w:hAnsi="等线" w:eastAsia="等线" w:cs="等线"/>
      <w:color w:val="000000"/>
      <w:sz w:val="20"/>
      <w:szCs w:val="20"/>
      <w:u w:val="none"/>
      <w:vertAlign w:val="subscript"/>
    </w:rPr>
  </w:style>
  <w:style w:type="character" w:customStyle="1" w:styleId="160">
    <w:name w:val="font11"/>
    <w:basedOn w:val="38"/>
    <w:qFormat/>
    <w:uiPriority w:val="0"/>
    <w:rPr>
      <w:rFonts w:hint="eastAsia" w:ascii="等线" w:hAnsi="等线" w:eastAsia="等线" w:cs="等线"/>
      <w:color w:val="000000"/>
      <w:sz w:val="22"/>
      <w:szCs w:val="22"/>
      <w:u w:val="none"/>
    </w:rPr>
  </w:style>
  <w:style w:type="paragraph" w:customStyle="1" w:styleId="161">
    <w:name w:val="表内容"/>
    <w:basedOn w:val="1"/>
    <w:next w:val="1"/>
    <w:qFormat/>
    <w:uiPriority w:val="0"/>
    <w:pPr>
      <w:spacing w:line="240" w:lineRule="auto"/>
      <w:ind w:firstLine="0" w:firstLineChars="0"/>
      <w:jc w:val="center"/>
    </w:pPr>
    <w:rPr>
      <w:rFonts w:ascii="Times New Roman" w:hAnsi="Times New Roman"/>
      <w:kern w:val="2"/>
      <w:sz w:val="21"/>
      <w:szCs w:val="20"/>
      <w:lang w:val="en-US" w:bidi="ar-SA"/>
    </w:rPr>
  </w:style>
  <w:style w:type="paragraph" w:customStyle="1" w:styleId="162">
    <w:name w:val="表格内部"/>
    <w:basedOn w:val="1"/>
    <w:qFormat/>
    <w:uiPriority w:val="0"/>
    <w:pPr>
      <w:spacing w:line="240" w:lineRule="auto"/>
      <w:ind w:firstLine="0" w:firstLineChars="0"/>
      <w:jc w:val="center"/>
    </w:pPr>
    <w:rPr>
      <w:rFonts w:ascii="Times New Roman" w:hAnsi="Times New Roman"/>
      <w:kern w:val="24"/>
      <w:sz w:val="21"/>
      <w:szCs w:val="18"/>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5.xml"/><Relationship Id="rId7" Type="http://schemas.openxmlformats.org/officeDocument/2006/relationships/footer" Target="footer4.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2" Type="http://schemas.openxmlformats.org/officeDocument/2006/relationships/fontTable" Target="fontTable.xml"/><Relationship Id="rId21" Type="http://schemas.openxmlformats.org/officeDocument/2006/relationships/numbering" Target="numbering.xml"/><Relationship Id="rId20" Type="http://schemas.openxmlformats.org/officeDocument/2006/relationships/customXml" Target="../customXml/item1.xml"/><Relationship Id="rId2" Type="http://schemas.openxmlformats.org/officeDocument/2006/relationships/settings" Target="settings.xml"/><Relationship Id="rId19" Type="http://schemas.openxmlformats.org/officeDocument/2006/relationships/image" Target="media/image9.png"/><Relationship Id="rId18" Type="http://schemas.openxmlformats.org/officeDocument/2006/relationships/image" Target="media/image8.png"/><Relationship Id="rId17" Type="http://schemas.openxmlformats.org/officeDocument/2006/relationships/image" Target="media/image7.png"/><Relationship Id="rId16" Type="http://schemas.openxmlformats.org/officeDocument/2006/relationships/image" Target="media/image6.png"/><Relationship Id="rId15" Type="http://schemas.openxmlformats.org/officeDocument/2006/relationships/image" Target="media/image5.png"/><Relationship Id="rId14" Type="http://schemas.openxmlformats.org/officeDocument/2006/relationships/image" Target="media/image4.png"/><Relationship Id="rId13" Type="http://schemas.openxmlformats.org/officeDocument/2006/relationships/image" Target="media/image3.emf"/><Relationship Id="rId12" Type="http://schemas.openxmlformats.org/officeDocument/2006/relationships/oleObject" Target="embeddings/oleObject1.bin"/><Relationship Id="rId11" Type="http://schemas.openxmlformats.org/officeDocument/2006/relationships/image" Target="media/image2.png"/><Relationship Id="rId10" Type="http://schemas.openxmlformats.org/officeDocument/2006/relationships/image" Target="media/image1.emf"/><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32</Pages>
  <Words>2838</Words>
  <Characters>16182</Characters>
  <Lines>134</Lines>
  <Paragraphs>37</Paragraphs>
  <TotalTime>31</TotalTime>
  <ScaleCrop>false</ScaleCrop>
  <LinksUpToDate>false</LinksUpToDate>
  <CharactersWithSpaces>18983</CharactersWithSpaces>
  <Application>WPS Office_11.1.0.9999_F1E327BC-269C-435d-A152-05C5408002CA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2019-05-10T06:24:00Z</dcterms:created>
  <dc:creator>LK</dc:creator>
  <cp:lastModifiedBy>WPS_1591236775</cp:lastModifiedBy>
  <cp:lastPrinted>2019-09-21T09:22:00Z</cp:lastPrinted>
  <dcterms:modified xsi:type="dcterms:W3CDTF">2020-09-15T00:36:52Z</dcterms:modified>
  <cp:revision>5822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2052-11.1.0.9999</vt:lpwstr>
  </property>
</Properties>
</file>